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480"/>
        <w:jc w:val="center"/>
      </w:pPr>
      <w:r>
        <w:rPr>
          <w:rFonts w:ascii="Times New Roman" w:cs="Times New Roman" w:eastAsia="Times New Roman" w:hAnsi="Times New Roman"/>
          <w:b/>
          <w:bCs/>
          <w:sz w:val="24"/>
          <w:szCs w:val="24"/>
        </w:rPr>
        <w:t xml:space="preserve">Instituto Superior Combate de Mbororé</w:t>
      </w:r>
    </w:p>
    <w:p>
      <w:pPr>
        <w:spacing w:after="600" w:line="480"/>
        <w:jc w:val="center"/>
      </w:pPr>
      <w:r>
        <w:rPr>
          <w:rFonts w:ascii="Times New Roman" w:cs="Times New Roman" w:eastAsia="Times New Roman" w:hAnsi="Times New Roman"/>
          <w:sz w:val="24"/>
          <w:szCs w:val="24"/>
        </w:rPr>
        <w:t xml:space="preserve">Tecnicatura Superior en Análisis y Diseño de Sistemas</w:t>
      </w:r>
    </w:p>
    <w:p>
      <w:pPr>
        <w:spacing w:after="200" w:line="480"/>
        <w:jc w:val="center"/>
      </w:pPr>
      <w:r>
        <w:rPr>
          <w:rFonts w:ascii="Times New Roman" w:cs="Times New Roman" w:eastAsia="Times New Roman" w:hAnsi="Times New Roman"/>
          <w:b/>
          <w:bCs/>
          <w:sz w:val="32"/>
          <w:szCs w:val="32"/>
        </w:rPr>
        <w:t xml:space="preserve">Plan de Desarrollo y Sostenibilidad</w:t>
      </w:r>
    </w:p>
    <w:p>
      <w:pPr>
        <w:spacing w:after="600" w:line="480"/>
        <w:jc w:val="center"/>
      </w:pPr>
      <w:r>
        <w:rPr>
          <w:rFonts w:ascii="Times New Roman" w:cs="Times New Roman" w:eastAsia="Times New Roman" w:hAnsi="Times New Roman"/>
          <w:sz w:val="24"/>
          <w:szCs w:val="24"/>
        </w:rPr>
        <w:t xml:space="preserve">Documento complementario al Trabajo Final de Carrera</w:t>
      </w:r>
    </w:p>
    <w:p>
      <w:pPr>
        <w:spacing w:after="120" w:line="480"/>
        <w:jc w:val="center"/>
      </w:pPr>
      <w:r>
        <w:rPr>
          <w:rFonts w:ascii="Times New Roman" w:cs="Times New Roman" w:eastAsia="Times New Roman" w:hAnsi="Times New Roman"/>
          <w:b/>
          <w:bCs/>
          <w:sz w:val="32"/>
          <w:szCs w:val="32"/>
        </w:rPr>
        <w:t xml:space="preserve">VITALIS</w:t>
      </w:r>
    </w:p>
    <w:p>
      <w:pPr>
        <w:spacing w:after="600" w:line="480"/>
        <w:jc w:val="center"/>
      </w:pPr>
      <w:r>
        <w:rPr>
          <w:rFonts w:ascii="Times New Roman" w:cs="Times New Roman" w:eastAsia="Times New Roman" w:hAnsi="Times New Roman"/>
          <w:i/>
          <w:iCs/>
          <w:sz w:val="24"/>
          <w:szCs w:val="24"/>
        </w:rPr>
        <w:t xml:space="preserve">Sistema de gestión para consultorio médico virtual</w:t>
      </w:r>
    </w:p>
    <w:p>
      <w:pPr>
        <w:spacing w:after="120" w:line="480"/>
        <w:jc w:val="center"/>
      </w:pPr>
      <w:r>
        <w:rPr>
          <w:rFonts w:ascii="Times New Roman" w:cs="Times New Roman" w:eastAsia="Times New Roman" w:hAnsi="Times New Roman"/>
          <w:sz w:val="24"/>
          <w:szCs w:val="24"/>
        </w:rPr>
        <w:t xml:space="preserve">Autor: José Machado</w:t>
      </w:r>
    </w:p>
    <w:p>
      <w:pPr>
        <w:spacing w:after="120" w:line="480"/>
        <w:jc w:val="center"/>
      </w:pPr>
      <w:r>
        <w:rPr>
          <w:rFonts w:ascii="Times New Roman" w:cs="Times New Roman" w:eastAsia="Times New Roman" w:hAnsi="Times New Roman"/>
          <w:sz w:val="24"/>
          <w:szCs w:val="24"/>
        </w:rPr>
        <w:t xml:space="preserve">Director: ______________________</w:t>
      </w:r>
    </w:p>
    <w:p>
      <w:pPr>
        <w:spacing w:after="120" w:line="480"/>
        <w:jc w:val="center"/>
      </w:pPr>
      <w:r>
        <w:rPr>
          <w:rFonts w:ascii="Times New Roman" w:cs="Times New Roman" w:eastAsia="Times New Roman" w:hAnsi="Times New Roman"/>
          <w:sz w:val="24"/>
          <w:szCs w:val="24"/>
        </w:rPr>
        <w:t xml:space="preserve">Agosto de 2026 — horizonte de defensa: octubre de 2026 (8 semanas)</w:t>
      </w:r>
    </w:p>
    <w:p>
      <w:r>
        <w:br w:type="page"/>
      </w:r>
    </w:p>
    <w:p>
      <w:pPr>
        <w:pStyle w:val="Heading1"/>
        <w:spacing w:after="200" w:before="400"/>
        <w:rPr>
          <w:rFonts w:ascii="Times New Roman" w:cs="Times New Roman" w:eastAsia="Times New Roman" w:hAnsi="Times New Roman"/>
          <w:b/>
          <w:bCs/>
          <w:sz w:val="30"/>
          <w:szCs w:val="30"/>
        </w:rPr>
      </w:pPr>
      <w:r>
        <w:t xml:space="preserve">0. Propósito de este documento</w:t>
      </w:r>
    </w:p>
    <w:p>
      <w:pPr>
        <w:spacing w:after="160" w:line="360"/>
        <w:jc w:val="both"/>
      </w:pPr>
      <w:r>
        <w:rPr>
          <w:rFonts w:ascii="Times New Roman" w:cs="Times New Roman" w:eastAsia="Times New Roman" w:hAnsi="Times New Roman"/>
          <w:sz w:val="24"/>
          <w:szCs w:val="24"/>
        </w:rPr>
        <w:t xml:space="preserve">Este plan complementa el Trabajo Final de Carrera (Vitalis_Tesina.docx) con una mirada de gestión de proyecto: qué falta para llegar a la defensa en condiciones sólidas, en qué orden conviene resolverlo, qué riesgos existen y cómo se sostiene el sistema una vez aprobado. No reemplaza a la tesina ni duplica su contenido técnico — donde corresponde, remite a las secciones ya redactadas (marco teórico, arquitectura, matriz de autorización, flujo de información).</w:t>
      </w:r>
    </w:p>
    <w:p>
      <w:pPr>
        <w:spacing w:after="160" w:line="360"/>
        <w:jc w:val="both"/>
      </w:pPr>
      <w:r>
        <w:rPr>
          <w:rFonts w:ascii="Times New Roman" w:cs="Times New Roman" w:eastAsia="Times New Roman" w:hAnsi="Times New Roman"/>
          <w:sz w:val="24"/>
          <w:szCs w:val="24"/>
        </w:rPr>
        <w:t xml:space="preserve">El punto de partida es el estado real relevado en docs/07-estado-actual-del-sistema.md y en el listado de pendientes de task.md, contrastado con el contenido ya incorporado en la tesina. Ese contraste arrojó un hallazgo importante: varios ítems que task.md todavía marca como pendientes (diagramas, justificación del stack, guion de demo) ya están resueltos y volcados en el documento final. La sección 2 deja esto explícito para evitar trabajar dos veces sobre lo mismo.</w:t>
      </w:r>
    </w:p>
    <w:p>
      <w:pPr>
        <w:pStyle w:val="Heading1"/>
        <w:spacing w:after="200" w:before="400"/>
        <w:rPr>
          <w:rFonts w:ascii="Times New Roman" w:cs="Times New Roman" w:eastAsia="Times New Roman" w:hAnsi="Times New Roman"/>
          <w:b/>
          <w:bCs/>
          <w:sz w:val="30"/>
          <w:szCs w:val="30"/>
        </w:rPr>
      </w:pPr>
      <w:r>
        <w:t xml:space="preserve">1. Resumen ejecutivo del estado actual</w:t>
      </w:r>
    </w:p>
    <w:p>
      <w:pPr>
        <w:spacing w:after="160" w:line="360"/>
        <w:jc w:val="both"/>
      </w:pPr>
      <w:r>
        <w:rPr>
          <w:rFonts w:ascii="Times New Roman" w:cs="Times New Roman" w:eastAsia="Times New Roman" w:hAnsi="Times New Roman"/>
          <w:sz w:val="24"/>
          <w:szCs w:val="24"/>
        </w:rPr>
        <w:t xml:space="preserve">El sistema supera el alcance del MVP original: los diez módulos funcionales están implementados, con autenticación JWT, autorización por rol sobre los veinte controladores de la API, auditoría automática, bloqueos de agenda, búsqueda global y registro simulado de notificaciones. La tesina documenta este alcance de forma completa: siete capítulos redactados, seis tablas con contenido real y tres figuras (diagramas de arquitectura, modelo entidad-relación y flujo de información) insertadas.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Dimensión</w:t>
            </w:r>
          </w:p>
        </w:tc>
        <w:tc>
          <w:tcPr>
            <w:tcW w:type="dxa" w:w="32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Estado</w:t>
            </w:r>
          </w:p>
        </w:tc>
        <w:tc>
          <w:tcPr>
            <w:tcW w:type="dxa" w:w="32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Observación</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Funcionalidad (10 módulos)</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Completo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Incluye funcionalidades transversales no previstas en el MVP original (auditoría, búsqueda global, bloqueos).</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Seguridad (autenticación/autorización)</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Completo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20 controladores exigen rol; corregidos los endpoints que eran anónimos.</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Auditoría</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Completo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Interceptor único sobre SaveChangesAsync, usuario real (ya corregido).</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Testing automatizado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Parcial</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13 tests sobre 4 de 19 servicios de aplicación. Ver sección 5.</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UX de autorización en frontend</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Pendiente</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El menú no oculta secciones sin permiso; el guard no valida expiración de token.</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Documentación técnica (docs/)</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Completo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9 documentos + 3 diagramas, todos consistentes entre sí.</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Tesina (Vitalis_Tesina.docx)</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Prácticamente completo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7 capítulos + referencias redactados; falta nombre del director y revisión final. Ver sección 6.</w:t>
            </w:r>
          </w:p>
        </w:tc>
      </w:tr>
      <w:tr>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Preparación de la defensa</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Completo (guion) / falta ensayo</w:t>
            </w:r>
          </w:p>
        </w:tc>
        <w:tc>
          <w:tcPr>
            <w:tcW w:type="dxa" w:w="3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docs/09 define recorrido, usuarios demo y plan B; falta practicarlo y grabar el video de respaldo.</w:t>
            </w:r>
          </w:p>
        </w:tc>
      </w:tr>
    </w:tbl>
    <w:p>
      <w:pPr>
        <w:spacing w:after="240" w:before="80"/>
        <w:jc w:val="center"/>
      </w:pPr>
      <w:r>
        <w:rPr>
          <w:rFonts w:ascii="Times New Roman" w:cs="Times New Roman" w:eastAsia="Times New Roman" w:hAnsi="Times New Roman"/>
          <w:i/>
          <w:iCs/>
          <w:sz w:val="24"/>
          <w:szCs w:val="24"/>
        </w:rPr>
        <w:t xml:space="preserve">Tabla 1. Estado actual por dimensión del proyecto.</w:t>
      </w:r>
    </w:p>
    <w:p>
      <w:pPr>
        <w:pStyle w:val="Heading1"/>
        <w:spacing w:after="200" w:before="400"/>
        <w:rPr>
          <w:rFonts w:ascii="Times New Roman" w:cs="Times New Roman" w:eastAsia="Times New Roman" w:hAnsi="Times New Roman"/>
          <w:b/>
          <w:bCs/>
          <w:sz w:val="30"/>
          <w:szCs w:val="30"/>
        </w:rPr>
      </w:pPr>
      <w:r>
        <w:t xml:space="preserve">2. Reconciliación con task.md</w:t>
      </w:r>
    </w:p>
    <w:p>
      <w:pPr>
        <w:spacing w:after="160" w:line="360"/>
        <w:jc w:val="both"/>
      </w:pPr>
      <w:r>
        <w:rPr>
          <w:rFonts w:ascii="Times New Roman" w:cs="Times New Roman" w:eastAsia="Times New Roman" w:hAnsi="Times New Roman"/>
          <w:sz w:val="24"/>
          <w:szCs w:val="24"/>
        </w:rPr>
        <w:t xml:space="preserve">Al revisar task.md junto con docs/ y la tesina, se detectó que tres ítems listados como "Pendiente" ya están resueltos. Se recomienda actualizar ese archivo para que el registro de tareas refleje el estado real (evita retrabajo y da una imagen más precisa del avance ante el director).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400"/>
      </w:tblGrid>
      <w:tr>
        <w:tc>
          <w:tcPr>
            <w:tcW w:type="dxa" w:w="42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Ítem en task.md</w:t>
            </w:r>
          </w:p>
        </w:tc>
        <w:tc>
          <w:tcPr>
            <w:tcW w:type="dxa" w:w="22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Estado real</w:t>
            </w:r>
          </w:p>
        </w:tc>
        <w:tc>
          <w:tcPr>
            <w:tcW w:type="dxa" w:w="34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Evidencia</w:t>
            </w:r>
          </w:p>
        </w:tc>
      </w:tr>
      <w:tr>
        <w:tc>
          <w:tcPr>
            <w:tcW w:type="dxa" w:w="4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Diagrama de arquitectura y modelo entidad-relación</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Resuelto</w:t>
            </w:r>
          </w:p>
        </w:tc>
        <w:tc>
          <w:tcPr>
            <w:tcW w:type="dxa" w:w="3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docs/diagrams/ (3 SVG+PNG) e insertados como Figuras 1 y 2 en la tesina.</w:t>
            </w:r>
          </w:p>
        </w:tc>
      </w:tr>
      <w:tr>
        <w:tc>
          <w:tcPr>
            <w:tcW w:type="dxa" w:w="4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Justificación del stack (PostgreSQL vs. Microsoft)</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Resuelto</w:t>
            </w:r>
          </w:p>
        </w:tc>
        <w:tc>
          <w:tcPr>
            <w:tcW w:type="dxa" w:w="3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docs/03, sección 4.7 de la tesina, con el argumento de EF Core como capa de abstracción.</w:t>
            </w:r>
          </w:p>
        </w:tc>
      </w:tr>
      <w:tr>
        <w:tc>
          <w:tcPr>
            <w:tcW w:type="dxa" w:w="4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Guion de demo + plan B</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Resuelto</w:t>
            </w:r>
          </w:p>
        </w:tc>
        <w:tc>
          <w:tcPr>
            <w:tcW w:type="dxa" w:w="3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docs/09-guion-demo-y-defensa.md, con recorrido de 10-12 min, usuarios demo y plan de contingencia.</w:t>
            </w:r>
          </w:p>
        </w:tc>
      </w:tr>
    </w:tbl>
    <w:p>
      <w:pPr>
        <w:spacing w:after="240" w:before="80"/>
        <w:jc w:val="center"/>
      </w:pPr>
      <w:r>
        <w:rPr>
          <w:rFonts w:ascii="Times New Roman" w:cs="Times New Roman" w:eastAsia="Times New Roman" w:hAnsi="Times New Roman"/>
          <w:i/>
          <w:iCs/>
          <w:sz w:val="24"/>
          <w:szCs w:val="24"/>
        </w:rPr>
        <w:t xml:space="preserve">Tabla 2. Ítems de task.md ya resueltos y su evidencia.</w:t>
      </w:r>
    </w:p>
    <w:p>
      <w:pPr>
        <w:spacing w:after="160" w:line="360"/>
        <w:jc w:val="both"/>
      </w:pPr>
      <w:r>
        <w:rPr>
          <w:rFonts w:ascii="Times New Roman" w:cs="Times New Roman" w:eastAsia="Times New Roman" w:hAnsi="Times New Roman"/>
          <w:sz w:val="24"/>
          <w:szCs w:val="24"/>
        </w:rPr>
        <w:t xml:space="preserve">Los ítems genuinamente pendientes — ocultar el menú por rol, validar expiración de token, y ampliar la cobertura de tests — se retoman en el cronograma de la sección 4, junto con dos tareas nuevas que surgen de esta revisión: completar el campo "Director" de la portada y una revisión de consistencia final del documento (sección 6).</w:t>
      </w:r>
    </w:p>
    <w:p>
      <w:pPr>
        <w:pStyle w:val="Heading1"/>
        <w:spacing w:after="200" w:before="400"/>
        <w:rPr>
          <w:rFonts w:ascii="Times New Roman" w:cs="Times New Roman" w:eastAsia="Times New Roman" w:hAnsi="Times New Roman"/>
          <w:b/>
          <w:bCs/>
          <w:sz w:val="30"/>
          <w:szCs w:val="30"/>
        </w:rPr>
      </w:pPr>
      <w:r>
        <w:t xml:space="preserve">3. Priorización de las tareas restantes</w:t>
      </w:r>
    </w:p>
    <w:p>
      <w:pPr>
        <w:spacing w:after="160" w:line="360"/>
        <w:jc w:val="both"/>
      </w:pPr>
      <w:r>
        <w:rPr>
          <w:rFonts w:ascii="Times New Roman" w:cs="Times New Roman" w:eastAsia="Times New Roman" w:hAnsi="Times New Roman"/>
          <w:sz w:val="24"/>
          <w:szCs w:val="24"/>
        </w:rPr>
        <w:t xml:space="preserve">Cada tarea pendiente se evaluó por su impacto en la defensa (qué tan probable es que el tribunal la note o la pregunte) y por el esfuerzo estimado, para ordenar el trabajo de las próximas ocho semanas.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400"/>
      </w:tblGrid>
      <w:tr>
        <w:tc>
          <w:tcPr>
            <w:tcW w:type="dxa" w:w="36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Tarea</w:t>
            </w:r>
          </w:p>
        </w:tc>
        <w:tc>
          <w:tcPr>
            <w:tcW w:type="dxa" w:w="18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Impacto en defensa</w:t>
            </w:r>
          </w:p>
        </w:tc>
        <w:tc>
          <w:tcPr>
            <w:tcW w:type="dxa" w:w="18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Esfuerzo</w:t>
            </w:r>
          </w:p>
        </w:tc>
        <w:tc>
          <w:tcPr>
            <w:tcW w:type="dxa" w:w="24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Prioridad</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Completar nombre del director en la portada</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Alto (formal)</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Muy bajo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1 — inmediata</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Ocultar en el menú las secciones sin permiso de rol</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 (UX, puede preguntarse)</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Bajo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2</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Validar expiración de token en el guard de rutas</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 (seguridad)</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Bajo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2</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Liquidación y Consulta médica</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Alto (financiero y clínico, los más sensibles)</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3</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Prescripción y Bloqueo de agenda</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4</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Reportes y Búsqueda</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Bajo-medio</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Bajo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5</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Revisión de consistencia de la tesina (índice, ortografía, referencias cruzadas)</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Alto (formal)</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3 (en paralelo)</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Ensayo del guion de demo + grabación del video de respaldo</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Alto (riesgo del día de la defensa)</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6 — últimas semanas</w:t>
            </w:r>
          </w:p>
        </w:tc>
      </w:tr>
      <w:tr>
        <w:tc>
          <w:tcPr>
            <w:tcW w:type="dxa" w:w="3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Concurrencia optimista (RowVersion) en turnos/facturas</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Bajo (ya documentado como trabajo futuro)</w:t>
            </w:r>
          </w:p>
        </w:tc>
        <w:tc>
          <w:tcPr>
            <w:tcW w:type="dxa" w:w="18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Medio-alto</w:t>
            </w:r>
          </w:p>
        </w:tc>
        <w:tc>
          <w:tcPr>
            <w:tcW w:type="dxa" w:w="24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Opcional, solo si sobra tiempo</w:t>
            </w:r>
          </w:p>
        </w:tc>
      </w:tr>
    </w:tbl>
    <w:p>
      <w:pPr>
        <w:spacing w:after="240" w:before="80"/>
        <w:jc w:val="center"/>
      </w:pPr>
      <w:r>
        <w:rPr>
          <w:rFonts w:ascii="Times New Roman" w:cs="Times New Roman" w:eastAsia="Times New Roman" w:hAnsi="Times New Roman"/>
          <w:i/>
          <w:iCs/>
          <w:sz w:val="24"/>
          <w:szCs w:val="24"/>
        </w:rPr>
        <w:t xml:space="preserve">Tabla 3. Matriz de priorización impacto / esfuerzo.</w:t>
      </w:r>
    </w:p>
    <w:p>
      <w:pPr>
        <w:pStyle w:val="Heading1"/>
        <w:spacing w:after="200" w:before="400"/>
        <w:rPr>
          <w:rFonts w:ascii="Times New Roman" w:cs="Times New Roman" w:eastAsia="Times New Roman" w:hAnsi="Times New Roman"/>
          <w:b/>
          <w:bCs/>
          <w:sz w:val="30"/>
          <w:szCs w:val="30"/>
        </w:rPr>
      </w:pPr>
      <w:r>
        <w:t xml:space="preserve">4. Cronograma propuesto (8 semanas hasta la defensa)</w:t>
      </w:r>
    </w:p>
    <w:p>
      <w:pPr>
        <w:spacing w:after="160" w:line="360"/>
        <w:jc w:val="both"/>
      </w:pPr>
      <w:r>
        <w:rPr>
          <w:rFonts w:ascii="Times New Roman" w:cs="Times New Roman" w:eastAsia="Times New Roman" w:hAnsi="Times New Roman"/>
          <w:sz w:val="24"/>
          <w:szCs w:val="24"/>
        </w:rPr>
        <w:t xml:space="preserve">El cronograma asume las ocho semanas disponibles y deja las dos últimas como margen de ensayo y ajuste, en línea con la recomendación de docs/09 de no dejar la preparación de la demo para el final. Cada semana indica el objetivo principal y el entregable verificable.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00"/>
      </w:tblGrid>
      <w:tr>
        <w:tc>
          <w:tcPr>
            <w:tcW w:type="dxa" w:w="13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Semana</w:t>
            </w:r>
          </w:p>
        </w:tc>
        <w:tc>
          <w:tcPr>
            <w:tcW w:type="dxa" w:w="33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Objetivo principal</w:t>
            </w:r>
          </w:p>
        </w:tc>
        <w:tc>
          <w:tcPr>
            <w:tcW w:type="dxa" w:w="47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Entregable verificable</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1</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Cerrar formalidades y UX de autorización</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Director completado en la portada; menú del frontend oculta secciones sin permiso; guard valida expiración de token.</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2</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de Liquidación</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Suite de pruebas unitarias sobre LiquidacionService, corriendo en verde.</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3</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de Consulta médica</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Suite de pruebas unitarias sobre ConsultaMedicaService (el módulo más sensible del sistema).</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4</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de Prescripción y Bloqueo de agenda</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Ambas suites en verde; cobertura sube de 4 a 8 de 19 servicios.</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5</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Tests de Reportes y Búsqueda + revisión de cobertura total</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Suites completas; correr dotnet test sobre backend/Vitalis.sln sin errores.</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6</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Revisión integral de la tesina</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Índice actualizado en Word, ortografía revisada, referencias cruzadas verificadas, task.md actualizado según sección 2.</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7</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Ensayo de la defensa</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 menos dos ensayos completos del guion de docs/09; video de respaldo grabado; capturas de pantalla de cada paso.</w:t>
            </w:r>
          </w:p>
        </w:tc>
      </w:tr>
      <w:tr>
        <w:tc>
          <w:tcPr>
            <w:tcW w:type="dxa" w:w="1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8</w:t>
            </w:r>
          </w:p>
        </w:tc>
        <w:tc>
          <w:tcPr>
            <w:tcW w:type="dxa" w:w="33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Buffer y checklist final</w:t>
            </w:r>
          </w:p>
        </w:tc>
        <w:tc>
          <w:tcPr>
            <w:tcW w:type="dxa" w:w="4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Checklist técnico de docs/09 (sección 1) ejecutado el día anterior; ambiente probado en el equipo/proyector real.</w:t>
            </w:r>
          </w:p>
        </w:tc>
      </w:tr>
    </w:tbl>
    <w:p>
      <w:pPr>
        <w:spacing w:after="240" w:before="80"/>
        <w:jc w:val="center"/>
      </w:pPr>
      <w:r>
        <w:rPr>
          <w:rFonts w:ascii="Times New Roman" w:cs="Times New Roman" w:eastAsia="Times New Roman" w:hAnsi="Times New Roman"/>
          <w:i/>
          <w:iCs/>
          <w:sz w:val="24"/>
          <w:szCs w:val="24"/>
        </w:rPr>
        <w:t xml:space="preserve">Tabla 4. Cronograma semanal propuesto.</w:t>
      </w:r>
    </w:p>
    <w:p>
      <w:pPr>
        <w:spacing w:after="160" w:line="360"/>
        <w:jc w:val="both"/>
      </w:pPr>
      <w:r>
        <w:rPr>
          <w:rFonts w:ascii="Times New Roman" w:cs="Times New Roman" w:eastAsia="Times New Roman" w:hAnsi="Times New Roman"/>
          <w:sz w:val="24"/>
          <w:szCs w:val="24"/>
        </w:rPr>
        <w:t xml:space="preserve">Este cronograma es una propuesta de partida: si el director de tesis pide cambios sobre el contenido de la tesina, ese trabajo tiene prioridad sobre la ampliación de tests, que es la tarea con mayor margen para comprimirse sin poner en riesgo la defensa (la cobertura parcial ya está documentada como limitación conocida, no oculta).</w:t>
      </w:r>
    </w:p>
    <w:p>
      <w:pPr>
        <w:pStyle w:val="Heading1"/>
        <w:spacing w:after="200" w:before="400"/>
        <w:rPr>
          <w:rFonts w:ascii="Times New Roman" w:cs="Times New Roman" w:eastAsia="Times New Roman" w:hAnsi="Times New Roman"/>
          <w:b/>
          <w:bCs/>
          <w:sz w:val="30"/>
          <w:szCs w:val="30"/>
        </w:rPr>
      </w:pPr>
      <w:r>
        <w:t xml:space="preserve">5. Plan de aseguramiento de calidad (testing)</w:t>
      </w:r>
    </w:p>
    <w:p>
      <w:pPr>
        <w:spacing w:after="160" w:line="360"/>
        <w:jc w:val="both"/>
      </w:pPr>
      <w:r>
        <w:rPr>
          <w:rFonts w:ascii="Times New Roman" w:cs="Times New Roman" w:eastAsia="Times New Roman" w:hAnsi="Times New Roman"/>
          <w:sz w:val="24"/>
          <w:szCs w:val="24"/>
        </w:rPr>
        <w:t xml:space="preserve">De los 19 servicios de aplicación, 4 tienen tests dedicados (PacienteService, TurnoService, AuthService, FacturaService). Los 6 restantes sin cobertura automatizada — Liquidación, Consulta médica, Prescripción, Bloqueo de agenda, Reportes y Búsqueda — se ejercitan hoy solo por prueba manual. El orden de la sección 4 prioriza Liquidación y Consulta médica primero porque concentran, respectivamente, la lógica de cálculo financiero y el dato más sensible del sistema (historia clínica).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LiquidacionService: cálculo de honorarios por profesional y por período, aplicando el porcentaje según obra social — caso de prueba mínimo: dos obras sociales con porcentajes distintos sobre el mismo conjunto de turnos.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ConsultaMedicaService: alta de consulta vinculada a un turno, con antecedentes y alergias asociados — caso de prueba mínimo: no debe poder crearse una consulta sin turno de origen válido.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PrescripcionService: alta con uno y con varios medicamentos en PrescripcionDetalle — caso de prueba mínimo: dosis/frecuencia/duración obligatorias por línea.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BloqueoAgendaService: cancelación automática de turnos superpuestos al crear un bloqueo — caso de prueba mínimo: un turno dentro del rango bloqueado debe quedar cancelado y notificado.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ReporteService y SearchController: casos de prueba sobre agregaciones (turnos por período, ingresos) y sobre la búsqueda unificada por nombre/DNI.</w:t>
      </w:r>
    </w:p>
    <w:p>
      <w:pPr>
        <w:spacing w:after="160" w:line="360"/>
        <w:jc w:val="both"/>
      </w:pPr>
      <w:r>
        <w:rPr>
          <w:rFonts w:ascii="Times New Roman" w:cs="Times New Roman" w:eastAsia="Times New Roman" w:hAnsi="Times New Roman"/>
          <w:sz w:val="24"/>
          <w:szCs w:val="24"/>
        </w:rPr>
        <w:t xml:space="preserve">Se recomienda replicar, para al menos uno de estos servicios, el patrón que ya dio resultado en el hardening previo: agregar también una prueba de integración contra PostgreSQL real (no solo en memoria), dado que fue ese tipo de prueba la que encontró los defectos de fechas y de doble conteo documentados en el capítulo 5 de la tesina. Mencionarlo en la defensa refuerza el argumento ya presente en la sección 7.1: "las pruebas automatizadas son indispensables, pero no suficientes".</w:t>
      </w:r>
    </w:p>
    <w:p>
      <w:pPr>
        <w:pStyle w:val="Heading1"/>
        <w:spacing w:after="200" w:before="400"/>
        <w:rPr>
          <w:rFonts w:ascii="Times New Roman" w:cs="Times New Roman" w:eastAsia="Times New Roman" w:hAnsi="Times New Roman"/>
          <w:b/>
          <w:bCs/>
          <w:sz w:val="30"/>
          <w:szCs w:val="30"/>
        </w:rPr>
      </w:pPr>
      <w:r>
        <w:t xml:space="preserve">6. Revisión final del documento de tesina</w:t>
      </w:r>
    </w:p>
    <w:p>
      <w:pPr>
        <w:spacing w:after="160" w:line="360"/>
        <w:jc w:val="both"/>
      </w:pPr>
      <w:r>
        <w:rPr>
          <w:rFonts w:ascii="Times New Roman" w:cs="Times New Roman" w:eastAsia="Times New Roman" w:hAnsi="Times New Roman"/>
          <w:sz w:val="24"/>
          <w:szCs w:val="24"/>
        </w:rPr>
        <w:t xml:space="preserve">Vitalis_Tesina.docx contiene los siete capítulos, el resumen, el abstract y las referencias completos, con las seis tablas y las tres figuras insertadas. Durante esta revisión se detectó y corrigió un problema técnico: el archivo tenía siete etiquetas XML inválidas (restos de una edición programática anterior) que impedían abrirlo con herramientas estándar de análisis y que, en Word, pueden disparar el aviso de "se encontró contenido no legible, ¿reparar el documento?". El archivo entregado junto con este plan ya está corregido y verificado — se recomienda usar esa versión como base a partir de ahora.</w:t>
      </w:r>
    </w:p>
    <w:p>
      <w:pPr>
        <w:spacing w:after="160" w:line="360"/>
        <w:jc w:val="both"/>
      </w:pPr>
      <w:r>
        <w:rPr>
          <w:rFonts w:ascii="Times New Roman" w:cs="Times New Roman" w:eastAsia="Times New Roman" w:hAnsi="Times New Roman"/>
          <w:sz w:val="24"/>
          <w:szCs w:val="24"/>
        </w:rPr>
        <w:t xml:space="preserve">Antes de la entrega final, queda pendiente un repaso breve pero necesario: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Completar el nombre real del director en la portada (hoy dice "Director: ______________________").</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En Word: Referencias → Actualizar tabla → Actualizar todo, para que el índice general refleje la numeración real de páginas.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Una lectura de corrección ortográfica y de estilo de punta a punta (el contenido es sólido; conviene una pasada de forma antes de imprimir/entregar).</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Verificar que las referencias cruzadas a tablas y figuras ("Tabla 1", "Figura 2", etc.) coincidan con la numeración final una vez actualizado el índice.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Actualizar task.md según la reconciliación de la sección 2 de este plan, para que quede como registro histórico fiel del proceso.</w:t>
      </w:r>
    </w:p>
    <w:p>
      <w:pPr>
        <w:pStyle w:val="Heading1"/>
        <w:spacing w:after="200" w:before="400"/>
        <w:rPr>
          <w:rFonts w:ascii="Times New Roman" w:cs="Times New Roman" w:eastAsia="Times New Roman" w:hAnsi="Times New Roman"/>
          <w:b/>
          <w:bCs/>
          <w:sz w:val="30"/>
          <w:szCs w:val="30"/>
        </w:rPr>
      </w:pPr>
      <w:r>
        <w:t xml:space="preserve">7. Gestión de riesgos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700"/>
        <w:gridCol w:w="2700"/>
      </w:tblGrid>
      <w:tr>
        <w:tc>
          <w:tcPr>
            <w:tcW w:type="dxa" w:w="26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Riesgo</w:t>
            </w:r>
          </w:p>
        </w:tc>
        <w:tc>
          <w:tcPr>
            <w:tcW w:type="dxa" w:w="22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Probabilidad</w:t>
            </w:r>
          </w:p>
        </w:tc>
        <w:tc>
          <w:tcPr>
            <w:tcW w:type="dxa" w:w="17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Impacto</w:t>
            </w:r>
          </w:p>
        </w:tc>
        <w:tc>
          <w:tcPr>
            <w:tcW w:type="dxa" w:w="2700"/>
            <w:shd w:fill="D9D9D9" w:val="clear"/>
            <w:tcMar>
              <w:top w:type="dxa" w:w="80"/>
              <w:left w:type="dxa" w:w="100"/>
              <w:bottom w:type="dxa" w:w="80"/>
              <w:right w:type="dxa" w:w="100"/>
            </w:tcMar>
          </w:tcPr>
          <w:p>
            <w:pPr>
              <w:spacing w:after="0" w:line="300"/>
            </w:pPr>
            <w:r>
              <w:rPr>
                <w:rFonts w:ascii="Times New Roman" w:cs="Times New Roman" w:eastAsia="Times New Roman" w:hAnsi="Times New Roman"/>
                <w:b/>
                <w:bCs/>
                <w:sz w:val="20"/>
                <w:szCs w:val="20"/>
              </w:rPr>
              <w:t xml:space="preserve">Mitigación</w:t>
            </w:r>
          </w:p>
        </w:tc>
      </w:tr>
      <w:tr>
        <w:tc>
          <w:tcPr>
            <w:tcW w:type="dxa" w:w="2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Falla técnica en vivo (backend, base de datos o red) durante la demo</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Media</w:t>
            </w:r>
          </w:p>
        </w:tc>
        <w:tc>
          <w:tcPr>
            <w:tcW w:type="dxa" w:w="1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Alto</w:t>
            </w:r>
          </w:p>
        </w:tc>
        <w:tc>
          <w:tcPr>
            <w:tcW w:type="dxa" w:w="2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Plan B ya documentado en docs/09: video de respaldo + capturas estáticas de cada paso. Ensayar en semana 7.</w:t>
            </w:r>
          </w:p>
        </w:tc>
      </w:tr>
      <w:tr>
        <w:tc>
          <w:tcPr>
            <w:tcW w:type="dxa" w:w="2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El tribunal cuestiona el uso de PostgreSQL en lugar de SQL Server</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Media</w:t>
            </w:r>
          </w:p>
        </w:tc>
        <w:tc>
          <w:tcPr>
            <w:tcW w:type="dxa" w:w="1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Respuesta ya preparada y redactada en la tesina (4.7) y en docs/09 (pregunta 1); repasarla verbalmente antes de la defensa.</w:t>
            </w:r>
          </w:p>
        </w:tc>
      </w:tr>
      <w:tr>
        <w:tc>
          <w:tcPr>
            <w:tcW w:type="dxa" w:w="2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Cobertura de tests parcial genera preguntas sobre calidad</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Media</w:t>
            </w:r>
          </w:p>
        </w:tc>
        <w:tc>
          <w:tcPr>
            <w:tcW w:type="dxa" w:w="1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Bajo-medio</w:t>
            </w:r>
          </w:p>
        </w:tc>
        <w:tc>
          <w:tcPr>
            <w:tcW w:type="dxa" w:w="2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Es una limitación conocida y documentada, no oculta; el cronograma de la sección 4 la reduce de 4 a 8-10 servicios cubiertos.</w:t>
            </w:r>
          </w:p>
        </w:tc>
      </w:tr>
      <w:tr>
        <w:tc>
          <w:tcPr>
            <w:tcW w:type="dxa" w:w="2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Ajustes de último momento pedidos por el director sobre el contenido de la tesina</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Alta</w:t>
            </w:r>
          </w:p>
        </w:tc>
        <w:tc>
          <w:tcPr>
            <w:tcW w:type="dxa" w:w="1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Semanas 6-8 dejadas como margen; priorizar estos cambios por sobre tests adicionales opcionales.</w:t>
            </w:r>
          </w:p>
        </w:tc>
      </w:tr>
      <w:tr>
        <w:tc>
          <w:tcPr>
            <w:tcW w:type="dxa" w:w="26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Falta de tiempo personal (trabajo, otras materias) reduce el ritmo semanal</w:t>
            </w:r>
          </w:p>
        </w:tc>
        <w:tc>
          <w:tcPr>
            <w:tcW w:type="dxa" w:w="22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Media</w:t>
            </w:r>
          </w:p>
        </w:tc>
        <w:tc>
          <w:tcPr>
            <w:tcW w:type="dxa" w:w="1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Medio</w:t>
            </w:r>
          </w:p>
        </w:tc>
        <w:tc>
          <w:tcPr>
            <w:tcW w:type="dxa" w:w="2700"/>
            <w:tcMar>
              <w:top w:type="dxa" w:w="80"/>
              <w:left w:type="dxa" w:w="100"/>
              <w:bottom w:type="dxa" w:w="80"/>
              <w:right w:type="dxa" w:w="100"/>
            </w:tcMar>
          </w:tcPr>
          <w:p>
            <w:pPr>
              <w:spacing w:after="0" w:line="300"/>
            </w:pPr>
            <w:r>
              <w:rPr>
                <w:rFonts w:ascii="Times New Roman" w:cs="Times New Roman" w:eastAsia="Times New Roman" w:hAnsi="Times New Roman"/>
                <w:b w:val="false"/>
                <w:bCs w:val="false"/>
                <w:sz w:val="20"/>
                <w:szCs w:val="20"/>
              </w:rPr>
              <w:t xml:space="preserve">El orden de prioridad de la Tabla 3 permite recortar desde abajo (tests de Reportes/Búsqueda y concurrencia optimista) sin comprometer lo evaluable.</w:t>
            </w:r>
          </w:p>
        </w:tc>
      </w:tr>
    </w:tbl>
    <w:p>
      <w:pPr>
        <w:spacing w:after="240" w:before="80"/>
        <w:jc w:val="center"/>
      </w:pPr>
      <w:r>
        <w:rPr>
          <w:rFonts w:ascii="Times New Roman" w:cs="Times New Roman" w:eastAsia="Times New Roman" w:hAnsi="Times New Roman"/>
          <w:i/>
          <w:iCs/>
          <w:sz w:val="24"/>
          <w:szCs w:val="24"/>
        </w:rPr>
        <w:t xml:space="preserve">Tabla 5. Riesgos identificados y mitigación.</w:t>
      </w:r>
    </w:p>
    <w:p>
      <w:pPr>
        <w:pStyle w:val="Heading1"/>
        <w:spacing w:after="200" w:before="400"/>
        <w:rPr>
          <w:rFonts w:ascii="Times New Roman" w:cs="Times New Roman" w:eastAsia="Times New Roman" w:hAnsi="Times New Roman"/>
          <w:b/>
          <w:bCs/>
          <w:sz w:val="30"/>
          <w:szCs w:val="30"/>
        </w:rPr>
      </w:pPr>
      <w:r>
        <w:t xml:space="preserve">8. Plan de sostenibilidad y trabajo futuro</w:t>
      </w:r>
    </w:p>
    <w:p>
      <w:pPr>
        <w:spacing w:after="160" w:line="360"/>
        <w:jc w:val="both"/>
      </w:pPr>
      <w:r>
        <w:rPr>
          <w:rFonts w:ascii="Times New Roman" w:cs="Times New Roman" w:eastAsia="Times New Roman" w:hAnsi="Times New Roman"/>
          <w:sz w:val="24"/>
          <w:szCs w:val="24"/>
        </w:rPr>
        <w:t xml:space="preserve">Esta sección diferencia dos horizontes: qué hace falta para que el proyecto se sostenga como trabajo académico entregado y mantenible, y qué haría falta — fuera del alcance de la tesina — para que Vitalis pudiera operar como producto real en un consultorio.</w:t>
      </w:r>
    </w:p>
    <w:p>
      <w:pPr>
        <w:pStyle w:val="Heading2"/>
        <w:spacing w:after="160" w:before="300"/>
        <w:rPr>
          <w:rFonts w:ascii="Times New Roman" w:cs="Times New Roman" w:eastAsia="Times New Roman" w:hAnsi="Times New Roman"/>
          <w:b/>
          <w:bCs/>
          <w:sz w:val="26"/>
          <w:szCs w:val="26"/>
        </w:rPr>
      </w:pPr>
      <w:r>
        <w:t xml:space="preserve">8.1. Sostenibilidad del proyecto académico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Control de versiones: el repositorio ya tiene su primer commit y .gitignore configurado (Logs/). Se recomienda continuar con commits pequeños y descriptivos durante las ocho semanas, de forma que el historial de Git funcione como evidencia adicional del proceso iterativo descripto en el capítulo 3 de la tesina.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Documentación viva: docs/ debe seguir actualizándose junto con el código — en particular task.md (sección 2 de este plan) y 07-estado-actual-del-sistema.md si se agregan tests o se corrigen defectos nuevos.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Trabajos futuros ya declarados: la tesina (7.2) y task.md ya listan concurrencia optimista, ocultamiento de menú por rol, expiración de token e integración con receta electrónica/firma digital como mejoras futuras. Este plan no las reemplaza; les da orden y prioridad temporal.</w:t>
      </w:r>
    </w:p>
    <w:p>
      <w:pPr>
        <w:pStyle w:val="Heading2"/>
        <w:spacing w:after="160" w:before="300"/>
        <w:rPr>
          <w:rFonts w:ascii="Times New Roman" w:cs="Times New Roman" w:eastAsia="Times New Roman" w:hAnsi="Times New Roman"/>
          <w:b/>
          <w:bCs/>
          <w:sz w:val="26"/>
          <w:szCs w:val="26"/>
        </w:rPr>
      </w:pPr>
      <w:r>
        <w:t xml:space="preserve">8.2. De proyecto académico a sistema en producción (fuera del alcance actual)</w:t>
      </w:r>
    </w:p>
    <w:p>
      <w:pPr>
        <w:spacing w:after="160" w:line="360"/>
        <w:jc w:val="both"/>
      </w:pPr>
      <w:r>
        <w:rPr>
          <w:rFonts w:ascii="Times New Roman" w:cs="Times New Roman" w:eastAsia="Times New Roman" w:hAnsi="Times New Roman"/>
          <w:sz w:val="24"/>
          <w:szCs w:val="24"/>
        </w:rPr>
        <w:t xml:space="preserve">Si en el futuro se evaluara llevar Vitalis a un consultorio real, quedarían pendientes decisiones que la tesina deja explícitamente fuera de alcance (1.5) y que conviene tener presentes para no prometerlas de más en la defensa: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Proveedor de correo real en lugar de EmailLogs simulado, y eventualmente notificaciones por SMS/WhatsApp.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Cumplimiento normativo sobre datos de salud (en Argentina, Ley 25.326 de Protección de Datos Personales y su tratamiento de datos sensibles) — hoy el sistema implementa buenas prácticas técnicas (hash de contraseñas, auditoría, baja lógica) pero no un marco de cumplimiento legal formal.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Copias de seguridad automatizadas y plan de recuperación ante desastres para la base PostgreSQL.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Observabilidad: métricas y alertas más allá de los logs de Serilog ya configurados.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Pasarela de pago real, firma digital con validez legal e interoperabilidad HL7/FHIR, ya identificadas como fuera de alcance en la tesina.</w:t>
      </w:r>
    </w:p>
    <w:p>
      <w:pPr>
        <w:spacing w:after="160" w:line="360"/>
        <w:jc w:val="both"/>
      </w:pPr>
      <w:r>
        <w:rPr>
          <w:rFonts w:ascii="Times New Roman" w:cs="Times New Roman" w:eastAsia="Times New Roman" w:hAnsi="Times New Roman"/>
          <w:sz w:val="24"/>
          <w:szCs w:val="24"/>
        </w:rPr>
        <w:t xml:space="preserve">Ninguno de estos puntos es necesario para la defensa; se incluyen para que el documento funcione también como una hoja de ruta honesta si el proyecto continúa después de aprobado, algo que suele valorarse en la instancia de preguntas del tribunal.</w:t>
      </w:r>
    </w:p>
    <w:p>
      <w:pPr>
        <w:pStyle w:val="Heading1"/>
        <w:spacing w:after="200" w:before="400"/>
        <w:rPr>
          <w:rFonts w:ascii="Times New Roman" w:cs="Times New Roman" w:eastAsia="Times New Roman" w:hAnsi="Times New Roman"/>
          <w:b/>
          <w:bCs/>
          <w:sz w:val="30"/>
          <w:szCs w:val="30"/>
        </w:rPr>
      </w:pPr>
      <w:r>
        <w:t xml:space="preserve">9. Checklist ejecutivo pre-defensa</w:t>
      </w:r>
    </w:p>
    <w:p>
      <w:pPr>
        <w:spacing w:after="160" w:line="360"/>
        <w:jc w:val="both"/>
      </w:pPr>
      <w:r>
        <w:rPr>
          <w:rFonts w:ascii="Times New Roman" w:cs="Times New Roman" w:eastAsia="Times New Roman" w:hAnsi="Times New Roman"/>
          <w:sz w:val="24"/>
          <w:szCs w:val="24"/>
        </w:rPr>
        <w:t xml:space="preserve">Resumen de control; el detalle operativo completo está en docs/09-guion-demo-y-defensa.md, sección 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Build del backend sin errores y los tests en verde (incluyendo los nuevos de la sección 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PostgreSQL corriendo y accesible; login de prueba con las tres cuentas demo.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Frontend cargando y navegable, con el menú ya filtrado por rol (semana 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Video de respaldo grabado y capturas de cada paso del recorrido (semana 7).</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Tesina con el director completado, índice actualizado y revisión ortográfica hecha (semana 6).</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Conexión al proyector probada antes del día de la defensa, no en el momento.</w:t>
      </w:r>
    </w:p>
    <w:p>
      <w:pPr>
        <w:pStyle w:val="Heading1"/>
        <w:spacing w:after="200" w:before="400"/>
        <w:rPr>
          <w:rFonts w:ascii="Times New Roman" w:cs="Times New Roman" w:eastAsia="Times New Roman" w:hAnsi="Times New Roman"/>
          <w:b/>
          <w:bCs/>
          <w:sz w:val="30"/>
          <w:szCs w:val="30"/>
        </w:rPr>
      </w:pPr>
      <w:r>
        <w:t xml:space="preserve">10. Conclusión</w:t>
      </w:r>
    </w:p>
    <w:p>
      <w:pPr>
        <w:spacing w:after="160" w:line="360"/>
        <w:jc w:val="both"/>
      </w:pPr>
      <w:r>
        <w:rPr>
          <w:rFonts w:ascii="Times New Roman" w:cs="Times New Roman" w:eastAsia="Times New Roman" w:hAnsi="Times New Roman"/>
          <w:sz w:val="24"/>
          <w:szCs w:val="24"/>
        </w:rPr>
        <w:t xml:space="preserve">Vitalis llega a esta etapa con el grueso del trabajo ya construido y documentado: los diez módulos, la seguridad por rol, la auditoría automática y una tesina redactada de punta a punta. Lo que resta hasta la defensa es acotado y de bajo riesgo técnico — cerrar dos pendientes de UX/seguridad, ampliar la cobertura de tests de forma priorizada, y dedicar las últimas semanas a pulir el documento y ensayar la demo. Con las ocho semanas disponibles distribuidas según el cronograma de la sección 4, el proyecto llega a la defensa no solo funcional, sino con un proceso de trabajo prolijo y verificable — que es, en última instancia, lo que una tesina de Analista de Sistemas debe demostrar.</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2026-08-21T22:05:32.354Z</dcterms:created>
  <dcterms:modified xsi:type="dcterms:W3CDTF">2026-08-21T22:05:32.368Z</dcterms:modified>
</cp:coreProperties>
</file>

<file path=docProps/custom.xml><?xml version="1.0" encoding="utf-8"?>
<Properties xmlns="http://schemas.openxmlformats.org/officeDocument/2006/custom-properties" xmlns:vt="http://schemas.openxmlformats.org/officeDocument/2006/docPropsVTypes"/>
</file>