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63128" w:rsidRDefault="001A3AA9">
      <w:pPr>
        <w:spacing w:before="240" w:after="80"/>
        <w:jc w:val="center"/>
      </w:pPr>
      <w:r>
        <w:rPr>
          <w:b/>
          <w:bCs/>
          <w:color w:val="1F4E79"/>
          <w:sz w:val="40"/>
          <w:szCs w:val="40"/>
        </w:rPr>
        <w:t>Modelowanie i prognozowanie cen gazu TTF</w:t>
      </w:r>
    </w:p>
    <w:p w:rsidR="00163128" w:rsidRDefault="001A3AA9">
      <w:pPr>
        <w:pStyle w:val="Nagwek1"/>
      </w:pPr>
      <w:bookmarkStart w:id="0" w:name="_GoBack"/>
      <w:bookmarkEnd w:id="0"/>
      <w:r>
        <w:t>1. Teoria</w:t>
      </w:r>
    </w:p>
    <w:p w:rsidR="00163128" w:rsidRDefault="001A3AA9">
      <w:pPr>
        <w:pStyle w:val="Nagwek2"/>
      </w:pPr>
      <w:r>
        <w:t>1.1. Rynek gazu TTF — kontekst ekonomiczny</w:t>
      </w:r>
    </w:p>
    <w:p w:rsidR="00163128" w:rsidRDefault="001A3AA9">
      <w:pPr>
        <w:spacing w:before="80" w:after="100"/>
      </w:pPr>
      <w:proofErr w:type="spellStart"/>
      <w:r>
        <w:t>Title</w:t>
      </w:r>
      <w:proofErr w:type="spellEnd"/>
      <w:r>
        <w:t xml:space="preserve"> Transfer </w:t>
      </w:r>
      <w:proofErr w:type="spellStart"/>
      <w:r>
        <w:t>Facility</w:t>
      </w:r>
      <w:proofErr w:type="spellEnd"/>
      <w:r>
        <w:t xml:space="preserve"> (TTF) to holenderski wirtualny hub gazowy, będący głównym punktem referencyjnym dla cen gazu ziemnego w Europie. Notowania TTF wyznaczają benchmark cenowy dla kontraktów spot i terminowych (</w:t>
      </w:r>
      <w:proofErr w:type="spellStart"/>
      <w:r>
        <w:t>futures</w:t>
      </w:r>
      <w:proofErr w:type="spellEnd"/>
      <w:r>
        <w:t>) zawieranych zarówno na giełdzie I</w:t>
      </w:r>
      <w:r>
        <w:t xml:space="preserve">CE </w:t>
      </w:r>
      <w:proofErr w:type="spellStart"/>
      <w:r>
        <w:t>Endex</w:t>
      </w:r>
      <w:proofErr w:type="spellEnd"/>
      <w:r>
        <w:t>, jak i na rynku OTC. Ceny wyrażane są w EUR/MWh i odzwierciedlają równowagę popytu oraz podaży gazu ziemnego na rynku europejskim.</w:t>
      </w:r>
    </w:p>
    <w:p w:rsidR="00163128" w:rsidRDefault="001A3AA9">
      <w:pPr>
        <w:spacing w:before="80" w:after="100"/>
      </w:pPr>
      <w:r>
        <w:t>Dynamika cen TTF jest określana przez szereg wzajemnie powiązanych czynników:</w:t>
      </w:r>
    </w:p>
    <w:p w:rsidR="00163128" w:rsidRDefault="001A3AA9">
      <w:pPr>
        <w:pStyle w:val="Akapitzlist"/>
        <w:numPr>
          <w:ilvl w:val="0"/>
          <w:numId w:val="2"/>
        </w:numPr>
        <w:spacing w:before="60" w:after="60"/>
      </w:pPr>
      <w:r>
        <w:t>Popytowych: temperatura powietrza (sez</w:t>
      </w:r>
      <w:r>
        <w:t>onowość zużycia), aktywność przemysłowa, konkurencja między nośnikami energii (gaz vs. energia elektryczna).</w:t>
      </w:r>
    </w:p>
    <w:p w:rsidR="00163128" w:rsidRDefault="001A3AA9">
      <w:pPr>
        <w:pStyle w:val="Akapitzlist"/>
        <w:numPr>
          <w:ilvl w:val="0"/>
          <w:numId w:val="2"/>
        </w:numPr>
        <w:spacing w:before="60" w:after="60"/>
      </w:pPr>
      <w:r>
        <w:t>Podażowych: poziom zapasów magazynowych w UE, przepustowość i ciągłość dostaw rurociągowych, import LNG z USA, Kataru i Australii.</w:t>
      </w:r>
    </w:p>
    <w:p w:rsidR="00163128" w:rsidRDefault="001A3AA9">
      <w:pPr>
        <w:pStyle w:val="Akapitzlist"/>
        <w:numPr>
          <w:ilvl w:val="0"/>
          <w:numId w:val="2"/>
        </w:numPr>
        <w:spacing w:before="60" w:after="60"/>
      </w:pPr>
      <w:r>
        <w:t>Makroekonomiczny</w:t>
      </w:r>
      <w:r>
        <w:t xml:space="preserve">ch: kurs EUR/USD, ceny ropy </w:t>
      </w:r>
      <w:proofErr w:type="spellStart"/>
      <w:r>
        <w:t>Brent</w:t>
      </w:r>
      <w:proofErr w:type="spellEnd"/>
      <w:r>
        <w:t xml:space="preserve"> (historyczne powiązania kontraktowe), wycena uprawnień ETS.</w:t>
      </w:r>
    </w:p>
    <w:p w:rsidR="00163128" w:rsidRDefault="001A3AA9">
      <w:pPr>
        <w:pStyle w:val="Akapitzlist"/>
        <w:numPr>
          <w:ilvl w:val="0"/>
          <w:numId w:val="2"/>
        </w:numPr>
        <w:spacing w:before="60" w:after="60"/>
      </w:pPr>
      <w:r>
        <w:t xml:space="preserve">Geopolitycznych: konflikty zbrojne, sankcje, decyzje </w:t>
      </w:r>
      <w:proofErr w:type="spellStart"/>
      <w:r>
        <w:t>regulatoryjne</w:t>
      </w:r>
      <w:proofErr w:type="spellEnd"/>
      <w:r>
        <w:t xml:space="preserve"> wpływające na tranzyt surowca.</w:t>
      </w:r>
    </w:p>
    <w:p w:rsidR="00163128" w:rsidRDefault="001A3AA9">
      <w:pPr>
        <w:spacing w:before="80" w:after="100"/>
      </w:pPr>
      <w:r>
        <w:t>Szczególnym przypadkiem był rok 2022, gdy odcięcie dostaw z Rosj</w:t>
      </w:r>
      <w:r>
        <w:t>i doprowadziło do wzrostu cen TTF do poziomu ponad 300 EUR/MWh (sierpień 2022), co stanowiło impuls do fundamentalnej restrukturyzacji europejskiego rynku gazu oraz dramatycznego wzrostu zmienności szeregu czasowego.</w:t>
      </w:r>
    </w:p>
    <w:p w:rsidR="00163128" w:rsidRDefault="001A3AA9">
      <w:pPr>
        <w:pStyle w:val="Nagwek2"/>
      </w:pPr>
      <w:r>
        <w:t>1.2. Szeregi czasowe — właściwości i tr</w:t>
      </w:r>
      <w:r>
        <w:t>ansformacje</w:t>
      </w:r>
    </w:p>
    <w:p w:rsidR="00163128" w:rsidRDefault="001A3AA9">
      <w:pPr>
        <w:spacing w:before="80" w:after="100"/>
      </w:pPr>
      <w:r>
        <w:t>Ceny gazu TTF obserwowane są jako szereg czasowy (</w:t>
      </w:r>
      <w:proofErr w:type="spellStart"/>
      <w:r>
        <w:rPr>
          <w:i/>
          <w:iCs/>
        </w:rPr>
        <w:t>time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series</w:t>
      </w:r>
      <w:proofErr w:type="spellEnd"/>
      <w:r>
        <w:t>) — uporządkowany ciąg obserwacji zmiennej w równych odstępach czasu. W analizie stosuje się zapis y</w:t>
      </w:r>
      <w:r>
        <w:rPr>
          <w:b/>
          <w:bCs/>
        </w:rPr>
        <w:t>ₜ</w:t>
      </w:r>
      <w:r>
        <w:t>, gdzie t oznacza kolejny moment obserwacji (np. dzień transakcyjny). Analiza szer</w:t>
      </w:r>
      <w:r>
        <w:t>egów czasowych opiera się na założeniu, że wartości historyczne zmiennej zawierają informację o jej przyszłej dynamice.</w:t>
      </w:r>
    </w:p>
    <w:p w:rsidR="00163128" w:rsidRDefault="001A3AA9">
      <w:pPr>
        <w:pStyle w:val="Nagwek1"/>
      </w:pPr>
      <w:r>
        <w:t>2. Wstępne wskazanie zmiennych</w:t>
      </w:r>
    </w:p>
    <w:p w:rsidR="00163128" w:rsidRDefault="001A3AA9">
      <w:pPr>
        <w:spacing w:before="80" w:after="100"/>
      </w:pPr>
      <w:r>
        <w:t>Zestaw zmiennych używanych w projekcie zestawiono w poniższej tabeli: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38"/>
        <w:gridCol w:w="2634"/>
        <w:gridCol w:w="2030"/>
        <w:gridCol w:w="2524"/>
      </w:tblGrid>
      <w:tr w:rsidR="0016312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63128" w:rsidRDefault="001A3AA9">
            <w:r>
              <w:rPr>
                <w:b/>
                <w:bCs/>
                <w:color w:val="FFFFFF"/>
                <w:sz w:val="20"/>
                <w:szCs w:val="20"/>
              </w:rPr>
              <w:t>Zmienna</w:t>
            </w:r>
          </w:p>
        </w:tc>
        <w:tc>
          <w:tcPr>
            <w:tcW w:w="28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63128" w:rsidRDefault="001A3AA9">
            <w:r>
              <w:rPr>
                <w:b/>
                <w:bCs/>
                <w:color w:val="FFFFFF"/>
                <w:sz w:val="20"/>
                <w:szCs w:val="20"/>
              </w:rPr>
              <w:t>Opis</w:t>
            </w:r>
          </w:p>
        </w:tc>
        <w:tc>
          <w:tcPr>
            <w:tcW w:w="15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63128" w:rsidRDefault="001A3AA9">
            <w:r>
              <w:rPr>
                <w:b/>
                <w:bCs/>
                <w:color w:val="FFFFFF"/>
                <w:sz w:val="20"/>
                <w:szCs w:val="20"/>
              </w:rPr>
              <w:t>Częstotliwość</w:t>
            </w:r>
          </w:p>
        </w:tc>
        <w:tc>
          <w:tcPr>
            <w:tcW w:w="2726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63128" w:rsidRDefault="001A3AA9">
            <w:r>
              <w:rPr>
                <w:b/>
                <w:bCs/>
                <w:color w:val="FFFFFF"/>
                <w:sz w:val="20"/>
                <w:szCs w:val="20"/>
              </w:rPr>
              <w:t>Źródło</w:t>
            </w:r>
          </w:p>
        </w:tc>
      </w:tr>
      <w:tr w:rsidR="00163128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63128" w:rsidRDefault="001A3AA9">
            <w:r>
              <w:rPr>
                <w:sz w:val="20"/>
                <w:szCs w:val="20"/>
              </w:rPr>
              <w:t>TTF spot/</w:t>
            </w:r>
            <w:proofErr w:type="spellStart"/>
            <w:r>
              <w:rPr>
                <w:sz w:val="20"/>
                <w:szCs w:val="20"/>
              </w:rPr>
              <w:t>futures</w:t>
            </w:r>
            <w:proofErr w:type="spellEnd"/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63128" w:rsidRDefault="001A3AA9">
            <w:r>
              <w:rPr>
                <w:sz w:val="20"/>
                <w:szCs w:val="20"/>
              </w:rPr>
              <w:t>Cena gazu [EUR/MWh] — zmienna zależna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63128" w:rsidRDefault="001A3AA9">
            <w:r>
              <w:rPr>
                <w:sz w:val="20"/>
                <w:szCs w:val="20"/>
              </w:rPr>
              <w:t>Dzienna/miesięczna</w:t>
            </w:r>
          </w:p>
        </w:tc>
        <w:tc>
          <w:tcPr>
            <w:tcW w:w="2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63128" w:rsidRDefault="001A3AA9">
            <w:r>
              <w:rPr>
                <w:sz w:val="20"/>
                <w:szCs w:val="20"/>
              </w:rPr>
              <w:t>FRED, ICE</w:t>
            </w:r>
          </w:p>
        </w:tc>
      </w:tr>
      <w:tr w:rsidR="00163128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63128" w:rsidRDefault="001A3AA9">
            <w:r>
              <w:rPr>
                <w:sz w:val="20"/>
                <w:szCs w:val="20"/>
              </w:rPr>
              <w:t>Temp. Europa Zach.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63128" w:rsidRDefault="001A3AA9">
            <w:proofErr w:type="spellStart"/>
            <w:r>
              <w:rPr>
                <w:sz w:val="20"/>
                <w:szCs w:val="20"/>
              </w:rPr>
              <w:t>Średniatempteratura</w:t>
            </w:r>
            <w:proofErr w:type="spellEnd"/>
            <w:r>
              <w:rPr>
                <w:sz w:val="20"/>
                <w:szCs w:val="20"/>
              </w:rPr>
              <w:t xml:space="preserve"> (°C) — </w:t>
            </w:r>
            <w:proofErr w:type="spellStart"/>
            <w:r>
              <w:rPr>
                <w:sz w:val="20"/>
                <w:szCs w:val="20"/>
              </w:rPr>
              <w:t>proxy</w:t>
            </w:r>
            <w:proofErr w:type="spellEnd"/>
            <w:r>
              <w:rPr>
                <w:sz w:val="20"/>
                <w:szCs w:val="20"/>
              </w:rPr>
              <w:t xml:space="preserve"> popytu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63128" w:rsidRDefault="001A3AA9">
            <w:r>
              <w:rPr>
                <w:sz w:val="20"/>
                <w:szCs w:val="20"/>
              </w:rPr>
              <w:t>Miesięczna</w:t>
            </w:r>
          </w:p>
        </w:tc>
        <w:tc>
          <w:tcPr>
            <w:tcW w:w="2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63128" w:rsidRDefault="001A3AA9">
            <w:r>
              <w:rPr>
                <w:sz w:val="20"/>
                <w:szCs w:val="20"/>
              </w:rPr>
              <w:t>ERA5/Copernicus</w:t>
            </w:r>
          </w:p>
        </w:tc>
      </w:tr>
      <w:tr w:rsidR="00163128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63128" w:rsidRDefault="001A3AA9">
            <w:r>
              <w:rPr>
                <w:sz w:val="20"/>
                <w:szCs w:val="20"/>
              </w:rPr>
              <w:t>Zapasy gazu UE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63128" w:rsidRDefault="001A3AA9">
            <w:r>
              <w:rPr>
                <w:sz w:val="20"/>
                <w:szCs w:val="20"/>
              </w:rPr>
              <w:t>Poziom wypełnienia magazynów [%]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63128" w:rsidRDefault="001A3AA9">
            <w:r>
              <w:rPr>
                <w:sz w:val="20"/>
                <w:szCs w:val="20"/>
              </w:rPr>
              <w:t>Tygodniowa</w:t>
            </w:r>
          </w:p>
        </w:tc>
        <w:tc>
          <w:tcPr>
            <w:tcW w:w="2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63128" w:rsidRDefault="001A3AA9">
            <w:r>
              <w:rPr>
                <w:sz w:val="20"/>
                <w:szCs w:val="20"/>
              </w:rPr>
              <w:t>GIE AGSI+</w:t>
            </w:r>
          </w:p>
        </w:tc>
      </w:tr>
      <w:tr w:rsidR="00163128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63128" w:rsidRDefault="001A3AA9">
            <w:r>
              <w:rPr>
                <w:sz w:val="20"/>
                <w:szCs w:val="20"/>
              </w:rPr>
              <w:t>Kurs EUR/USD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63128" w:rsidRDefault="001A3AA9">
            <w:r>
              <w:rPr>
                <w:sz w:val="20"/>
                <w:szCs w:val="20"/>
              </w:rPr>
              <w:t>Przelicznik walutowy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63128" w:rsidRDefault="001A3AA9">
            <w:r>
              <w:rPr>
                <w:sz w:val="20"/>
                <w:szCs w:val="20"/>
              </w:rPr>
              <w:t>Dzienna</w:t>
            </w:r>
          </w:p>
        </w:tc>
        <w:tc>
          <w:tcPr>
            <w:tcW w:w="2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63128" w:rsidRDefault="001A3AA9">
            <w:r>
              <w:rPr>
                <w:sz w:val="20"/>
                <w:szCs w:val="20"/>
              </w:rPr>
              <w:t>FRED</w:t>
            </w:r>
          </w:p>
        </w:tc>
      </w:tr>
      <w:tr w:rsidR="00163128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63128" w:rsidRDefault="001A3AA9">
            <w:r>
              <w:rPr>
                <w:sz w:val="20"/>
                <w:szCs w:val="20"/>
              </w:rPr>
              <w:t xml:space="preserve">Cena ropy </w:t>
            </w:r>
            <w:proofErr w:type="spellStart"/>
            <w:r>
              <w:rPr>
                <w:sz w:val="20"/>
                <w:szCs w:val="20"/>
              </w:rPr>
              <w:t>Brent</w:t>
            </w:r>
            <w:proofErr w:type="spellEnd"/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63128" w:rsidRDefault="001A3AA9">
            <w:r>
              <w:rPr>
                <w:sz w:val="20"/>
                <w:szCs w:val="20"/>
              </w:rPr>
              <w:t>Historyczne powiązanie kontraktowe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63128" w:rsidRDefault="001A3AA9">
            <w:r>
              <w:rPr>
                <w:sz w:val="20"/>
                <w:szCs w:val="20"/>
              </w:rPr>
              <w:t>Dzienna</w:t>
            </w:r>
          </w:p>
        </w:tc>
        <w:tc>
          <w:tcPr>
            <w:tcW w:w="2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63128" w:rsidRDefault="001A3AA9">
            <w:r>
              <w:rPr>
                <w:sz w:val="20"/>
                <w:szCs w:val="20"/>
              </w:rPr>
              <w:t>EIA, FRED</w:t>
            </w:r>
          </w:p>
        </w:tc>
      </w:tr>
      <w:tr w:rsidR="00163128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63128" w:rsidRDefault="001A3AA9">
            <w:r>
              <w:rPr>
                <w:sz w:val="20"/>
                <w:szCs w:val="20"/>
              </w:rPr>
              <w:lastRenderedPageBreak/>
              <w:t>Produkcja LNG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63128" w:rsidRDefault="001A3AA9">
            <w:r>
              <w:rPr>
                <w:sz w:val="20"/>
                <w:szCs w:val="20"/>
              </w:rPr>
              <w:t>Import LNG do Europy [</w:t>
            </w:r>
            <w:proofErr w:type="spellStart"/>
            <w:r>
              <w:rPr>
                <w:sz w:val="20"/>
                <w:szCs w:val="20"/>
              </w:rPr>
              <w:t>TWh</w:t>
            </w:r>
            <w:proofErr w:type="spellEnd"/>
            <w:r>
              <w:rPr>
                <w:sz w:val="20"/>
                <w:szCs w:val="20"/>
              </w:rPr>
              <w:t>]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63128" w:rsidRDefault="001A3AA9">
            <w:r>
              <w:rPr>
                <w:sz w:val="20"/>
                <w:szCs w:val="20"/>
              </w:rPr>
              <w:t>Miesięczna</w:t>
            </w:r>
          </w:p>
        </w:tc>
        <w:tc>
          <w:tcPr>
            <w:tcW w:w="2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63128" w:rsidRDefault="001A3AA9">
            <w:r>
              <w:rPr>
                <w:sz w:val="20"/>
                <w:szCs w:val="20"/>
              </w:rPr>
              <w:t>Eurostat</w:t>
            </w:r>
          </w:p>
        </w:tc>
      </w:tr>
    </w:tbl>
    <w:p w:rsidR="00163128" w:rsidRDefault="001A3AA9">
      <w:pPr>
        <w:pStyle w:val="Nagwek1"/>
      </w:pPr>
      <w:r>
        <w:t>3. Mechanizm funkcjonowania</w:t>
      </w:r>
    </w:p>
    <w:p w:rsidR="00163128" w:rsidRDefault="001A3AA9">
      <w:pPr>
        <w:pStyle w:val="Nagwek2"/>
      </w:pPr>
      <w:r>
        <w:t>3.1. Ekonomiczny</w:t>
      </w:r>
    </w:p>
    <w:p w:rsidR="00163128" w:rsidRDefault="001A3AA9">
      <w:pPr>
        <w:spacing w:before="80" w:after="100"/>
      </w:pPr>
      <w:r>
        <w:rPr>
          <w:b/>
          <w:bCs/>
        </w:rPr>
        <w:t>Szok popytowy</w:t>
      </w:r>
      <w:r>
        <w:t xml:space="preserve"> (np. mroźna zima) → wzrost zużycia → spadek zapasów → presja na wzrost ceny.</w:t>
      </w:r>
    </w:p>
    <w:p w:rsidR="00163128" w:rsidRDefault="001A3AA9">
      <w:pPr>
        <w:spacing w:before="80" w:after="100"/>
      </w:pPr>
      <w:r>
        <w:rPr>
          <w:b/>
          <w:bCs/>
        </w:rPr>
        <w:t>Szok podażowy</w:t>
      </w:r>
      <w:r>
        <w:t xml:space="preserve"> (np. odcięcie dostaw z Rosji jak w 2022) → dramatyczny wzrost ceny + wzrost zmienności.</w:t>
      </w:r>
    </w:p>
    <w:p w:rsidR="00163128" w:rsidRDefault="001A3AA9">
      <w:pPr>
        <w:spacing w:before="80" w:after="100"/>
      </w:pPr>
      <w:r>
        <w:rPr>
          <w:b/>
          <w:bCs/>
        </w:rPr>
        <w:t>Powrót do równowagi</w:t>
      </w:r>
      <w:r>
        <w:t xml:space="preserve"> — wzrost ceny stymuluje import LNG i ograniczenie zużyci</w:t>
      </w:r>
      <w:r>
        <w:t>a przemysłowego → stopniowy spadek.</w:t>
      </w:r>
    </w:p>
    <w:p w:rsidR="00163128" w:rsidRDefault="001A3AA9">
      <w:pPr>
        <w:pStyle w:val="Nagwek2"/>
      </w:pPr>
      <w:r>
        <w:t>3.2. Statystyczny — etapy modelowania</w:t>
      </w:r>
    </w:p>
    <w:p w:rsidR="00163128" w:rsidRDefault="001A3AA9">
      <w:pPr>
        <w:pStyle w:val="Akapitzlist"/>
        <w:numPr>
          <w:ilvl w:val="0"/>
          <w:numId w:val="3"/>
        </w:numPr>
        <w:spacing w:before="60" w:after="60"/>
      </w:pPr>
      <w:r>
        <w:rPr>
          <w:b/>
          <w:bCs/>
        </w:rPr>
        <w:t xml:space="preserve">Różnicowanie szeregu (d = 1): </w:t>
      </w:r>
      <w:r>
        <w:t>usunięcie trendu, uzyskanie stacjonarności</w:t>
      </w:r>
    </w:p>
    <w:p w:rsidR="00163128" w:rsidRDefault="001A3AA9">
      <w:pPr>
        <w:pStyle w:val="Akapitzlist"/>
        <w:numPr>
          <w:ilvl w:val="0"/>
          <w:numId w:val="3"/>
        </w:numPr>
        <w:spacing w:before="60" w:after="60"/>
      </w:pPr>
      <w:r>
        <w:rPr>
          <w:b/>
          <w:bCs/>
        </w:rPr>
        <w:t xml:space="preserve">Identyfikacja ACF / PACF: </w:t>
      </w:r>
      <w:r>
        <w:t>wybór rzędów p i q</w:t>
      </w:r>
    </w:p>
    <w:p w:rsidR="00163128" w:rsidRDefault="001A3AA9">
      <w:pPr>
        <w:pStyle w:val="Akapitzlist"/>
        <w:numPr>
          <w:ilvl w:val="0"/>
          <w:numId w:val="3"/>
        </w:numPr>
        <w:spacing w:before="60" w:after="60"/>
      </w:pPr>
      <w:r>
        <w:rPr>
          <w:b/>
          <w:bCs/>
        </w:rPr>
        <w:t xml:space="preserve">Estymacja ARIMA: </w:t>
      </w:r>
      <w:r>
        <w:t>modelowanie warunkowej średnich (prognoza kierunku)</w:t>
      </w:r>
    </w:p>
    <w:p w:rsidR="00163128" w:rsidRDefault="001A3AA9">
      <w:pPr>
        <w:pStyle w:val="Akapitzlist"/>
        <w:numPr>
          <w:ilvl w:val="0"/>
          <w:numId w:val="3"/>
        </w:numPr>
        <w:spacing w:before="60" w:after="60"/>
      </w:pPr>
      <w:r>
        <w:rPr>
          <w:b/>
          <w:bCs/>
        </w:rPr>
        <w:t xml:space="preserve">Test ARCH-LM na resztach: </w:t>
      </w:r>
      <w:r>
        <w:t>weryfikacja potrzeby zastosowania GARCH</w:t>
      </w:r>
    </w:p>
    <w:p w:rsidR="00163128" w:rsidRDefault="001A3AA9">
      <w:pPr>
        <w:pStyle w:val="Akapitzlist"/>
        <w:numPr>
          <w:ilvl w:val="0"/>
          <w:numId w:val="3"/>
        </w:numPr>
        <w:spacing w:before="60" w:after="60"/>
      </w:pPr>
      <w:r>
        <w:rPr>
          <w:b/>
          <w:bCs/>
        </w:rPr>
        <w:t xml:space="preserve">Estymacja GARCH: </w:t>
      </w:r>
      <w:r>
        <w:t>modelowanie warunkowej wariancji (prognoza zmienności)</w:t>
      </w:r>
    </w:p>
    <w:p w:rsidR="00163128" w:rsidRDefault="001A3AA9">
      <w:pPr>
        <w:pStyle w:val="Akapitzlist"/>
        <w:numPr>
          <w:ilvl w:val="0"/>
          <w:numId w:val="3"/>
        </w:numPr>
        <w:spacing w:before="60" w:after="60"/>
      </w:pPr>
      <w:r>
        <w:rPr>
          <w:b/>
          <w:bCs/>
        </w:rPr>
        <w:t xml:space="preserve">Ocena modelu: </w:t>
      </w:r>
      <w:r>
        <w:t xml:space="preserve">AIC/BIC, </w:t>
      </w:r>
      <w:proofErr w:type="spellStart"/>
      <w:r>
        <w:t>Ljung</w:t>
      </w:r>
      <w:proofErr w:type="spellEnd"/>
      <w:r>
        <w:t>-Box, diagnostyka reszt</w:t>
      </w:r>
    </w:p>
    <w:p w:rsidR="00163128" w:rsidRDefault="00163128">
      <w:pPr>
        <w:pBdr>
          <w:bottom w:val="single" w:sz="3" w:space="1" w:color="CCCCCC"/>
        </w:pBdr>
        <w:spacing w:before="80" w:after="80"/>
      </w:pPr>
    </w:p>
    <w:p w:rsidR="00163128" w:rsidRDefault="00163128">
      <w:pPr>
        <w:spacing w:before="80" w:after="80"/>
        <w:ind w:left="360"/>
      </w:pPr>
    </w:p>
    <w:sectPr w:rsidR="00163128">
      <w:foot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A3AA9" w:rsidRDefault="001A3AA9">
      <w:r>
        <w:separator/>
      </w:r>
    </w:p>
  </w:endnote>
  <w:endnote w:type="continuationSeparator" w:id="0">
    <w:p w:rsidR="001A3AA9" w:rsidRDefault="001A3AA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63128" w:rsidRDefault="00163128">
    <w:pPr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A3AA9" w:rsidRDefault="001A3AA9">
      <w:r>
        <w:separator/>
      </w:r>
    </w:p>
  </w:footnote>
  <w:footnote w:type="continuationSeparator" w:id="0">
    <w:p w:rsidR="001A3AA9" w:rsidRDefault="001A3AA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CF47104"/>
    <w:multiLevelType w:val="hybridMultilevel"/>
    <w:tmpl w:val="DD1054DE"/>
    <w:lvl w:ilvl="0" w:tplc="324C0BE0">
      <w:start w:val="1"/>
      <w:numFmt w:val="bullet"/>
      <w:lvlText w:val="●"/>
      <w:lvlJc w:val="left"/>
      <w:pPr>
        <w:ind w:left="720" w:hanging="360"/>
      </w:pPr>
    </w:lvl>
    <w:lvl w:ilvl="1" w:tplc="E30A7F52">
      <w:start w:val="1"/>
      <w:numFmt w:val="bullet"/>
      <w:lvlText w:val="○"/>
      <w:lvlJc w:val="left"/>
      <w:pPr>
        <w:ind w:left="1440" w:hanging="360"/>
      </w:pPr>
    </w:lvl>
    <w:lvl w:ilvl="2" w:tplc="DDA82C32">
      <w:start w:val="1"/>
      <w:numFmt w:val="bullet"/>
      <w:lvlText w:val="■"/>
      <w:lvlJc w:val="left"/>
      <w:pPr>
        <w:ind w:left="2160" w:hanging="360"/>
      </w:pPr>
    </w:lvl>
    <w:lvl w:ilvl="3" w:tplc="ED44E770">
      <w:start w:val="1"/>
      <w:numFmt w:val="bullet"/>
      <w:lvlText w:val="●"/>
      <w:lvlJc w:val="left"/>
      <w:pPr>
        <w:ind w:left="2880" w:hanging="360"/>
      </w:pPr>
    </w:lvl>
    <w:lvl w:ilvl="4" w:tplc="46A0B6F0">
      <w:start w:val="1"/>
      <w:numFmt w:val="bullet"/>
      <w:lvlText w:val="○"/>
      <w:lvlJc w:val="left"/>
      <w:pPr>
        <w:ind w:left="3600" w:hanging="360"/>
      </w:pPr>
    </w:lvl>
    <w:lvl w:ilvl="5" w:tplc="9C364412">
      <w:start w:val="1"/>
      <w:numFmt w:val="bullet"/>
      <w:lvlText w:val="■"/>
      <w:lvlJc w:val="left"/>
      <w:pPr>
        <w:ind w:left="4320" w:hanging="360"/>
      </w:pPr>
    </w:lvl>
    <w:lvl w:ilvl="6" w:tplc="F922355A">
      <w:start w:val="1"/>
      <w:numFmt w:val="bullet"/>
      <w:lvlText w:val="●"/>
      <w:lvlJc w:val="left"/>
      <w:pPr>
        <w:ind w:left="5040" w:hanging="360"/>
      </w:pPr>
    </w:lvl>
    <w:lvl w:ilvl="7" w:tplc="365010EC">
      <w:start w:val="1"/>
      <w:numFmt w:val="bullet"/>
      <w:lvlText w:val="●"/>
      <w:lvlJc w:val="left"/>
      <w:pPr>
        <w:ind w:left="5760" w:hanging="360"/>
      </w:pPr>
    </w:lvl>
    <w:lvl w:ilvl="8" w:tplc="8E5E29D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6901641"/>
    <w:multiLevelType w:val="hybridMultilevel"/>
    <w:tmpl w:val="DB4A6114"/>
    <w:lvl w:ilvl="0" w:tplc="9F80811E">
      <w:start w:val="1"/>
      <w:numFmt w:val="decimal"/>
      <w:lvlText w:val="%1."/>
      <w:lvlJc w:val="left"/>
      <w:pPr>
        <w:ind w:left="720" w:hanging="360"/>
      </w:pPr>
    </w:lvl>
    <w:lvl w:ilvl="1" w:tplc="E0909EBA">
      <w:numFmt w:val="decimal"/>
      <w:lvlText w:val=""/>
      <w:lvlJc w:val="left"/>
    </w:lvl>
    <w:lvl w:ilvl="2" w:tplc="AC92CE2C">
      <w:numFmt w:val="decimal"/>
      <w:lvlText w:val=""/>
      <w:lvlJc w:val="left"/>
    </w:lvl>
    <w:lvl w:ilvl="3" w:tplc="064CE700">
      <w:numFmt w:val="decimal"/>
      <w:lvlText w:val=""/>
      <w:lvlJc w:val="left"/>
    </w:lvl>
    <w:lvl w:ilvl="4" w:tplc="7AFE0048">
      <w:numFmt w:val="decimal"/>
      <w:lvlText w:val=""/>
      <w:lvlJc w:val="left"/>
    </w:lvl>
    <w:lvl w:ilvl="5" w:tplc="2B76B614">
      <w:numFmt w:val="decimal"/>
      <w:lvlText w:val=""/>
      <w:lvlJc w:val="left"/>
    </w:lvl>
    <w:lvl w:ilvl="6" w:tplc="A8400D02">
      <w:numFmt w:val="decimal"/>
      <w:lvlText w:val=""/>
      <w:lvlJc w:val="left"/>
    </w:lvl>
    <w:lvl w:ilvl="7" w:tplc="7B587A34">
      <w:numFmt w:val="decimal"/>
      <w:lvlText w:val=""/>
      <w:lvlJc w:val="left"/>
    </w:lvl>
    <w:lvl w:ilvl="8" w:tplc="B290DA54">
      <w:numFmt w:val="decimal"/>
      <w:lvlText w:val=""/>
      <w:lvlJc w:val="left"/>
    </w:lvl>
  </w:abstractNum>
  <w:abstractNum w:abstractNumId="2" w15:restartNumberingAfterBreak="0">
    <w:nsid w:val="609A2FCE"/>
    <w:multiLevelType w:val="hybridMultilevel"/>
    <w:tmpl w:val="3F0886B2"/>
    <w:lvl w:ilvl="0" w:tplc="CBE8049C">
      <w:start w:val="1"/>
      <w:numFmt w:val="bullet"/>
      <w:lvlText w:val="•"/>
      <w:lvlJc w:val="left"/>
      <w:pPr>
        <w:ind w:left="720" w:hanging="360"/>
      </w:pPr>
    </w:lvl>
    <w:lvl w:ilvl="1" w:tplc="3B908888">
      <w:numFmt w:val="decimal"/>
      <w:lvlText w:val=""/>
      <w:lvlJc w:val="left"/>
    </w:lvl>
    <w:lvl w:ilvl="2" w:tplc="5ECE9D14">
      <w:numFmt w:val="decimal"/>
      <w:lvlText w:val=""/>
      <w:lvlJc w:val="left"/>
    </w:lvl>
    <w:lvl w:ilvl="3" w:tplc="A51A60D2">
      <w:numFmt w:val="decimal"/>
      <w:lvlText w:val=""/>
      <w:lvlJc w:val="left"/>
    </w:lvl>
    <w:lvl w:ilvl="4" w:tplc="EE8E715A">
      <w:numFmt w:val="decimal"/>
      <w:lvlText w:val=""/>
      <w:lvlJc w:val="left"/>
    </w:lvl>
    <w:lvl w:ilvl="5" w:tplc="F07A055E">
      <w:numFmt w:val="decimal"/>
      <w:lvlText w:val=""/>
      <w:lvlJc w:val="left"/>
    </w:lvl>
    <w:lvl w:ilvl="6" w:tplc="55425176">
      <w:numFmt w:val="decimal"/>
      <w:lvlText w:val=""/>
      <w:lvlJc w:val="left"/>
    </w:lvl>
    <w:lvl w:ilvl="7" w:tplc="79088D78">
      <w:numFmt w:val="decimal"/>
      <w:lvlText w:val=""/>
      <w:lvlJc w:val="left"/>
    </w:lvl>
    <w:lvl w:ilvl="8" w:tplc="D96E0980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63128"/>
    <w:rsid w:val="00163128"/>
    <w:rsid w:val="001A3AA9"/>
    <w:rsid w:val="00FB62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90C67A"/>
  <w15:docId w15:val="{4C77501F-D574-436D-8CD9-B8A551A790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pl-PL" w:eastAsia="pl-PL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ny">
    <w:name w:val="Normal"/>
    <w:qFormat/>
  </w:style>
  <w:style w:type="paragraph" w:styleId="Nagwek1">
    <w:name w:val="heading 1"/>
    <w:qFormat/>
    <w:pPr>
      <w:spacing w:before="320" w:after="160"/>
      <w:outlineLvl w:val="0"/>
    </w:pPr>
    <w:rPr>
      <w:b/>
      <w:bCs/>
      <w:color w:val="1F4E79"/>
      <w:sz w:val="30"/>
      <w:szCs w:val="30"/>
    </w:rPr>
  </w:style>
  <w:style w:type="paragraph" w:styleId="Nagwek2">
    <w:name w:val="heading 2"/>
    <w:qFormat/>
    <w:pPr>
      <w:spacing w:before="240" w:after="120"/>
      <w:outlineLvl w:val="1"/>
    </w:pPr>
    <w:rPr>
      <w:b/>
      <w:bCs/>
      <w:color w:val="2E74B5"/>
      <w:sz w:val="26"/>
      <w:szCs w:val="26"/>
    </w:rPr>
  </w:style>
  <w:style w:type="paragraph" w:styleId="Nagwek3">
    <w:name w:val="heading 3"/>
    <w:qFormat/>
    <w:pPr>
      <w:outlineLvl w:val="2"/>
    </w:pPr>
    <w:rPr>
      <w:color w:val="1F4D78"/>
      <w:sz w:val="24"/>
      <w:szCs w:val="24"/>
    </w:rPr>
  </w:style>
  <w:style w:type="paragraph" w:styleId="Nagwek4">
    <w:name w:val="heading 4"/>
    <w:qFormat/>
    <w:pPr>
      <w:outlineLvl w:val="3"/>
    </w:pPr>
    <w:rPr>
      <w:i/>
      <w:iCs/>
      <w:color w:val="2E74B5"/>
    </w:rPr>
  </w:style>
  <w:style w:type="paragraph" w:styleId="Nagwek5">
    <w:name w:val="heading 5"/>
    <w:qFormat/>
    <w:pPr>
      <w:outlineLvl w:val="4"/>
    </w:pPr>
    <w:rPr>
      <w:color w:val="2E74B5"/>
    </w:rPr>
  </w:style>
  <w:style w:type="paragraph" w:styleId="Nagwek6">
    <w:name w:val="heading 6"/>
    <w:qFormat/>
    <w:pPr>
      <w:outlineLvl w:val="5"/>
    </w:pPr>
    <w:rPr>
      <w:color w:val="1F4D7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Tytu">
    <w:name w:val="Title"/>
    <w:qFormat/>
    <w:rPr>
      <w:sz w:val="56"/>
      <w:szCs w:val="56"/>
    </w:rPr>
  </w:style>
  <w:style w:type="paragraph" w:customStyle="1" w:styleId="Pogrubienie1">
    <w:name w:val="Pogrubienie1"/>
    <w:qFormat/>
    <w:rPr>
      <w:b/>
      <w:bCs/>
    </w:rPr>
  </w:style>
  <w:style w:type="paragraph" w:styleId="Akapitzlist">
    <w:name w:val="List Paragraph"/>
    <w:qFormat/>
  </w:style>
  <w:style w:type="character" w:styleId="Hipercze">
    <w:name w:val="Hyperlink"/>
    <w:uiPriority w:val="99"/>
    <w:unhideWhenUsed/>
    <w:rPr>
      <w:color w:val="0563C1"/>
      <w:u w:val="single"/>
    </w:rPr>
  </w:style>
  <w:style w:type="character" w:styleId="Odwoanieprzypisudolnego">
    <w:name w:val="footnote reference"/>
    <w:uiPriority w:val="99"/>
    <w:semiHidden/>
    <w:unhideWhenUsed/>
    <w:rPr>
      <w:vertAlign w:val="superscript"/>
    </w:rPr>
  </w:style>
  <w:style w:type="paragraph" w:styleId="Tekstprzypisudolnego">
    <w:name w:val="footnote text"/>
    <w:link w:val="TekstprzypisudolnegoZnak"/>
    <w:uiPriority w:val="99"/>
    <w:semiHidden/>
    <w:unhideWhenUsed/>
    <w:rPr>
      <w:sz w:val="20"/>
      <w:szCs w:val="20"/>
    </w:rPr>
  </w:style>
  <w:style w:type="character" w:customStyle="1" w:styleId="TekstprzypisudolnegoZnak">
    <w:name w:val="Tekst przypisu dolnego Znak"/>
    <w:link w:val="Tekstprzypisudolnego"/>
    <w:uiPriority w:val="99"/>
    <w:semiHidden/>
    <w:unhideWhenUsed/>
    <w:rPr>
      <w:sz w:val="20"/>
      <w:szCs w:val="20"/>
    </w:rPr>
  </w:style>
  <w:style w:type="paragraph" w:styleId="Nagwek">
    <w:name w:val="header"/>
    <w:basedOn w:val="Normalny"/>
    <w:link w:val="NagwekZnak"/>
    <w:uiPriority w:val="99"/>
    <w:unhideWhenUsed/>
    <w:rsid w:val="00FB6210"/>
    <w:pPr>
      <w:tabs>
        <w:tab w:val="center" w:pos="4536"/>
        <w:tab w:val="right" w:pos="9072"/>
      </w:tabs>
    </w:pPr>
  </w:style>
  <w:style w:type="character" w:customStyle="1" w:styleId="NagwekZnak">
    <w:name w:val="Nagłówek Znak"/>
    <w:basedOn w:val="Domylnaczcionkaakapitu"/>
    <w:link w:val="Nagwek"/>
    <w:uiPriority w:val="99"/>
    <w:rsid w:val="00FB6210"/>
  </w:style>
  <w:style w:type="paragraph" w:styleId="Stopka">
    <w:name w:val="footer"/>
    <w:basedOn w:val="Normalny"/>
    <w:link w:val="StopkaZnak"/>
    <w:uiPriority w:val="99"/>
    <w:unhideWhenUsed/>
    <w:rsid w:val="00FB6210"/>
    <w:pPr>
      <w:tabs>
        <w:tab w:val="center" w:pos="4536"/>
        <w:tab w:val="right" w:pos="9072"/>
      </w:tabs>
    </w:pPr>
  </w:style>
  <w:style w:type="character" w:customStyle="1" w:styleId="StopkaZnak">
    <w:name w:val="Stopka Znak"/>
    <w:basedOn w:val="Domylnaczcionkaakapitu"/>
    <w:link w:val="Stopka"/>
    <w:uiPriority w:val="99"/>
    <w:rsid w:val="00FB621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439</Words>
  <Characters>2636</Characters>
  <Application>Microsoft Office Word</Application>
  <DocSecurity>0</DocSecurity>
  <Lines>21</Lines>
  <Paragraphs>6</Paragraphs>
  <ScaleCrop>false</ScaleCrop>
  <Company/>
  <LinksUpToDate>false</LinksUpToDate>
  <CharactersWithSpaces>3069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ASUS</cp:lastModifiedBy>
  <cp:revision>2</cp:revision>
  <dcterms:created xsi:type="dcterms:W3CDTF">2026-03-29T19:47:00Z</dcterms:created>
  <dcterms:modified xsi:type="dcterms:W3CDTF">2026-03-29T19:56:00Z</dcterms:modified>
</cp:coreProperties>
</file>