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>PhotoKPFM/PL Supplementary Tables S1-S4</w:t>
      </w:r>
    </w:p>
    <w:p>
      <w:pPr>
        <w:keepNext/>
        <w:spacing w:after="120"/>
      </w:pPr>
      <w:r>
        <w:rPr>
          <w:rFonts w:ascii="Times New Roman" w:hAnsi="Times New Roman" w:eastAsia="Times New Roman"/>
          <w:b/>
          <w:sz w:val="17"/>
        </w:rPr>
        <w:t>Table S1.</w:t>
      </w:r>
      <w:r>
        <w:rPr>
          <w:rFonts w:ascii="Times New Roman" w:hAnsi="Times New Roman" w:eastAsia="Times New Roman"/>
          <w:b w:val="0"/>
          <w:sz w:val="17"/>
        </w:rPr>
        <w:t xml:space="preserve"> Ternary-library photoKPFM experimental acquisition log. Each row is one paired dark and illuminated acquisition stored in the supplied raw HDF5 file. Plate indices are zero-based and are mapped to the included 96-well nominal-composition lookup. Ternary scans contain 128 × 128 pixels over a 5 × 5 µm² area, as stated in the current manuscript Methods. The HDF5 file contains acquisition-order identifiers but no exact clock timestamps or external calibration metadata; neither is inferred here. Surface-potential measurements remain relative, uncalibrated instrument signals.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  <w:gridCol w:w="1915"/>
        <w:gridCol w:w="1915"/>
        <w:gridCol w:w="1915"/>
        <w:gridCol w:w="1915"/>
        <w:gridCol w:w="1915"/>
      </w:tblGrid>
      <w:tr>
        <w:trPr>
          <w:tblHeader w:val="true"/>
        </w:trPr>
        <w:tc>
          <w:tcPr>
            <w:tcW w:type="dxa" w:w="6858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Acquisition iteration</w:t>
            </w:r>
          </w:p>
        </w:tc>
        <w:tc>
          <w:tcPr>
            <w:tcW w:type="dxa" w:w="77724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Plate index (zero-based)</w:t>
            </w:r>
          </w:p>
        </w:tc>
        <w:tc>
          <w:tcPr>
            <w:tcW w:type="dxa" w:w="50292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Well ID</w:t>
            </w:r>
          </w:p>
        </w:tc>
        <w:tc>
          <w:tcPr>
            <w:tcW w:type="dxa" w:w="77724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Nominal FAPbI3 (%)</w:t>
            </w:r>
          </w:p>
        </w:tc>
        <w:tc>
          <w:tcPr>
            <w:tcW w:type="dxa" w:w="77724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Nominal BDAPbI4 (%)</w:t>
            </w:r>
          </w:p>
        </w:tc>
        <w:tc>
          <w:tcPr>
            <w:tcW w:type="dxa" w:w="77724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Nominal PEA2PbI4 (%)</w:t>
            </w:r>
          </w:p>
        </w:tc>
        <w:tc>
          <w:tcPr>
            <w:tcW w:type="dxa" w:w="96012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Dark acquisition ID</w:t>
            </w:r>
          </w:p>
        </w:tc>
        <w:tc>
          <w:tcPr>
            <w:tcW w:type="dxa" w:w="105156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Illuminated acquisition ID</w:t>
            </w:r>
          </w:p>
        </w:tc>
        <w:tc>
          <w:tcPr>
            <w:tcW w:type="dxa" w:w="6858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Scan pixels</w:t>
            </w:r>
          </w:p>
        </w:tc>
        <w:tc>
          <w:tcPr>
            <w:tcW w:type="dxa" w:w="73152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Scan area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A1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100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exp3_0000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exp3_0001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A6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32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32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36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exp3_0002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exp3_0003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78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G10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96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exp3_0004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exp3_0005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90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C12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96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exp3_0006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exp3_0007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B1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92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exp3_0008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exp3_0009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45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F6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72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28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exp3_0010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exp3_0011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35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D5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56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44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exp3_0012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exp3_0013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81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B11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24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72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exp3_0014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exp3_0015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9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87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H11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72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24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exp3_0016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exp3_0017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78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G10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96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exp3_0018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exp3_0019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11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H1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16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76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exp3_0020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exp3_0021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A1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100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exp3_0022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exp3_0023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13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16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A3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32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60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exp3_0024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exp3_0025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14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78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G10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96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exp3_0026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exp3_0027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15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A1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100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exp3_0028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exp3_0029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16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46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G6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64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28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exp3_0030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exp3_0031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17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G1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24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76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exp3_0032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exp3_0033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18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78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G10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96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exp3_0034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exp3_0035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  <w:tr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19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A1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77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100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exp3_0036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exp3_0037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 × 128</w:t>
            </w:r>
          </w:p>
        </w:tc>
        <w:tc>
          <w:tcPr>
            <w:tcW w:type="dxa" w:w="731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 × 5 µm²</w:t>
            </w:r>
          </w:p>
        </w:tc>
      </w:tr>
    </w:tbl>
    <w:p>
      <w:r>
        <w:br w:type="page"/>
      </w:r>
    </w:p>
    <w:p>
      <w:pPr>
        <w:keepNext/>
        <w:spacing w:after="120"/>
      </w:pPr>
      <w:r>
        <w:rPr>
          <w:rFonts w:ascii="Times New Roman" w:hAnsi="Times New Roman" w:eastAsia="Times New Roman"/>
          <w:b/>
          <w:sz w:val="17"/>
        </w:rPr>
        <w:t>Table S2.</w:t>
      </w:r>
      <w:r>
        <w:rPr>
          <w:rFonts w:ascii="Times New Roman" w:hAnsi="Times New Roman" w:eastAsia="Times New Roman"/>
          <w:b w:val="0"/>
          <w:sz w:val="17"/>
        </w:rPr>
        <w:t xml:space="preserve"> Evidence-grounded scientific basis for complementary PL and KPFM measurements. KPFM-derived contact-potential, surface-potential, and work-function observables describe electrostatic or energetic behavior, whereas steady-state PL intensity and PLQY describe emissive output and TRPL or carrier lifetime describes carrier kinetics. Relationships involving steady-state PL intensity are most directly relevant to the present PL peak-intensity comparison. PLQY relationships provide related optical context, whereas TRPL and carrier-lifetime relationships provide broader carrier-dynamics context because those measurements were not performed in the present study. Counts report 15 retained paired relationships from seven papers. Co-observation supports a complementary interpretation and does not establish a causal KPFM-to-PL pathway.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109728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KPFM observable class</w:t>
            </w:r>
          </w:p>
        </w:tc>
        <w:tc>
          <w:tcPr>
            <w:tcW w:type="dxa" w:w="109728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PL-family observable class</w:t>
            </w:r>
          </w:p>
        </w:tc>
        <w:tc>
          <w:tcPr>
            <w:tcW w:type="dxa" w:w="6858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Retained relationships</w:t>
            </w:r>
          </w:p>
        </w:tc>
        <w:tc>
          <w:tcPr>
            <w:tcW w:type="dxa" w:w="214884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Evidence-grounded scientific claim</w:t>
            </w:r>
          </w:p>
        </w:tc>
        <w:tc>
          <w:tcPr>
            <w:tcW w:type="dxa" w:w="20574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How the measurements are complementary</w:t>
            </w:r>
          </w:p>
        </w:tc>
        <w:tc>
          <w:tcPr>
            <w:tcW w:type="dxa" w:w="219456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Relevance to the present experiment</w:t>
            </w:r>
          </w:p>
        </w:tc>
        <w:tc>
          <w:tcPr>
            <w:tcW w:type="dxa" w:w="22860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Interpretation limit</w:t>
            </w:r>
          </w:p>
        </w:tc>
      </w:tr>
      <w:tr>
        <w:tc>
          <w:tcPr>
            <w:tcW w:type="dxa" w:w="10972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Contact potential difference</w:t>
            </w:r>
          </w:p>
        </w:tc>
        <w:tc>
          <w:tcPr>
            <w:tcW w:type="dxa" w:w="10972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Carrier lifetime / TRPL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21488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Interfacial-potential or electric-field changes co-occur with changes in carrier decay or extraction kinetics.</w:t>
            </w:r>
          </w:p>
        </w:tc>
        <w:tc>
          <w:tcPr>
            <w:tcW w:type="dxa" w:w="20574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The pair connects an energetic/electrostatic change to its carrier-kinetic response in the same treatment comparison.</w:t>
            </w:r>
          </w:p>
        </w:tc>
        <w:tc>
          <w:tcPr>
            <w:tcW w:type="dxa" w:w="2194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Relative dark/light surface-potential signals and relative ΔSP were measured. TRPL/carrier lifetime was not measured and is retained only as broader carrier-dynamics context.</w:t>
            </w:r>
          </w:p>
        </w:tc>
        <w:tc>
          <w:tcPr>
            <w:tcW w:type="dxa" w:w="2286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Lifetime direction is context dependent: shorter decay can indicate faster extraction or stronger recombination. Co-observation is not causation.</w:t>
            </w:r>
          </w:p>
        </w:tc>
      </w:tr>
      <w:tr>
        <w:tc>
          <w:tcPr>
            <w:tcW w:type="dxa" w:w="10972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Contact potential difference</w:t>
            </w:r>
          </w:p>
        </w:tc>
        <w:tc>
          <w:tcPr>
            <w:tcW w:type="dxa" w:w="10972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PL intensity / PLQY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21488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Interfacial-potential changes co-occur with changes in radiative emission yield or net non-radiative loss.</w:t>
            </w:r>
          </w:p>
        </w:tc>
        <w:tc>
          <w:tcPr>
            <w:tcW w:type="dxa" w:w="20574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The pair tests whether energetic-interface modification is accompanied by a change in emissive quality.</w:t>
            </w:r>
          </w:p>
        </w:tc>
        <w:tc>
          <w:tcPr>
            <w:tcW w:type="dxa" w:w="2194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Closest present-study analogue: relative dark/light surface-potential signals or relative ΔSP paired with steady-state PL peak intensity. PLQY was not measured.</w:t>
            </w:r>
          </w:p>
        </w:tc>
        <w:tc>
          <w:tcPr>
            <w:tcW w:type="dxa" w:w="2286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PL intensity also depends on excitation, absorption, thickness, collection, and stack geometry. Co-observation is not causation.</w:t>
            </w:r>
          </w:p>
        </w:tc>
      </w:tr>
      <w:tr>
        <w:tc>
          <w:tcPr>
            <w:tcW w:type="dxa" w:w="10972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Surface potential</w:t>
            </w:r>
          </w:p>
        </w:tc>
        <w:tc>
          <w:tcPr>
            <w:tcW w:type="dxa" w:w="10972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Carrier lifetime / TRPL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21488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Changes in the spatial surface-potential landscape co-occur with changes in carrier decay or extraction kinetics.</w:t>
            </w:r>
          </w:p>
        </w:tc>
        <w:tc>
          <w:tcPr>
            <w:tcW w:type="dxa" w:w="20574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The pair links where electrostatic heterogeneity occurs to how long carriers persist or how rapidly they transfer.</w:t>
            </w:r>
          </w:p>
        </w:tc>
        <w:tc>
          <w:tcPr>
            <w:tcW w:type="dxa" w:w="2194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Relative dark/light surface-potential signals and relative ΔSP were measured. TRPL/carrier lifetime was not measured and is retained only as broader carrier-dynamics context.</w:t>
            </w:r>
          </w:p>
        </w:tc>
        <w:tc>
          <w:tcPr>
            <w:tcW w:type="dxa" w:w="2286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Spatial scales and sampled regions may differ, and lifetime direction remains mechanism dependent. Co-observation is not causation.</w:t>
            </w:r>
          </w:p>
        </w:tc>
      </w:tr>
      <w:tr>
        <w:tc>
          <w:tcPr>
            <w:tcW w:type="dxa" w:w="10972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Surface potential</w:t>
            </w:r>
          </w:p>
        </w:tc>
        <w:tc>
          <w:tcPr>
            <w:tcW w:type="dxa" w:w="10972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PL intensity / PLQY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21488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Surface-potential magnitude or uniformity changes co-occur with changes in emission intensity, yield, or homogeneity.</w:t>
            </w:r>
          </w:p>
        </w:tc>
        <w:tc>
          <w:tcPr>
            <w:tcW w:type="dxa" w:w="20574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The pair distinguishes electrostatic uniformity from emissive uniformity and tests whether both respond to the same treatment.</w:t>
            </w:r>
          </w:p>
        </w:tc>
        <w:tc>
          <w:tcPr>
            <w:tcW w:type="dxa" w:w="2194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Closest present-study analogue: relative dark/light surface-potential signals or relative ΔSP paired with steady-state PL peak intensity. PLQY was not measured.</w:t>
            </w:r>
          </w:p>
        </w:tc>
        <w:tc>
          <w:tcPr>
            <w:tcW w:type="dxa" w:w="2286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Matched fields of view are needed for a spatial claim; ensemble co-trends alone are not causal evidence.</w:t>
            </w:r>
          </w:p>
        </w:tc>
      </w:tr>
      <w:tr>
        <w:tc>
          <w:tcPr>
            <w:tcW w:type="dxa" w:w="10972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Work function</w:t>
            </w:r>
          </w:p>
        </w:tc>
        <w:tc>
          <w:tcPr>
            <w:tcW w:type="dxa" w:w="10972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Carrier lifetime / TRPL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21488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Work-function or energy-level-alignment changes co-occur with changes in carrier-transfer or recombination kinetics.</w:t>
            </w:r>
          </w:p>
        </w:tc>
        <w:tc>
          <w:tcPr>
            <w:tcW w:type="dxa" w:w="20574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The pair connects an energy-level-alignment measurement to a kinetic response relevant to charge transfer.</w:t>
            </w:r>
          </w:p>
        </w:tc>
        <w:tc>
          <w:tcPr>
            <w:tcW w:type="dxa" w:w="2194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Broader context only: neither calibrated work function nor TRPL/carrier lifetime was measured. The present KPFM output is an uncalibrated relative surface-potential signal, not work function.</w:t>
            </w:r>
          </w:p>
        </w:tc>
        <w:tc>
          <w:tcPr>
            <w:tcW w:type="dxa" w:w="2286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Absolute work function requires calibrated tip/sign conventions, and lifetime direction is architecture dependent.</w:t>
            </w:r>
          </w:p>
        </w:tc>
      </w:tr>
      <w:tr>
        <w:tc>
          <w:tcPr>
            <w:tcW w:type="dxa" w:w="10972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Work function</w:t>
            </w:r>
          </w:p>
        </w:tc>
        <w:tc>
          <w:tcPr>
            <w:tcW w:type="dxa" w:w="10972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PL intensity / PLQY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21488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Work-function or energy-level-alignment changes co-occur with changes in radiative emission efficiency.</w:t>
            </w:r>
          </w:p>
        </w:tc>
        <w:tc>
          <w:tcPr>
            <w:tcW w:type="dxa" w:w="20574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The pair tests whether energy-level tuning is accompanied by a measurable emissive response.</w:t>
            </w:r>
          </w:p>
        </w:tc>
        <w:tc>
          <w:tcPr>
            <w:tcW w:type="dxa" w:w="2194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Steady-state PL peak intensity was measured, but PLQY and calibrated work function were not. The present uncalibrated relative surface-potential signal is not equivalent to work function.</w:t>
            </w:r>
          </w:p>
        </w:tc>
        <w:tc>
          <w:tcPr>
            <w:tcW w:type="dxa" w:w="2286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Only one retained relationship supports this pairing, and the current experiment uses surface potential rather than calibrated work function.</w:t>
            </w:r>
          </w:p>
        </w:tc>
      </w:tr>
    </w:tbl>
    <w:p>
      <w:r>
        <w:br w:type="page"/>
      </w:r>
    </w:p>
    <w:p>
      <w:pPr>
        <w:keepNext/>
        <w:spacing w:after="120"/>
      </w:pPr>
      <w:r>
        <w:rPr>
          <w:rFonts w:ascii="Times New Roman" w:hAnsi="Times New Roman" w:eastAsia="Times New Roman"/>
          <w:b/>
          <w:sz w:val="17"/>
        </w:rPr>
        <w:t>Table S3.</w:t>
      </w:r>
      <w:r>
        <w:rPr>
          <w:rFonts w:ascii="Times New Roman" w:hAnsi="Times New Roman" w:eastAsia="Times New Roman"/>
          <w:b w:val="0"/>
          <w:sz w:val="17"/>
        </w:rPr>
        <w:t xml:space="preserve"> Evidence-level records for retained KPFM–PL-family relationships. The table reports 15 retained relationships with the sample or intervention context, paired KPFM and PL-family observables, direct reported results, evidence-grounded claim, complementary interpretation, interpretation limit, evidence strength, and causal-status classification. Relationships involving steady-state PL intensity or PLQY are most relevant to the present optical comparison, whereas TRPL and carrier-lifetime relationships provide broader context. All retained relationships are classified as complementary-only and do not establish a causal KPFM-to-PL pathway.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1"/>
        <w:gridCol w:w="1741"/>
        <w:gridCol w:w="1741"/>
        <w:gridCol w:w="1741"/>
        <w:gridCol w:w="1741"/>
        <w:gridCol w:w="1741"/>
        <w:gridCol w:w="1741"/>
        <w:gridCol w:w="1741"/>
        <w:gridCol w:w="1741"/>
        <w:gridCol w:w="1741"/>
        <w:gridCol w:w="1741"/>
      </w:tblGrid>
      <w:tr>
        <w:trPr>
          <w:tblHeader w:val="true"/>
        </w:trPr>
        <w:tc>
          <w:tcPr>
            <w:tcW w:type="dxa" w:w="41148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Relationship ID</w:t>
            </w:r>
          </w:p>
        </w:tc>
        <w:tc>
          <w:tcPr>
            <w:tcW w:type="dxa" w:w="132588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Paper title</w:t>
            </w:r>
          </w:p>
        </w:tc>
        <w:tc>
          <w:tcPr>
            <w:tcW w:type="dxa" w:w="82296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DOI</w:t>
            </w:r>
          </w:p>
        </w:tc>
        <w:tc>
          <w:tcPr>
            <w:tcW w:type="dxa" w:w="96012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Intervention or comparison</w:t>
            </w:r>
          </w:p>
        </w:tc>
        <w:tc>
          <w:tcPr>
            <w:tcW w:type="dxa" w:w="128016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KPFM observable and direct result</w:t>
            </w:r>
          </w:p>
        </w:tc>
        <w:tc>
          <w:tcPr>
            <w:tcW w:type="dxa" w:w="13716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PL-family observable and direct result</w:t>
            </w:r>
          </w:p>
        </w:tc>
        <w:tc>
          <w:tcPr>
            <w:tcW w:type="dxa" w:w="123444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Evidence-grounded claim</w:t>
            </w:r>
          </w:p>
        </w:tc>
        <w:tc>
          <w:tcPr>
            <w:tcW w:type="dxa" w:w="11430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Complementary interpretation</w:t>
            </w:r>
          </w:p>
        </w:tc>
        <w:tc>
          <w:tcPr>
            <w:tcW w:type="dxa" w:w="123444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Interpretation limit</w:t>
            </w:r>
          </w:p>
        </w:tc>
        <w:tc>
          <w:tcPr>
            <w:tcW w:type="dxa" w:w="64008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Evidence strength</w:t>
            </w:r>
          </w:p>
        </w:tc>
        <w:tc>
          <w:tcPr>
            <w:tcW w:type="dxa" w:w="6858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Causal status</w:t>
            </w:r>
          </w:p>
        </w:tc>
      </w:tr>
      <w:tr>
        <w:tc>
          <w:tcPr>
            <w:tcW w:type="dxa" w:w="4114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R01</w:t>
            </w:r>
          </w:p>
        </w:tc>
        <w:tc>
          <w:tcPr>
            <w:tcW w:type="dxa" w:w="13258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Electron-donor/-acceptor ratio-guided molecular engineering for buried interface optimization in n-i-p perovskite solar cells</w:t>
            </w:r>
          </w:p>
        </w:tc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10.20517/energymater.2025.183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control to AA, ABA, and DBA</w:t>
            </w:r>
          </w:p>
        </w:tc>
        <w:tc>
          <w:tcPr>
            <w:tcW w:type="dxa" w:w="12801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contact potential difference (CPD)</w:t>
              <w:br/>
              <w:t>increases sequentially</w:t>
            </w:r>
          </w:p>
        </w:tc>
        <w:tc>
          <w:tcPr>
            <w:tcW w:type="dxa" w:w="13716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PLQY</w:t>
              <w:br/>
              <w:t>5.51% (control), 10.76% (AA), 11.70% (ABA), and 12.52% (DBA)</w:t>
              <w:br/>
              <w:t>Steady-state PL intensity is the closest analogue measured here; PLQY was not measured.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Interfacial-potential changes co-occur with changes in radiative emission yield or net non-radiative loss.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The pair tests whether energetic-interface modification is accompanied by a change in emissive quality.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 intensity also depends on excitation, absorption, thickness, collection, and stack geometry. Co-observation is not causation.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triangulated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complementary_only</w:t>
            </w:r>
          </w:p>
        </w:tc>
      </w:tr>
      <w:tr>
        <w:tc>
          <w:tcPr>
            <w:tcW w:type="dxa" w:w="4114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R02</w:t>
            </w:r>
          </w:p>
        </w:tc>
        <w:tc>
          <w:tcPr>
            <w:tcW w:type="dxa" w:w="13258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Electron-donor/-acceptor ratio-guided molecular engineering for buried interface optimization in n-i-p perovskite solar cells</w:t>
            </w:r>
          </w:p>
        </w:tc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10.20517/energymater.2025.183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control to AA, ABA, and DBA</w:t>
            </w:r>
          </w:p>
        </w:tc>
        <w:tc>
          <w:tcPr>
            <w:tcW w:type="dxa" w:w="12801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contact potential difference (CPD)</w:t>
              <w:br/>
              <w:t>increases sequentially</w:t>
            </w:r>
          </w:p>
        </w:tc>
        <w:tc>
          <w:tcPr>
            <w:tcW w:type="dxa" w:w="13716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carrier lifetime (τavg)</w:t>
              <w:br/>
              <w:t>162.00 ns (control), 139.66 ns (AA), 90.77 ns (ABA), and 3.35 ns (DBA)</w:t>
              <w:br/>
              <w:t>Broader carrier-dynamics context; not directly measured in the present study.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Interfacial-potential or electric-field changes co-occur with changes in carrier decay or extraction kinetics.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The pair connects an energetic/electrostatic change to its carrier-kinetic response in the same treatment comparison.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Lifetime direction is context dependent: shorter decay can indicate faster extraction or stronger recombination. Co-observation is not causation.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triangulated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complementary_only</w:t>
            </w:r>
          </w:p>
        </w:tc>
      </w:tr>
      <w:tr>
        <w:tc>
          <w:tcPr>
            <w:tcW w:type="dxa" w:w="4114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R03</w:t>
            </w:r>
          </w:p>
        </w:tc>
        <w:tc>
          <w:tcPr>
            <w:tcW w:type="dxa" w:w="13258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Regioisomeric Effects on Enhancing p ‐Type Characteristics of Self‐Assembled Molecules in Inverted Perovskite Solar Cells</w:t>
            </w:r>
          </w:p>
        </w:tc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10.1002/advs.202521518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FTO/Me-4PACz, FTO/Me-4PACz/3,7-Br, and FTO/Me-4PACz/2,8-Br treatment series</w:t>
            </w:r>
          </w:p>
        </w:tc>
        <w:tc>
          <w:tcPr>
            <w:tcW w:type="dxa" w:w="12801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mean contact potential difference (CPD)</w:t>
              <w:br/>
              <w:t>−0.768, −0.782, and −0.863 V, respectively</w:t>
            </w:r>
          </w:p>
        </w:tc>
        <w:tc>
          <w:tcPr>
            <w:tcW w:type="dxa" w:w="13716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steady-state PL intensity</w:t>
              <w:br/>
              <w:t>Increased further after 3,7-Br or 2,8-Br treatment relative to the Me-4PACz control.</w:t>
              <w:br/>
              <w:t>Steady-state PL intensity is directly relevant to the present optical comparison.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Across the same treatment series, the more-negative mean CPD values after 3,7-Br and 2,8-Br treatment accompanied increased steady-state PL intensity.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KPFM reports treatment-dependent interfacial potential, while PL reports the emissive response of perovskite grown on the same treatment groups.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KPFM characterized the treated SAM surfaces, whereas PL used perovskite layers on the corresponding substrates. The treatment comparison is matched, but the measurement fields/specimens differ; co-observation is not causation.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triangulated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complementary_only</w:t>
            </w:r>
          </w:p>
        </w:tc>
      </w:tr>
      <w:tr>
        <w:tc>
          <w:tcPr>
            <w:tcW w:type="dxa" w:w="4114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R04</w:t>
            </w:r>
          </w:p>
        </w:tc>
        <w:tc>
          <w:tcPr>
            <w:tcW w:type="dxa" w:w="13258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Regioisomeric Effects on Enhancing p ‐Type Characteristics of Self‐Assembled Molecules in Inverted Perovskite Solar Cells</w:t>
            </w:r>
          </w:p>
        </w:tc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10.1002/advs.202521518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FTO/Me-4PACz, FTO/Me-4PACz/3,7-Br, and FTO/Me-4PACz/2,8-Br films</w:t>
            </w:r>
          </w:p>
        </w:tc>
        <w:tc>
          <w:tcPr>
            <w:tcW w:type="dxa" w:w="12801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contact potential difference (CPD)</w:t>
              <w:br/>
              <w:t>-0.768, -0.782, and -0.863 V respectively</w:t>
            </w:r>
          </w:p>
        </w:tc>
        <w:tc>
          <w:tcPr>
            <w:tcW w:type="dxa" w:w="13716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carrier lifetime (τavg)</w:t>
              <w:br/>
              <w:t>2951 ns (Me-4PACz control), 4080 ns (3,7-Br), and 4278 ns (2,8-Br)</w:t>
              <w:br/>
              <w:t>Broader carrier-dynamics context; not directly measured in the present study.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Interfacial-potential or electric-field changes co-occur with changes in carrier decay or extraction kinetics.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The pair connects an energetic/electrostatic change to its carrier-kinetic response in the same treatment comparison.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KPFM characterized the treated SAM surfaces, whereas PL used perovskite layers on the corresponding substrates. The treatment comparison is matched, but the measurement fields/specimens differ; co-observation is not causation.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triangulated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complementary_only</w:t>
            </w:r>
          </w:p>
        </w:tc>
      </w:tr>
      <w:tr>
        <w:tc>
          <w:tcPr>
            <w:tcW w:type="dxa" w:w="4114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R05</w:t>
            </w:r>
          </w:p>
        </w:tc>
        <w:tc>
          <w:tcPr>
            <w:tcW w:type="dxa" w:w="13258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Regioisomeric Effects on Enhancing p ‐Type Characteristics of Self‐Assembled Molecules in Inverted Perovskite Solar Cells</w:t>
            </w:r>
          </w:p>
        </w:tc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10.1002/advs.202521518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FTO/Me-4PACz, FTO/Me-4PACz/3,7-Br, and FTO/Me-4PACz/2,8-Br treatment series</w:t>
            </w:r>
          </w:p>
        </w:tc>
        <w:tc>
          <w:tcPr>
            <w:tcW w:type="dxa" w:w="12801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CPD-distribution full width at half maximum (FWHM)</w:t>
              <w:br/>
              <w:t>Decreased after 3,7-Br and 2,8-Br treatment.</w:t>
            </w:r>
          </w:p>
        </w:tc>
        <w:tc>
          <w:tcPr>
            <w:tcW w:type="dxa" w:w="13716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steady-state PL intensity</w:t>
              <w:br/>
              <w:t>Increased further after 3,7-Br or 2,8-Br treatment relative to the Me-4PACz control.</w:t>
              <w:br/>
              <w:t>Steady-state PL intensity is directly relevant to the present optical comparison.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Narrower CPD distributions after 3,7-Br and 2,8-Br treatment accompanied increased PL intensity in the corresponding treatment groups.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CPD-distribution width reports energetic uniformity, while PL reports the emissive response to the same treatment series.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KPFM characterized the treated SAM surfaces, whereas PL used perovskite layers on the corresponding substrates. The treatment comparison is matched, but the measurement fields/specimens differ; co-observation is not causation.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triangulated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complementary_only</w:t>
            </w:r>
          </w:p>
        </w:tc>
      </w:tr>
      <w:tr>
        <w:tc>
          <w:tcPr>
            <w:tcW w:type="dxa" w:w="4114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R06</w:t>
            </w:r>
          </w:p>
        </w:tc>
        <w:tc>
          <w:tcPr>
            <w:tcW w:type="dxa" w:w="13258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Pure 2D Perovskite Formation by Interfacial Engineering Yields a High Open‐Circuit Voltage beyond 1.28 V for 1.77‐eV Wide‐Bandgap Perovskite Solar Cells</w:t>
            </w:r>
          </w:p>
        </w:tc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10.1002/advs.202203210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PEABr post-treatment at 60 °C</w:t>
            </w:r>
          </w:p>
        </w:tc>
        <w:tc>
          <w:tcPr>
            <w:tcW w:type="dxa" w:w="12801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CPD between GBs and GIs</w:t>
              <w:br/>
              <w:t>cannot be clearly distinguished</w:t>
            </w:r>
          </w:p>
        </w:tc>
        <w:tc>
          <w:tcPr>
            <w:tcW w:type="dxa" w:w="13716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carrier lifetime (τavg)</w:t>
              <w:br/>
              <w:t>659.18 ns (PEABr-60), versus 449.46 ns (control), 622.12 ns (PEABr-25), and 551.75 ns (PEABr-100)</w:t>
              <w:br/>
              <w:t>Broader carrier-dynamics context; not directly measured in the present study.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Interfacial-potential or electric-field changes co-occur with changes in carrier decay or extraction kinetics.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The pair connects an energetic/electrostatic change to its carrier-kinetic response in the same treatment comparison.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Lifetime direction is context dependent: shorter decay can indicate faster extraction or stronger recombination. Co-observation is not causation.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triangulated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complementary_only</w:t>
            </w:r>
          </w:p>
        </w:tc>
      </w:tr>
      <w:tr>
        <w:tc>
          <w:tcPr>
            <w:tcW w:type="dxa" w:w="4114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R07</w:t>
            </w:r>
          </w:p>
        </w:tc>
        <w:tc>
          <w:tcPr>
            <w:tcW w:type="dxa" w:w="13258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Graded Heterojunction Improves Wide-Bandgap Perovskite for Highly Efficient 4-Terminal Perovskite/Silicon Tandem Solar Cells</w:t>
            </w:r>
          </w:p>
        </w:tc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10.34133/research.0196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WBG perovskite film with GHJ versus control without GHJ</w:t>
            </w:r>
          </w:p>
        </w:tc>
        <w:tc>
          <w:tcPr>
            <w:tcW w:type="dxa" w:w="12801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contact potential difference (CPD)</w:t>
              <w:br/>
              <w:t>Larger for the GHJ film than for the control.</w:t>
            </w:r>
          </w:p>
        </w:tc>
        <w:tc>
          <w:tcPr>
            <w:tcW w:type="dxa" w:w="13716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TRPL average carrier lifetime</w:t>
              <w:br/>
              <w:t>231.12 ns (GHJ) versus 92.31 ns (control); PbI2-rich intermediate: 173.91 ns.</w:t>
              <w:br/>
              <w:t>Broader carrier-dynamics context; not directly measured in the present study.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The GHJ film showed a larger CPD and a longer average TRPL lifetime than the control film.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KPFM reports the treatment-dependent surface-potential shift, while TRPL reports carrier-decay kinetics for the same film series.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The measurements were performed on corresponding film groups, not a spatially registered field. Longer lifetime can reflect suppressed recombination but does not establish a causal CPD pathway.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triangulated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complementary_only</w:t>
            </w:r>
          </w:p>
        </w:tc>
      </w:tr>
      <w:tr>
        <w:tc>
          <w:tcPr>
            <w:tcW w:type="dxa" w:w="4114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R09</w:t>
            </w:r>
          </w:p>
        </w:tc>
        <w:tc>
          <w:tcPr>
            <w:tcW w:type="dxa" w:w="13258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Modulating Perovskite Surface Energetics Through Tuneable Ferrocene Interlayers for High‐Performance Perovskite Solar Cells</w:t>
            </w:r>
          </w:p>
        </w:tc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10.1002/anie.202424041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unpassivated control, compound 1, and compound 2-treated perovskite films</w:t>
            </w:r>
          </w:p>
        </w:tc>
        <w:tc>
          <w:tcPr>
            <w:tcW w:type="dxa" w:w="12801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KPFM-derived surface work function</w:t>
              <w:br/>
              <w:t>4.77 eV (control); negligible change with compound 1; 4.68 eV with compound 2.</w:t>
            </w:r>
          </w:p>
        </w:tc>
        <w:tc>
          <w:tcPr>
            <w:tcW w:type="dxa" w:w="13716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steady-state PL intensity</w:t>
              <w:br/>
              <w:t>Increased for compounds 1 and 2 relative to the control.</w:t>
              <w:br/>
              <w:t>Steady-state PL intensity is directly relevant to the present optical comparison.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Both Fc compounds increased steady-state PL intensity, whereas a substantial KPFM-derived work-function decrease occurred only with compound 2.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 distinguishes the passivation-related emissive response from KPFM-derived work-function tuning across the same treatment series.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KPFM and luminescence measurements used corresponding treatment groups but separate specimens/geometries. Co-trending does not establish that the work-function change caused the luminescence response.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triangulated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complementary_only</w:t>
            </w:r>
          </w:p>
        </w:tc>
      </w:tr>
      <w:tr>
        <w:tc>
          <w:tcPr>
            <w:tcW w:type="dxa" w:w="4114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R10</w:t>
            </w:r>
          </w:p>
        </w:tc>
        <w:tc>
          <w:tcPr>
            <w:tcW w:type="dxa" w:w="13258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Modulating Perovskite Surface Energetics Through Tuneable Ferrocene Interlayers for High‐Performance Perovskite Solar Cells</w:t>
            </w:r>
          </w:p>
        </w:tc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10.1002/anie.202424041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unpassivated control versus compound 2-treated perovskite films</w:t>
            </w:r>
          </w:p>
        </w:tc>
        <w:tc>
          <w:tcPr>
            <w:tcW w:type="dxa" w:w="12801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CPD-distribution standard deviation</w:t>
              <w:br/>
              <w:t>24.8 mV (control) and 11.3 mV (compound 2).</w:t>
            </w:r>
          </w:p>
        </w:tc>
        <w:tc>
          <w:tcPr>
            <w:tcW w:type="dxa" w:w="13716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PL-mapping intensity and spatial distribution</w:t>
              <w:br/>
              <w:t>Compound 2 showed a substantial mean decrease and much-improved homogeneity relative to the control in C60-contacted stacks.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The strongest narrowing of the CPD distribution (compound 2) accompanied the strongest and most spatially uniform PL quenching at the perovskite/C60 interface.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KPFM maps energetic uniformity, while PL mapping reports the spatial uniformity of charge extraction for the same interlayer series.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The maps were not spatially registered. In the C60-contacted PL stack, lower PL was interpreted as stronger extraction rather than as poorer emissive quality; the association is noncausal.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triangulated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complementary_only</w:t>
            </w:r>
          </w:p>
        </w:tc>
      </w:tr>
      <w:tr>
        <w:tc>
          <w:tcPr>
            <w:tcW w:type="dxa" w:w="4114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R11</w:t>
            </w:r>
          </w:p>
        </w:tc>
        <w:tc>
          <w:tcPr>
            <w:tcW w:type="dxa" w:w="13258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Modulating Perovskite Surface Energetics Through Tuneable Ferrocene Interlayers for High‐Performance Perovskite Solar Cells</w:t>
            </w:r>
          </w:p>
        </w:tc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10.1002/anie.202424041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unpassivated control, compound 1, and compound 2-treated perovskite films</w:t>
            </w:r>
          </w:p>
        </w:tc>
        <w:tc>
          <w:tcPr>
            <w:tcW w:type="dxa" w:w="12801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KPFM-derived surface work function</w:t>
              <w:br/>
              <w:t>4.77 eV (control); negligible change with compound 1; 4.68 eV with compound 2.</w:t>
            </w:r>
          </w:p>
        </w:tc>
        <w:tc>
          <w:tcPr>
            <w:tcW w:type="dxa" w:w="13716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TRPL average carrier lifetime</w:t>
              <w:br/>
              <w:t>1046 ns (control), 1175 ns (compound 1), and 1525 ns (compound 2)</w:t>
              <w:br/>
              <w:t>Broader carrier-dynamics context; not directly measured in the present study.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Both Fc compounds lengthened the average carrier lifetime, whereas a substantial KPFM-derived work-function decrease occurred only with compound 2.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TRPL reports passivation-related carrier decay, while KPFM-derived work function reports energetic tuning across the same treatment series.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KPFM and luminescence measurements used corresponding treatment groups but separate specimens/geometries. Co-trending does not establish that the work-function change caused the luminescence response.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triangulated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complementary_only</w:t>
            </w:r>
          </w:p>
        </w:tc>
      </w:tr>
      <w:tr>
        <w:tc>
          <w:tcPr>
            <w:tcW w:type="dxa" w:w="4114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R12</w:t>
            </w:r>
          </w:p>
        </w:tc>
        <w:tc>
          <w:tcPr>
            <w:tcW w:type="dxa" w:w="13258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Room Temperature Ionic Liquid Capping Layer for High Efficiency FAPbI 3 Perovskite Solar Cells with Long‐Term Stability</w:t>
            </w:r>
          </w:p>
        </w:tc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10.1002/advs.202400117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FAPbI3 control, BAI RT, and BAAc RT-treated films</w:t>
            </w:r>
          </w:p>
        </w:tc>
        <w:tc>
          <w:tcPr>
            <w:tcW w:type="dxa" w:w="12801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surface-potential variation</w:t>
              <w:br/>
              <w:t>Approximately 80 mV (control) versus 10 mV (BAAc RT); both RT treatments reduced heterogeneity.</w:t>
            </w:r>
          </w:p>
        </w:tc>
        <w:tc>
          <w:tcPr>
            <w:tcW w:type="dxa" w:w="13716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PL-mapping intensity and spatial uniformity</w:t>
              <w:br/>
              <w:t>BAAc RT exceeded the control and BAI RT films and showed stronger emission with minimal fluctuation.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Surface-potential magnitude or uniformity changes co-occur with changes in emission intensity, yield, or homogeneity.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The pair distinguishes electrostatic uniformity from emissive uniformity and tests whether both respond to the same treatment.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Matched fields of view are needed for a spatial claim; ensemble co-trends alone are not causal evidence.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triangulated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complementary_only</w:t>
            </w:r>
          </w:p>
        </w:tc>
      </w:tr>
      <w:tr>
        <w:tc>
          <w:tcPr>
            <w:tcW w:type="dxa" w:w="4114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R13</w:t>
            </w:r>
          </w:p>
        </w:tc>
        <w:tc>
          <w:tcPr>
            <w:tcW w:type="dxa" w:w="13258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Room Temperature Ionic Liquid Capping Layer for High Efficiency FAPbI 3 Perovskite Solar Cells with Long‐Term Stability</w:t>
            </w:r>
          </w:p>
        </w:tc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10.1002/advs.202400117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FAPbI3 control versus BAAc RT-treated films</w:t>
            </w:r>
          </w:p>
        </w:tc>
        <w:tc>
          <w:tcPr>
            <w:tcW w:type="dxa" w:w="12801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surface-potential variation</w:t>
              <w:br/>
              <w:t>Approximately 80 mV (control) versus 10 mV (BAAc RT).</w:t>
            </w:r>
          </w:p>
        </w:tc>
        <w:tc>
          <w:tcPr>
            <w:tcW w:type="dxa" w:w="13716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steady-state PL intensity</w:t>
              <w:br/>
              <w:t>The BAAc RT-treated film was nearly twice as intense as the control.</w:t>
              <w:br/>
              <w:t>Steady-state PL intensity is directly relevant to the present optical comparison.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Surface-potential magnitude or uniformity changes co-occur with changes in emission intensity, yield, or homogeneity.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The pair distinguishes electrostatic uniformity from emissive uniformity and tests whether both respond to the same treatment.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Matched fields of view are needed for a spatial claim; ensemble co-trends alone are not causal evidence.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triangulated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complementary_only</w:t>
            </w:r>
          </w:p>
        </w:tc>
      </w:tr>
      <w:tr>
        <w:tc>
          <w:tcPr>
            <w:tcW w:type="dxa" w:w="4114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R14</w:t>
            </w:r>
          </w:p>
        </w:tc>
        <w:tc>
          <w:tcPr>
            <w:tcW w:type="dxa" w:w="13258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Room Temperature Ionic Liquid Capping Layer for High Efficiency FAPbI 3 Perovskite Solar Cells with Long‐Term Stability</w:t>
            </w:r>
          </w:p>
        </w:tc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10.1002/advs.202400117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FAPbI3 control, BAI RT, and BAAc RT treatment series</w:t>
            </w:r>
          </w:p>
        </w:tc>
        <w:tc>
          <w:tcPr>
            <w:tcW w:type="dxa" w:w="12801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surface-potential variation</w:t>
              <w:br/>
              <w:t>Approximately 80 mV (control) versus 10 mV (BAAc RT); both RT treatments reduced heterogeneity.</w:t>
            </w:r>
          </w:p>
        </w:tc>
        <w:tc>
          <w:tcPr>
            <w:tcW w:type="dxa" w:w="13716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interfacial TRPL average lifetime</w:t>
              <w:br/>
              <w:t>12.85 ns (control/HTL), 7.19 ns (BAI RT/HTL), and 6.62 ns (BAAc RT/HTL)</w:t>
              <w:br/>
              <w:t>Broader carrier-dynamics context; not directly measured in the present study.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BAAc RT reduced surface-potential heterogeneity and yielded the shortest interfacial TRPL decay in the same treatment series.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KPFM reports treatment-dependent electrostatic uniformity, while interfacial TRPL reports extraction/recombination kinetics for corresponding treatment groups.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KPFM and TRPL used corresponding treatments but different sample stacks/geometries. Shorter interfacial TRPL can reflect faster extraction or recombination; the association is noncausal.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triangulated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complementary_only</w:t>
            </w:r>
          </w:p>
        </w:tc>
      </w:tr>
      <w:tr>
        <w:tc>
          <w:tcPr>
            <w:tcW w:type="dxa" w:w="4114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R15</w:t>
            </w:r>
          </w:p>
        </w:tc>
        <w:tc>
          <w:tcPr>
            <w:tcW w:type="dxa" w:w="13258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Imidazole Post‐Treated Self‐Assembled Monolayers for Inverted Perovskite Solar Cells</w:t>
            </w:r>
          </w:p>
        </w:tc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10.1002/advs.202518676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control NiOx/Me-4PACz versus 4,5-DI and 4,5-D-2-MI-modified HTLs</w:t>
            </w:r>
          </w:p>
        </w:tc>
        <w:tc>
          <w:tcPr>
            <w:tcW w:type="dxa" w:w="12801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surface-potential distribution</w:t>
              <w:br/>
              <w:t>Modified HTLs showed higher surface potential and a more uniform distribution.</w:t>
            </w:r>
          </w:p>
        </w:tc>
        <w:tc>
          <w:tcPr>
            <w:tcW w:type="dxa" w:w="13716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steady-state PL intensity</w:t>
              <w:br/>
              <w:t>The 4,5-D-2-MI-treated perovskite film exhibited higher intensity.</w:t>
              <w:br/>
              <w:t>Steady-state PL intensity is directly relevant to the present optical comparison.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The modified HTL series showed higher and more uniform surface potential, while the 4,5-D-2-MI-treated film showed higher PL intensity.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The pair distinguishes electrostatic uniformity from emissive uniformity and tests whether both respond to the same treatment.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Matched fields of view are needed for a spatial claim; ensemble co-trends alone are not causal evidence.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triangulated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complementary_only</w:t>
            </w:r>
          </w:p>
        </w:tc>
      </w:tr>
      <w:tr>
        <w:tc>
          <w:tcPr>
            <w:tcW w:type="dxa" w:w="4114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R16</w:t>
            </w:r>
          </w:p>
        </w:tc>
        <w:tc>
          <w:tcPr>
            <w:tcW w:type="dxa" w:w="13258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Imidazole Post‐Treated Self‐Assembled Monolayers for Inverted Perovskite Solar Cells</w:t>
            </w:r>
          </w:p>
        </w:tc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10.1002/advs.202518676</w:t>
            </w:r>
          </w:p>
        </w:tc>
        <w:tc>
          <w:tcPr>
            <w:tcW w:type="dxa" w:w="9601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control NiOx/Me-4PACz versus 4,5-DI and 4,5-D-2-MI-modified HTLs</w:t>
            </w:r>
          </w:p>
        </w:tc>
        <w:tc>
          <w:tcPr>
            <w:tcW w:type="dxa" w:w="12801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surface-potential distribution</w:t>
              <w:br/>
              <w:t>Modified HTLs showed higher surface potential and a more uniform distribution.</w:t>
            </w:r>
          </w:p>
        </w:tc>
        <w:tc>
          <w:tcPr>
            <w:tcW w:type="dxa" w:w="13716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TRPL carrier lifetime</w:t>
              <w:br/>
              <w:t>Longer for the modified films, with the greatest enhancement for 4,5-D-2-MI.</w:t>
              <w:br/>
              <w:t>Broader carrier-dynamics context; not directly measured in the present study.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The modified HTL series showed higher and more uniform surface potential together with longer TRPL carrier lifetime.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The pair links where electrostatic heterogeneity occurs to how long carriers persist or how rapidly they transfer.</w:t>
            </w:r>
          </w:p>
        </w:tc>
        <w:tc>
          <w:tcPr>
            <w:tcW w:type="dxa" w:w="12344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Spatial scales and sampled regions may differ, and lifetime direction remains mechanism dependent. Co-observation is not causation.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triangulated</w:t>
            </w:r>
          </w:p>
        </w:tc>
        <w:tc>
          <w:tcPr>
            <w:tcW w:type="dxa" w:w="6858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complementary_only</w:t>
            </w:r>
          </w:p>
        </w:tc>
      </w:tr>
    </w:tbl>
    <w:p>
      <w:r>
        <w:br w:type="page"/>
      </w:r>
    </w:p>
    <w:p>
      <w:pPr>
        <w:keepNext/>
        <w:spacing w:after="120"/>
      </w:pPr>
      <w:r>
        <w:rPr>
          <w:rFonts w:ascii="Times New Roman" w:hAnsi="Times New Roman" w:eastAsia="Times New Roman"/>
          <w:b/>
          <w:sz w:val="17"/>
        </w:rPr>
        <w:t>Table S4.</w:t>
      </w:r>
      <w:r>
        <w:rPr>
          <w:rFonts w:ascii="Times New Roman" w:hAnsi="Times New Roman" w:eastAsia="Times New Roman"/>
          <w:b w:val="0"/>
          <w:sz w:val="17"/>
        </w:rPr>
        <w:t xml:space="preserve"> Exploratory raw and composition-adjusted PL–photoKPFM association tests. The table reports Pearson and Spearman coefficients, bootstrap confidence intervals, leave-one-out sensitivity, partial correlations adjusted for nominal PEA and BDA precursor fractions, and Benjamini-Hochberg q-values for 36 exploratory comparisons. None survived multiplicity correction at q &lt; 0.05. The analyses are descriptive and do not support a causal relationship between the PL and photoKPFM observables. PL-derived fitted emissive components, where included, are spectral-model outputs and should not be interpreted as structurally confirmed phase fractions.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7"/>
        <w:gridCol w:w="1277"/>
        <w:gridCol w:w="1277"/>
        <w:gridCol w:w="1277"/>
        <w:gridCol w:w="1277"/>
        <w:gridCol w:w="1277"/>
        <w:gridCol w:w="1277"/>
        <w:gridCol w:w="1277"/>
        <w:gridCol w:w="1277"/>
        <w:gridCol w:w="1277"/>
        <w:gridCol w:w="1277"/>
        <w:gridCol w:w="1277"/>
        <w:gridCol w:w="1277"/>
        <w:gridCol w:w="1277"/>
        <w:gridCol w:w="1277"/>
      </w:tblGrid>
      <w:tr>
        <w:trPr>
          <w:tblHeader w:val="true"/>
        </w:trPr>
        <w:tc>
          <w:tcPr>
            <w:tcW w:type="dxa" w:w="82296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KPFM metric</w:t>
            </w:r>
          </w:p>
        </w:tc>
        <w:tc>
          <w:tcPr>
            <w:tcW w:type="dxa" w:w="118872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PL metric</w:t>
            </w:r>
          </w:p>
        </w:tc>
        <w:tc>
          <w:tcPr>
            <w:tcW w:type="dxa" w:w="32004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n</w:t>
            </w:r>
          </w:p>
        </w:tc>
        <w:tc>
          <w:tcPr>
            <w:tcW w:type="dxa" w:w="50292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Pearson r</w:t>
            </w:r>
          </w:p>
        </w:tc>
        <w:tc>
          <w:tcPr>
            <w:tcW w:type="dxa" w:w="50292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Pearson p</w:t>
            </w:r>
          </w:p>
        </w:tc>
        <w:tc>
          <w:tcPr>
            <w:tcW w:type="dxa" w:w="105156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Pearson bootstrap 95% CI</w:t>
            </w:r>
          </w:p>
        </w:tc>
        <w:tc>
          <w:tcPr>
            <w:tcW w:type="dxa" w:w="54864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Spearman ρ</w:t>
            </w:r>
          </w:p>
        </w:tc>
        <w:tc>
          <w:tcPr>
            <w:tcW w:type="dxa" w:w="50292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Spearman p</w:t>
            </w:r>
          </w:p>
        </w:tc>
        <w:tc>
          <w:tcPr>
            <w:tcW w:type="dxa" w:w="54864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Spearman BH q</w:t>
            </w:r>
          </w:p>
        </w:tc>
        <w:tc>
          <w:tcPr>
            <w:tcW w:type="dxa" w:w="105156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Composition controls</w:t>
            </w:r>
          </w:p>
        </w:tc>
        <w:tc>
          <w:tcPr>
            <w:tcW w:type="dxa" w:w="64008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Partial Spearman ρ</w:t>
            </w:r>
          </w:p>
        </w:tc>
        <w:tc>
          <w:tcPr>
            <w:tcW w:type="dxa" w:w="54864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Partial Spearman p</w:t>
            </w:r>
          </w:p>
        </w:tc>
        <w:tc>
          <w:tcPr>
            <w:tcW w:type="dxa" w:w="64008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Partial Spearman BH q</w:t>
            </w:r>
          </w:p>
        </w:tc>
        <w:tc>
          <w:tcPr>
            <w:tcW w:type="dxa" w:w="105156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Leave-one-out Spearman range</w:t>
            </w:r>
          </w:p>
        </w:tc>
        <w:tc>
          <w:tcPr>
            <w:tcW w:type="dxa" w:w="11430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2"/>
              </w:rPr>
              <w:t>Interpretation status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|ΔSP|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Top-read PL peak intensity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0.406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0.169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[−0.179, 0.810]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0.418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0.156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0.494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−0.072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0.833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0.862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[0.294, 0.545]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Dark relative surface potential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Top-read PL peak intensity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0.047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0.880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[−0.483, 0.587]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0.220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0.471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0.749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0.485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0.130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0.390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[0.091, 0.413]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Dark relative surface potential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Dominant PL peak wavelength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−0.290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0.336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[−0.782, 0.264]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−0.431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0.142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0.494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−0.426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0.192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0.406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[−0.627, −0.319]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Dark relative surface potential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3D/3D-like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−0.159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0.604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[−0.767, 0.420]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−0.040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0.896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0.921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0.104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0.761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0.862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[−0.235, 0.094]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Dark relative surface potential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low-n (n=1-4)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0.099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0.748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[−0.494, 0.626]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0.058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0.851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0.901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−0.099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0.773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0.862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[−0.101, 0.232]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Dark relative surface potential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n=1-like/2D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−0.103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0.737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[−0.619, 0.466]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−0.080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0.796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0.890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−0.275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0.414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0.639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[−0.243, 0.100]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Dark relative surface potential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n=2-like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0.632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0.021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[0.340, 0.869]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0.684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0.010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0.289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0.681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0.021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0.208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[0.570, 0.753]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Dark relative surface potential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n=3-like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0.546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0.053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[0.249, 0.846]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0.617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0.025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0.289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0.601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0.051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0.260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[0.520, 0.733]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Dark relative surface potential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n=4-like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0.070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0.820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[−0.255, 0.671]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0.089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0.459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0.452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0.162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0.390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[0.413, 0.661]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Dark relative surface potential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n≥5/high-n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0.084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0.785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[−0.390, 0.476]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0.078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0.801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0.890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0.207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0.542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0.750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[−0.094, 0.220]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Illuminated relative surface potential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Top-read PL peak intensity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0.171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0.576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[−0.339, 0.649]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0.286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0.344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0.676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0.524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0.098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0.354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[0.175, 0.441]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Illuminated relative surface potential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Dominant PL peak wavelength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−0.303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0.314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[−0.794, 0.349]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−0.348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0.244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0.549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−0.548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0.081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0.325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[−0.592, −0.217]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Illuminated relative surface potential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3D/3D-like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−0.166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0.587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[−0.801, 0.477]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−0.090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0.771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0.890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−0.084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0.806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0.862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[−0.336, 0.063]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Illuminated relative surface potential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low-n (n=1-4)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0.130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0.673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[−0.506, 0.662]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0.087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0.778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0.890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0.084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0.806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0.862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[−0.067, 0.306]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Illuminated relative surface potential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n=1-like/2D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−0.018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0.954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[−0.578, 0.571]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0.006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0.985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0.985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−0.049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0.887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0.887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[−0.134, 0.182]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Illuminated relative surface potential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n=2-like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0.579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0.038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[0.251, 0.865]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0.594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0.032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0.289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0.613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0.045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0.260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[0.441, 0.698]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Illuminated relative surface potential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n=3-like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0.463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0.111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[0.027, 0.791]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0.439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0.134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0.494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0.462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0.153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0.390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[0.291, 0.577]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Illuminated relative surface potential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n=4-like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−0.066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0.831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[−0.471, 0.663]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0.242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0.426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0.749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0.268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0.426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0.639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[0.119, 0.542]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Illuminated relative surface potential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n≥5/high-n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0.016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0.959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[−0.430, 0.478]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0.072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0.816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0.890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0.769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0.862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[−0.070, 0.242]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|ΔSP|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Dominant PL peak wavelength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0.122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0.692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[−0.334, 0.661]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0.381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0.199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0.511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0.336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0.313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0.563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[0.301, 0.563]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|ΔSP|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3D/3D-like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0.064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0.835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[−0.501, 0.755]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−0.090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0.771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0.890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−0.168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0.622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0.829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[−0.194, 0.065]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|ΔSP|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low-n (n=1-4)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0.086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0.779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[−0.526, 0.609]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0.116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0.706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0.890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0.247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0.465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0.669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[−0.033, 0.228]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|ΔSP|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n=1-like/2D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0.296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0.326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[−0.320, 0.743]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0.216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0.478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0.749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0.273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0.417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0.639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[0.065, 0.337]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|ΔSP|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n=2-like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−0.433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0.139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[−0.725, −0.167]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−0.372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0.211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0.511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−0.571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0.066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0.298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[−0.505, −0.274]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|ΔSP|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n=3-like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−0.491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0.089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[−0.821, −0.221]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−0.608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0.028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0.289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−0.710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0.014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0.208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[−0.725, −0.566]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|ΔSP|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n=4-like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−0.284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0.347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[−0.683, −0.062]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−0.409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0.165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0.494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−0.386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0.241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0.481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[−0.566, −0.349]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|ΔSP|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n≥5/high-n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−0.380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0.200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[−0.716, 0.223]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−0.370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0.213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0.511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−0.700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0.016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0.208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[−0.459, −0.179]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Signed ΔSP (light - dark)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Top-read PL peak intensity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0.464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0.111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[−0.075, 0.823]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0.462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0.112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0.494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−0.095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0.781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0.862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[0.350, 0.601]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Signed ΔSP (light - dark)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Dominant PL peak wavelength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0.011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0.970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[−0.486, 0.552]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0.304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0.313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0.662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0.070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0.838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0.862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[0.200, 0.493]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Signed ΔSP (light - dark)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3D/3D-like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0.007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0.983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[−0.562, 0.582]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−0.124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0.686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0.890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−0.316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0.344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0.590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[−0.239, 0.022]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Signed ΔSP (light - dark)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low-n (n=1-4)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0.095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0.758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[−0.542, 0.608]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0.116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0.706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0.890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0.336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0.312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0.563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[−0.033, 0.236]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Signed ΔSP (light - dark)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n=1-like/2D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0.346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0.246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[−0.314, 0.787]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0.279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0.357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0.676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0.494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0.122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0.390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[0.134, 0.430]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Signed ΔSP (light - dark)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n=2-like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−0.333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0.266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[−0.683, −0.020]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−0.234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0.441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0.749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−0.430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0.187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0.406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[−0.349, −0.183]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Signed ΔSP (light - dark)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n=3-like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−0.430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0.143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[−0.797, −0.172]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−0.523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0.067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0.450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−0.674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0.023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0.208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[−0.678, −0.476]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Signed ΔSP (light - dark)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n=4-like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−0.530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0.063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[−0.795, −0.184]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−0.510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0.075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0.450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−0.604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0.049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0.260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[−0.624, −0.340]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  <w:tr>
        <w:tc>
          <w:tcPr>
            <w:tcW w:type="dxa" w:w="8229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Signed ΔSP (light - dark)</w:t>
            </w:r>
          </w:p>
        </w:tc>
        <w:tc>
          <w:tcPr>
            <w:tcW w:type="dxa" w:w="11887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PL-fitted n≥5/high-n emissive fraction</w:t>
            </w:r>
          </w:p>
        </w:tc>
        <w:tc>
          <w:tcPr>
            <w:tcW w:type="dxa" w:w="3200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−0.276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0.362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[−0.687, 0.325]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−0.167</w:t>
            </w:r>
          </w:p>
        </w:tc>
        <w:tc>
          <w:tcPr>
            <w:tcW w:type="dxa" w:w="5029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0.585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0.877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Nominal PEA and BDA precursor fractions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−0.471</w:t>
            </w:r>
          </w:p>
        </w:tc>
        <w:tc>
          <w:tcPr>
            <w:tcW w:type="dxa" w:w="5486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0.143</w:t>
            </w:r>
          </w:p>
        </w:tc>
        <w:tc>
          <w:tcPr>
            <w:tcW w:type="dxa" w:w="640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0.390</w:t>
            </w:r>
          </w:p>
        </w:tc>
        <w:tc>
          <w:tcPr>
            <w:tcW w:type="dxa" w:w="105156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[−0.340, −0.055]</w:t>
            </w:r>
          </w:p>
        </w:tc>
        <w:tc>
          <w:tcPr>
            <w:tcW w:type="dxa" w:w="11430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Exploratory; no causal claim supported</w:t>
            </w:r>
          </w:p>
        </w:tc>
      </w:tr>
    </w:tbl>
    <w:sectPr w:rsidR="00FC693F" w:rsidRPr="0006063C" w:rsidSect="00034616">
      <w:pgSz w:w="2016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PhotoKPFM/PL supplementary Tables S1-S4</dc:title>
  <dc:subject>Manuscript-numbered supplementary tables generated from release CSV sources</dc:subject>
  <dc:creator>PhotoKPFM/PL manuscript release</dc:creator>
  <cp:keywords>PhotoKPFM, photoluminescence, supplementary tables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