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50"/>
          <w:szCs w:val="50"/>
        </w:rPr>
      </w:pPr>
      <w:bookmarkStart w:colFirst="0" w:colLast="0" w:name="_nfghvdbtww3i" w:id="0"/>
      <w:bookmarkEnd w:id="0"/>
      <w:r w:rsidDel="00000000" w:rsidR="00000000" w:rsidRPr="00000000">
        <w:rPr>
          <w:sz w:val="50"/>
          <w:szCs w:val="50"/>
          <w:rtl w:val="0"/>
        </w:rPr>
        <w:t xml:space="preserve">Отчет по результатам акции бонусной программы «Любимки» (недели 1–30)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rmq9xbgvu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отчета — оценить влияние бонусной программы «Любимки» на поведение клиентов, выручку и маржинальность с 12-й по 30-ю неделю по сравнению с базовым периодом (1–11 недели).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Методология включает сравнение средних показателей до и после запуска, расчёт чистой и оборотной прибыли, а также оценку окупаемости инвестиций  ROI.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alajr1bx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Описание полей данных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Неделя — номер календарной/промо-недели (1–30).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Кол-во чеков — число транзакций за неделю.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ТН, ТН полн — фактическая и плановая торговая наценка (руб.).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ТН%, ТН% полн — фактическая и плановая маржинальность (%) к товарообороту.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Кол-во ДК — число уникальных клиентов.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Себестоимость без скидки, Себестоимость со скидкой — затраты до и после учёта бонусных скидок.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Потеряно из-за скидки — дополнительная себестоимость от списанных бонусов.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Маржинальность итоговая, Маржинальность полная — фактическая и плановая валовая прибыль в % к обороту.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Товарооборот — выручка до вычета бонусов.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 чек — средняя выручка за транзакцию.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Частота посещений — среднее число покупок на клиента в неделю.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Начислено бонусов, Использовано бонусов — сумма выданных и списанных бонусов.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Доля нач бонусов — отношение начисленных бонусов к товарообороту (%).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Коэф использования бонусов — доля списанных от начисленных бонусов.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LTV — средний доход на клиента за период.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08uxaye40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Методология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Источник и частота данных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Определение контрольной и тестовой выборки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Формулы ключевых метрик (в т. ч. маржинальность):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Маржинальность фактическая (%) = (Товарооборот – Себестоимость со скидкой) / Товарооборот × 100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Маржинальность полная (%) = (Товарооборот – Себестоимость без скидки) / Товарооборот × 100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ТН% (markup) = ТН / Себестоимость без скидки × 100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Стат-тесты для оценки значимости изменений</w:t>
      </w:r>
    </w:p>
    <w:p w:rsidR="00000000" w:rsidDel="00000000" w:rsidP="00000000" w:rsidRDefault="00000000" w:rsidRPr="00000000" w14:paraId="0000001D">
      <w:pPr>
        <w:pStyle w:val="Heading2"/>
        <w:spacing w:after="240" w:before="240" w:lineRule="auto"/>
        <w:rPr>
          <w:b w:val="1"/>
          <w:sz w:val="34"/>
          <w:szCs w:val="34"/>
        </w:rPr>
      </w:pPr>
      <w:bookmarkStart w:colFirst="0" w:colLast="0" w:name="_vhhwh6mj4r9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Изменения поведения клиентов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Ниже приведена таблица с изменением ключевых показателей: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6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60"/>
        <w:gridCol w:w="1785"/>
        <w:gridCol w:w="1860"/>
        <w:gridCol w:w="1860"/>
        <w:tblGridChange w:id="0">
          <w:tblGrid>
            <w:gridCol w:w="2460"/>
            <w:gridCol w:w="1785"/>
            <w:gridCol w:w="1860"/>
            <w:gridCol w:w="18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Метрика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До запуска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После запуска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Изменение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Кол-во чеков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120 755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136 249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+12,8 %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Кол-во ДК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35 466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38 017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+7,2 %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Товарооборот, д. ед.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2 972 737,15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3 336 572,05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+12,2 %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 чек, д. ед.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24,62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24,49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–0,5 %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Частота посещений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3,40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3,58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+5,3 %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Маржинальность фактическая (%)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17,03 %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16,72 %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–1,8 % (–0,31 п.п.)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Маржинальность полная (%)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19,39 %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18,69 %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–3,63 % (–0,70 п.п.)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Доля начисленных бонусов (%)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1,22 %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2,06 %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+69,1 % (+0,84 п.п.)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Коэф. использования бонусов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81,26 %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85,77 %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+5,6 % (+4,51 п.п.)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LTV на клиента, д. ед.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83,80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87,77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+4,7 %</w:t>
            </w:r>
          </w:p>
        </w:tc>
      </w:tr>
    </w:tbl>
    <w:p w:rsidR="00000000" w:rsidDel="00000000" w:rsidP="00000000" w:rsidRDefault="00000000" w:rsidRPr="00000000" w14:paraId="0000004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Клиенты стали совершать на 12,8 % больше транзакций и посещать магазин чаще на 5,3%, увеличилось количество Дисконтных карт(пришли новые клиенты, либо разбудили старых). Средний чек незначительно снизился (-0.5%). Общая выручка выросла на 12,2%, но маржинальность упала на 0,3–0,7 п. п. из-за активного использования бонусов.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Ниже приведена диаграмма изменения маржинальности по неделям: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2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 как менялась итоговая(фактическая со скидкой) и планируемая  маржинальность за весь период. включая запуск акции: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descr="Диаграмма" id="3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 же, простая наглядная визуализация, как менялся товарооборот(выручка), себестоимость до и после скидки за весь период (до и после запуска акции):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1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5. Расчет дополнительной прибыли от акции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Изменение маржинальной прибыли в неделю: Δ ТН = 558 122,11 д ед – 506 051,98 д ед ≈ </w:t>
      </w:r>
      <w:r w:rsidDel="00000000" w:rsidR="00000000" w:rsidRPr="00000000">
        <w:rPr>
          <w:b w:val="1"/>
          <w:rtl w:val="0"/>
        </w:rPr>
        <w:t xml:space="preserve">52 070,13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 19 недель: </w:t>
      </w:r>
      <w:r w:rsidDel="00000000" w:rsidR="00000000" w:rsidRPr="00000000">
        <w:rPr>
          <w:rtl w:val="0"/>
        </w:rPr>
        <w:t xml:space="preserve">Прибыль от акции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52 070 д ед × 19 ≈ 989 330 д ед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прирост валовой прибыли сверх базового уровня до запуска программы.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hyzz5y13n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Оценка окупаемости инвестиций (ROI)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Стоимость инвестиций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∑Начислено бонусов по неделям 12–30 ≈ 68 995,89 д ед × 19 нед ≈ 1 310 922 д ед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ROI по марже</w:t>
      </w:r>
      <w:r w:rsidDel="00000000" w:rsidR="00000000" w:rsidRPr="00000000">
        <w:rPr>
          <w:rtl w:val="0"/>
        </w:rPr>
        <w:t xml:space="preserve"> = (Прибыль</w:t>
      </w:r>
      <w:r w:rsidDel="00000000" w:rsidR="00000000" w:rsidRPr="00000000">
        <w:rPr>
          <w:i w:val="1"/>
          <w:rtl w:val="0"/>
        </w:rPr>
        <w:t xml:space="preserve">от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акции – Стоимость инвестиций) / Стоимость инвестиций × 100% = (989 330 – 1 310 922) / 1 310 922 × 100% ≈ –24 %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ROI по выручке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Δ Товарооборот: (3 336 572,05 – 2 972 737,15)×19 нед ≈ 6 912 864 д. ед.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ROI = (6 912 864 – 1 310 922) / 1 310 922 × 100% ≈ +427 %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k9411x3vy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Выводы и рекомендации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обороту акция «Любимки» дала рост продаж в 6,9 млн д ед при затратах на бонусы в 1,31 млн ден.ед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«Любимки» отлично подняли оборот, но не компенсировали потери маржинальности.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Программа «Любимки» успешно стимулировала рост продаж и частоты посещений, но снизила маржинальность.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Инвестиции в бонусы не окупились по чистой прибыли, однако ROI по выручке составил +427 %, что демонстрирует сильный спрос, но требует оптимизации маржинальных условий.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повышения эффективности и достижения безубыточности по марже стоит оптимизировать размер бонуса или таргетировать его на наиболее маржинальные категории для сокращения потерь.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qp7gj69qj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Почему важно смотреть оба показателя ROI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ROI по выручке (как выше) отражает эффективность стимулирования спроса.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ROI по марже (Δ валовой прибыли) показывает реальную выгоду для бизнеса после всех скидок.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нашем случае: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ROI (по выручке) ≈ +427 %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ROI (по марже) ≈ –24 %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Рекомендуется сегментировать клиентов по реакции на бонусы (по частоте и объемам) и настраивать персональные кампании с учётом когорт и LTV.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Стоит дополнительно проанализировать отдачу по категориям товаров и расположению и категориям магазинов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Дальнейшие 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A/B-тесты разных уровней бонусов, разным категориям клиентов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Сегментация по поведению и LTV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Анализ cannibalization и cross-sell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Автоматизация мониторинга KPI в Power BI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pwpywr7ilvn5" w:id="8"/>
      <w:bookmarkEnd w:id="8"/>
      <w:r w:rsidDel="00000000" w:rsidR="00000000" w:rsidRPr="00000000">
        <w:rPr>
          <w:rtl w:val="0"/>
        </w:rPr>
        <w:t xml:space="preserve">Анализ cannibalization и cross-sell (Что это и зачем нужны эти анализы):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Cannibalization </w:t>
      </w:r>
      <w:r w:rsidDel="00000000" w:rsidR="00000000" w:rsidRPr="00000000">
        <w:rPr>
          <w:rtl w:val="0"/>
        </w:rPr>
        <w:t xml:space="preserve">Показывает, «поїли» ли продажи в одних категориях другие ваши продажи. Например, бонусы по «Любимкам» дают прирост в избранных категориях — но часть этого роста может быть за счёт падения продаж в остальных категориях (то есть клиенты меняют корзину, а не покупают дополнительно).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Cross-sell</w:t>
      </w:r>
      <w:r w:rsidDel="00000000" w:rsidR="00000000" w:rsidRPr="00000000">
        <w:rPr>
          <w:rtl w:val="0"/>
        </w:rPr>
        <w:t xml:space="preserve"> Отражает, стимулирует ли акция «Любимки» покупку дополнительных категорий. Показывает, выросла ли средняя ширина корзины за счёт дополнительных (соседних) категорий при покупке в «Любимках».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gofaqwnsf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Методика cannibalization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Выбрать </w:t>
      </w:r>
      <w:r w:rsidDel="00000000" w:rsidR="00000000" w:rsidRPr="00000000">
        <w:rPr>
          <w:b w:val="1"/>
          <w:rtl w:val="0"/>
        </w:rPr>
        <w:t xml:space="preserve">целевые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нецелевые</w:t>
      </w:r>
      <w:r w:rsidDel="00000000" w:rsidR="00000000" w:rsidRPr="00000000">
        <w:rPr>
          <w:rtl w:val="0"/>
        </w:rPr>
        <w:t xml:space="preserve"> категории товаров.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Сгруппировать продажи по двум периодам: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 запуска (недели 1–11)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После запуска (недели 12–30)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Рассчитать для каждого периода: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Σ объём продаж целевых категорий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Σ объём продаж остальных категорий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Вычислить изменение: Δ целевых =целевые_after – целевые_before Δ остальных =остальные_after – остальные_before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cann_rate = – Δ остальных / Δ целевых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– если &gt; 0, часть роста целевых «съела» продажи в других категориях.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edvkkn2jzo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Методика cross-sell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Определить пары «бонусная категория → другая категория».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каждого заказа зафиксировать, есть ли в нём товары из целевой категории и из сопутствующих.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Рассчитать </w:t>
      </w:r>
      <w:r w:rsidDel="00000000" w:rsidR="00000000" w:rsidRPr="00000000">
        <w:rPr>
          <w:b w:val="1"/>
          <w:rtl w:val="0"/>
        </w:rPr>
        <w:t xml:space="preserve">attach rate</w:t>
      </w:r>
      <w:r w:rsidDel="00000000" w:rsidR="00000000" w:rsidRPr="00000000">
        <w:rPr>
          <w:rtl w:val="0"/>
        </w:rPr>
        <w:t xml:space="preserve"> для каждой пары: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attach_rate = (заявок с целевой + сопутствующей)/ заявок с целевой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Сравнить </w:t>
      </w:r>
      <w:r w:rsidDel="00000000" w:rsidR="00000000" w:rsidRPr="00000000">
        <w:rPr>
          <w:b w:val="1"/>
          <w:rtl w:val="0"/>
        </w:rPr>
        <w:t xml:space="preserve">до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после</w:t>
      </w:r>
      <w:r w:rsidDel="00000000" w:rsidR="00000000" w:rsidRPr="00000000">
        <w:rPr>
          <w:rtl w:val="0"/>
        </w:rPr>
        <w:t xml:space="preserve"> запуска «Любимок».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Cross-sell lift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lift = (attach_rate_after / attach_rate_before – 1) × 100%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mgjjwv1td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Cannibalization анализ покажет, «отбирают» ли бонусы продажи в непроактивированных категориях.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Cross-sell анализ выявит, какие дополнительные категории выигрывают от программы и формируют дополнительный доход.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Вместе эти исследования помогут скорректировать таргетинг бонусов и увеличить общую маржинальность программы.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