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bookmarkStart w:id="0" w:name="undefined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организации-заказчика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Витте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-й Кожуховский проезд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стр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больших языковых моделей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спецификация моделей поведения игровых персонажей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различная документация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области интеграции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кода в проект для обучения адаптивных моделей поведения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подтверждения темя дипломы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финансирования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Финансирование выходит из самостоятельного распределения ресурсов из личных средств разработчика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следовательно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спользовано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программное обеспечение в публичном доступе и доступные инструменты генерации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интегрирована с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предоставлена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университету в установленный срок техническим заданием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демонстрационная версия передаваемого инструмента включает код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документацию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для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предоставляемая версия программы доступна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Работу принимает комиссия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положениями учебной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испытания и окончательная приемка показаны в шестом разделе технического 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сдача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отчета и инструкций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происходит на первичных этапах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регулируются требованием к документированию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с учетом методических и нормативных стандартов и документаций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профессиональными нормами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МЭК 25010-2015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Организовал процесс тестирования в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для соответствиям критериям оценки и ожиданиям клиентов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система приводится в соответствие стандартам оценки комиссии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задает стандарты для создания диаграмм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Помогает интерфейсу в инструменте генерации соответствовать всем требованиям удобства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8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5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6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8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6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8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 прототипов и уменьшения денежных затрат на разработку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реализуемый инструмент включает функционал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адаптирующиеся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 действия игрока и динамическая реакция на изменения произошедшие в игровом мире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текстур и тайлов ландшафта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Удобный интерфейс дающий создавать виртуальные игровые миры без знаний платформы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втоматизация генерации приводящая к снижению временных затрат и трудовых ресурсов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увеличения качества инструмента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повышая конкурентоспособность на рынке во время цифровой трансформации и автоматизации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оступный инструмент для одиночных разработчиков и малых студий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развития способностей людей создавать инновационные идеи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адаптации в играх к изменениям и действиям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возникновение новых ситуаций должно разжечь в игроках интерес перепройти одну и ту же игру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соответсвия потребностям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процесс включает в себя автоматизацию создания адаптивных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ассетов для визуализации объектов на игровой сцене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динамического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зависящее от событий в игровом мире и действий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Автоматизируемый процесс затрачивает много времени и средств личного капитала разработчиков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ассмотрены аналоги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в виде инструментов и готовых решений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пакет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 для автоматизации создания ландшафтов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уровней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содержит в себе генерацию квестов и адаптивного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генерирует квесты и текстовые приключения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способен создавать визуализацию или адаптивные модели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0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может генерировать подземелья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не может квесты и адаптивных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 генерации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прямой интеграции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другими игровыми движками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платформа для генерации миров в виртуальной реальности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генерирует виртуальную реальность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того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адаптивных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адаптивные квесты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инструмента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реализующий генерацию динамических миров при помощи нейросетей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реализуемый генератор контента доступен в репозитории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установленной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модулей с нейросетями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предоставлены технические требования рабочей станции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ядра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ГГц  минимум)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ГБ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витую пару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 диалогов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адаптивных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виртуальных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последней версии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ускорение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повышение конкурентоспособности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снижение затрат ресурсов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сложных сценариев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6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</w:t>
      </w:r>
      <w:r/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и функционированию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предназначенный для автоматизации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состоит из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«Создатель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– генерирует квесты для игрока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Модели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управления поведением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игровых персонажей при принятии различных решений игроком и изменений внутри игрового мира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«Система управления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Генерацией иконок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аватарок персонажей занимается подсистема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используются нейросети из доступных источников или локально расположенных на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интерфейсе инструмента можно настроить параметры генерации –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 текстовых полях будут отображаться сгенерированные квесты и диалоги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 главной сцене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состоит из функциональных подсистем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3)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«Персонализация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для соответствия стандартам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– сохранение созданных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Перечень подсистем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их назначение и основные характеристики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к числу уровней иерархии и степени централизации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генерации динамических виртуальных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подсистемы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исполняет функции генерации квестов с указанием параметров репутации игрока и сложности квеста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генерации историй в реальном времени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адаптации поведения под квесты и действия пользователя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нужен для визуализации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окружения где происходят события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включает в себя нейросети для генерации картинок и спрай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«Управление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 изменение параметров физики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камеры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освещения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настройка объектов на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управление общими настройками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скачивание ассетов и новых модулей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магазин ассетов и менеджер пакетов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«Мониторинг качества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используется для корректировки генерируемого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нужен для соблюдения ожиданий пользователя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«Сохранение результатов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предназначена для сохранения полученных результатов генерации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«СДВГМ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виде готовых игровых сцен с наполнением виртуального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виде файлов формата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 сцену можно экспортировать в другие проекты юнити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«Сказитель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подается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информационный обмен обеспечивается через локальный вызов события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Все элементы работают напрямую через компоненты в дереве иерархии и скрипты прикрепленные к объектам интерфейса и объектам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дополнительные требования не нужны для работы с локальным проектом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.1.4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х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й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ж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з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д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й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left"/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генерации игровых предусматривает добавление новых инструментов или ассетов из-вне копированием в папки внутри открытого проекта или можно использовать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магазин ассетов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менеджер п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акетов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Библиотеки созданные пользователями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загружаются через конвейеры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данные для импорта должны быть в поддерживаемом платформой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-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увеличить количество поддерживаемых типов файлов при помощи установки пакетов для совместимости новых форматов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687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6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.1.5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ж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ф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т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м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/>
      <w:r/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«Обычная генерация игрового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пользователь может указать параметры для генерации игрового прототипа сложность и стиль жанра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режим выбран по умолчанию при запуске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пользователь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интерфейс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возможность запустить любое количество генераций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составления метрик качества логики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иконок и аватарок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завершении тестирования выдается отчет с показом ошибок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 для ознакомления разработчиков с системой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показывает пример сгенерированного виртуального мира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доступ к текстовым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обучающем материалам содержащим инструкцию по настройке параметров квеста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импорта спрайтов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режим активируется через кнопку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«Помощь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Требования по диагностированию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</w:r>
      <w:r>
        <w:rPr>
          <w:sz w:val="20"/>
        </w:rPr>
        <w:tab/>
      </w:r>
      <w:r>
        <w:rPr>
          <w:sz w:val="28"/>
          <w:szCs w:val="28"/>
        </w:rPr>
        <w:t xml:space="preserve"> Компоненты подсистем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должны предоставлять функционал для генерации квестов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модели поведения не игровых персонажей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 иконок квестовых предметов и аватаров персонажей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инстумент </w:t>
      </w:r>
      <w:r>
        <w:rPr>
          <w:sz w:val="28"/>
          <w:szCs w:val="28"/>
        </w:rPr>
        <w:t xml:space="preserve">«СДГВМ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элементы интерфейса для просмотра генерируемых квестов и диалогов 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P</w:t>
      </w:r>
      <w:r>
        <w:rPr>
          <w:sz w:val="28"/>
          <w:szCs w:val="28"/>
        </w:rPr>
        <w:t xml:space="preserve">C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 в консоль </w:t>
      </w:r>
      <w:r>
        <w:rPr>
          <w:sz w:val="28"/>
          <w:szCs w:val="28"/>
        </w:rPr>
        <w:t xml:space="preserve">U</w:t>
      </w:r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t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  <w:t xml:space="preserve"> показываются дебагом диагностические события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ab/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сведения о процессе  и параметры генерации</w:t>
      </w:r>
      <w:r>
        <w:rPr>
          <w:sz w:val="28"/>
          <w:szCs w:val="28"/>
          <w:highlight w:val="none"/>
        </w:rPr>
        <w:t xml:space="preserve"> будут записаны в 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l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g</w:t>
      </w:r>
      <w:r>
        <w:rPr>
          <w:sz w:val="28"/>
          <w:szCs w:val="28"/>
          <w:highlight w:val="none"/>
        </w:rPr>
        <w:t xml:space="preserve"> файл</w:t>
      </w:r>
      <w:r>
        <w:rPr>
          <w:sz w:val="28"/>
          <w:szCs w:val="28"/>
          <w:highlight w:val="none"/>
        </w:rPr>
        <w:t xml:space="preserve"> в папке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</w:rPr>
        <w:t xml:space="preserve">e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r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  <w:highlight w:val="none"/>
        </w:rPr>
        <w:t xml:space="preserve">l</w:t>
      </w:r>
      <w:r>
        <w:rPr>
          <w:sz w:val="28"/>
          <w:szCs w:val="28"/>
          <w:highlight w:val="none"/>
        </w:rPr>
        <w:t xml:space="preserve">o</w:t>
      </w:r>
      <w:r>
        <w:rPr>
          <w:sz w:val="28"/>
          <w:szCs w:val="28"/>
          <w:highlight w:val="none"/>
        </w:rPr>
        <w:t xml:space="preserve">g</w:t>
      </w:r>
      <w:r>
        <w:rPr>
          <w:sz w:val="28"/>
          <w:szCs w:val="28"/>
          <w:highlight w:val="none"/>
        </w:rPr>
        <w:t xml:space="preserve">s</w:t>
      </w:r>
      <w:r>
        <w:rPr>
          <w:sz w:val="28"/>
          <w:szCs w:val="28"/>
          <w:highlight w:val="none"/>
        </w:rPr>
        <w:t xml:space="preserve">»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</w:p>
    <w:p>
      <w:pPr>
        <w:pStyle w:val="868"/>
        <w:ind w:left="-142" w:right="0" w:hanging="425"/>
        <w:rPr>
          <w:rStyle w:val="687"/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ab/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Перспективы развития и модернизации системы</w:t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7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  <w:tab/>
      </w:r>
      <w:r>
        <w:rPr>
          <w:sz w:val="20"/>
        </w:rPr>
        <w:t xml:space="preserve">Система</w:t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link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link w:val="716"/>
    <w:uiPriority w:val="35"/>
    <w:rPr>
      <w:b/>
      <w:bCs/>
      <w:color w:val="4f81bd" w:themeColor="accent1"/>
      <w:sz w:val="18"/>
      <w:szCs w:val="18"/>
    </w:rPr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paragraph" w:styleId="868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9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2</cp:revision>
  <dcterms:modified xsi:type="dcterms:W3CDTF">2025-09-28T12:39:39Z</dcterms:modified>
</cp:coreProperties>
</file>