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76"/>
          <w:rFonts w:ascii="Times New Roman" w:hAnsi="Times New Roman" w:cs="Times New Roman"/>
          <w14:ligatures w14:val="none"/>
        </w:rPr>
      </w:pPr>
      <w:r/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76"/>
          <w:rFonts w:ascii="Times New Roman" w:hAnsi="Times New Roman" w:eastAsia="Times New Roman" w:cs="Times New Roman"/>
        </w:rPr>
        <w:t xml:space="preserve">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71"/>
        <w:rPr>
          <w:b w:val="0"/>
          <w:bCs w:val="0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689"/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77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lang w:val="ru-RU"/>
        </w:rPr>
      </w:r>
    </w:p>
    <w:p>
      <w:r/>
      <w:r/>
    </w:p>
    <w:p>
      <w:pP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876"/>
          <w14:ligatures w14:val="none"/>
        </w:rPr>
      </w:pPr>
      <w:r>
        <w:rPr>
          <w:rStyle w:val="876"/>
        </w:rPr>
        <w:t xml:space="preserve">T</w:t>
      </w:r>
      <w:r>
        <w:rPr>
          <w:rStyle w:val="876"/>
        </w:rPr>
        <w:t xml:space="preserve">e</w:t>
      </w:r>
      <w:r>
        <w:rPr>
          <w:rStyle w:val="876"/>
        </w:rPr>
        <w:t xml:space="preserve">x</w:t>
      </w:r>
      <w:r>
        <w:rPr>
          <w:rStyle w:val="876"/>
        </w:rPr>
        <w:t xml:space="preserve">t</w:t>
      </w:r>
      <w:r>
        <w:rPr>
          <w:rStyle w:val="876"/>
        </w:rPr>
        <w:t xml:space="preserve"> </w:t>
      </w:r>
      <w:r>
        <w:rPr>
          <w:rStyle w:val="876"/>
        </w:rPr>
        <w:t xml:space="preserve">M</w:t>
      </w:r>
      <w:r>
        <w:rPr>
          <w:rStyle w:val="876"/>
        </w:rPr>
        <w:t xml:space="preserve">e</w:t>
      </w:r>
      <w:r>
        <w:rPr>
          <w:rStyle w:val="876"/>
        </w:rPr>
        <w:t xml:space="preserve">s</w:t>
      </w:r>
      <w:r>
        <w:rPr>
          <w:rStyle w:val="876"/>
        </w:rPr>
        <w:t xml:space="preserve">h</w:t>
      </w:r>
      <w:r>
        <w:rPr>
          <w:rStyle w:val="876"/>
        </w:rPr>
        <w:t xml:space="preserve"> </w:t>
      </w:r>
      <w:r>
        <w:rPr>
          <w:rStyle w:val="876"/>
        </w:rPr>
        <w:t xml:space="preserve">P</w:t>
      </w:r>
      <w:r>
        <w:rPr>
          <w:rStyle w:val="876"/>
        </w:rPr>
        <w:t xml:space="preserve">r</w:t>
      </w:r>
      <w:r>
        <w:rPr>
          <w:rStyle w:val="876"/>
        </w:rPr>
        <w:t xml:space="preserve">o</w:t>
      </w:r>
      <w:r>
        <w:rPr>
          <w:rStyle w:val="876"/>
        </w:rPr>
        <w:t xml:space="preserve"> </w:t>
      </w:r>
      <w:r>
        <w:rPr>
          <w:rStyle w:val="876"/>
        </w:rPr>
        <w:t xml:space="preserve">–</w:t>
      </w:r>
      <w:r>
        <w:rPr>
          <w:rStyle w:val="876"/>
        </w:rPr>
        <w:t xml:space="preserve"> содержание квеста</w:t>
      </w:r>
      <w:r>
        <w:rPr>
          <w:rStyle w:val="876"/>
        </w:rPr>
        <w:t xml:space="preserve">;</w:t>
      </w:r>
      <w:r>
        <w:rPr>
          <w:rStyle w:val="876"/>
        </w:rPr>
      </w:r>
      <w:r>
        <w:rPr>
          <w:rStyle w:val="876"/>
          <w14:ligatures w14:val="none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77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77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77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</w:p>
    <w:p>
      <w:pPr>
        <w:pStyle w:val="877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7"/>
      </w:pPr>
      <w:r>
        <w:rPr>
          <w:rStyle w:val="876"/>
          <w:rFonts w:ascii="Times New Roman" w:hAnsi="Times New Roman" w:eastAsia="Times New Roman" w:cs="Times New Roman"/>
        </w:rPr>
        <w:t xml:space="preserve">Настройки </w:t>
      </w:r>
      <w:r>
        <w:rPr>
          <w:rStyle w:val="876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76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76"/>
          <w:rFonts w:ascii="Times New Roman" w:hAnsi="Times New Roman" w:eastAsia="Times New Roman" w:cs="Times New Roman"/>
        </w:rPr>
        <w:t xml:space="preserve">: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/>
    </w:p>
    <w:p>
      <w:pPr>
        <w:pStyle w:val="877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77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77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Style w:val="876"/>
          <w:lang w:val="ru-RU"/>
        </w:rPr>
      </w:pP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использует технологию файловой системы </w:t>
      </w:r>
      <w:r>
        <w:rPr>
          <w:rStyle w:val="876"/>
          <w:lang w:val="ru-RU"/>
        </w:rPr>
        <w:t xml:space="preserve">U</w:t>
      </w:r>
      <w:r>
        <w:rPr>
          <w:rStyle w:val="876"/>
          <w:lang w:val="ru-RU"/>
        </w:rPr>
        <w:t xml:space="preserve">n</w:t>
      </w:r>
      <w:r>
        <w:rPr>
          <w:rStyle w:val="876"/>
          <w:lang w:val="ru-RU"/>
        </w:rPr>
        <w:t xml:space="preserve">i</w:t>
      </w:r>
      <w:r>
        <w:rPr>
          <w:rStyle w:val="876"/>
          <w:lang w:val="ru-RU"/>
        </w:rPr>
        <w:t xml:space="preserve">t</w:t>
      </w:r>
      <w:r>
        <w:rPr>
          <w:rStyle w:val="876"/>
          <w:lang w:val="ru-RU"/>
        </w:rPr>
        <w:t xml:space="preserve">y</w:t>
      </w:r>
      <w:r>
        <w:rPr>
          <w:rStyle w:val="876"/>
          <w:lang w:val="ru-RU"/>
        </w:rPr>
        <w:t xml:space="preserve"> для хранения ассетов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не нужно подключать дополнительные системы хранения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что уменьшает порог входа пользования </w:t>
      </w:r>
      <w:r>
        <w:rPr>
          <w:rStyle w:val="876"/>
          <w:lang w:val="ru-RU"/>
        </w:rPr>
        <w:t xml:space="preserve">системой для инди-студий и соло разработчиков</w:t>
      </w:r>
      <w:r>
        <w:rPr>
          <w:rStyle w:val="876"/>
          <w:lang w:val="ru-RU"/>
        </w:rPr>
        <w:t xml:space="preserve">.</w:t>
      </w:r>
      <w:r>
        <w:rPr>
          <w:lang w:val="ru-RU"/>
        </w:rPr>
      </w:r>
      <w:r>
        <w:rPr>
          <w:rStyle w:val="876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77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71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71"/>
        <w:ind w:firstLine="708"/>
      </w:pPr>
      <w:r/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  <w:r/>
    </w:p>
    <w:p>
      <w:pPr>
        <w:pStyle w:val="877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pStyle w:val="877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/>
    </w:p>
    <w:p>
      <w:pPr>
        <w:pStyle w:val="871"/>
        <w:ind w:firstLine="708"/>
      </w:pPr>
      <w:r/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  <w:r/>
    </w:p>
    <w:p>
      <w:pPr>
        <w:pStyle w:val="877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71"/>
        <w:ind w:firstLine="708"/>
        <w:rPr>
          <w:highlight w:val="none"/>
          <w:lang w:val="ru-RU"/>
        </w:rPr>
      </w:pPr>
      <w:r/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/>
      <w:r/>
      <w:r/>
    </w:p>
    <w:p>
      <w:pPr>
        <w:pStyle w:val="877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  <w:r/>
    </w:p>
    <w:p>
      <w:pPr>
        <w:pStyle w:val="871"/>
        <w:ind w:firstLine="708"/>
      </w:pPr>
      <w:r/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  <w:r/>
    </w:p>
    <w:p>
      <w:pPr>
        <w:pStyle w:val="6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8</cp:revision>
  <dcterms:created xsi:type="dcterms:W3CDTF">2025-10-02T05:31:16Z</dcterms:created>
  <dcterms:modified xsi:type="dcterms:W3CDTF">2025-10-07T13:44:09Z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