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hyperlink w:tooltip="#_Toc14" w:anchor="_Toc14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val="ru-RU"/>
              </w:rPr>
              <w:t xml:space="preserve">ВВЕДЕНИЕ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_Toc14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  <w14:ligatures w14:val="none"/>
            </w:rPr>
          </w:r>
        </w:p>
        <w:p>
          <w:pPr>
            <w:pStyle w:val="831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hyperlink w:tooltip="#_Toc15" w:anchor="_Toc15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val="ru-RU"/>
              </w:rPr>
              <w:t xml:space="preserve">АНАЛИТИЧЕСКАЯ ЧАСТЬ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  <w14:ligatures w14:val="none"/>
            </w:rPr>
          </w:r>
        </w:p>
        <w:p>
          <w:pPr>
            <w:pStyle w:val="831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hyperlink w:tooltip="#_Toc16" w:anchor="_Toc16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val="ru-RU"/>
              </w:rPr>
              <w:t xml:space="preserve">1 АНАЛИЗ ПРЕДМЕТНОЙ ОБЛАСТИ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  <w14:ligatures w14:val="none"/>
            </w:rPr>
          </w:r>
        </w:p>
        <w:p>
          <w:pPr>
            <w:pStyle w:val="832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hyperlink w:tooltip="#_Toc17" w:anchor="_Toc17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Анализ подразделения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кафедра информационных систем организации МУИВ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_Toc17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  <w14:ligatures w14:val="none"/>
            </w:rPr>
          </w:r>
        </w:p>
        <w:p>
          <w:pPr>
            <w:pStyle w:val="833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hyperlink w:tooltip="#_Toc18" w:anchor="_Toc18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1.1.1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Д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б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з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-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п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й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г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з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ц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_Toc18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  <w14:ligatures w14:val="none"/>
            </w:rPr>
          </w:r>
        </w:p>
        <w:p>
          <w:pPr>
            <w:pStyle w:val="833"/>
            <w:tabs>
              <w:tab w:val="right" w:pos="9355" w:leader="dot"/>
            </w:tabs>
            <w:rPr>
              <w:rFonts w:ascii="Times New Roman" w:hAnsi="Times New Roman" w:cs="Times New Roman"/>
              <w:b/>
              <w:bCs/>
              <w:sz w:val="28"/>
              <w:szCs w:val="28"/>
              <w:highlight w:val="none"/>
            </w:rPr>
          </w:pPr>
          <w:hyperlink w:tooltip="#_Toc19" w:anchor="_Toc19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2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Сопоставление бизнес-процессов и критических факторов успеха организации</w:t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b/>
              <w:bCs/>
              <w:sz w:val="28"/>
              <w:szCs w:val="2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sz w:val="28"/>
              <w:szCs w:val="28"/>
              <w:highlight w:val="none"/>
            </w:rPr>
          </w:r>
        </w:p>
        <w:p>
          <w:pPr>
            <w:pStyle w:val="833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</w:rPr>
          </w:pPr>
          <w:hyperlink w:tooltip="#_Toc20" w:anchor="_Toc20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Анализ структуры и нормативной документации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,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регламентов подразделения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«Базовая кафедра исследований информационных технологий на базе сервиса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«ГитФлик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» под раздел кафедры информационных систем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университета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,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регулирующих выполнение генерации игрового контента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_Toc20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  <w:p>
          <w:pPr>
            <w:pStyle w:val="832"/>
            <w:tabs>
              <w:tab w:val="right" w:pos="9355" w:leader="dot"/>
            </w:tabs>
            <w:rPr>
              <w:rStyle w:val="851"/>
              <w:rFonts w:ascii="Times New Roman" w:hAnsi="Times New Roman" w:cs="Times New Roman"/>
              <w:sz w:val="28"/>
              <w:szCs w:val="28"/>
              <w:highlight w:val="none"/>
            </w:rPr>
          </w:pPr>
          <w:hyperlink w:tooltip="#_Toc21" w:anchor="_Toc21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2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Моделирование бизнес-процесса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«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генерация игрового контента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rStyle w:val="851"/>
              <w:rFonts w:ascii="Times New Roman" w:hAnsi="Times New Roman" w:eastAsia="Times New Roman" w:cs="Times New Roman"/>
              <w:sz w:val="28"/>
              <w:szCs w:val="28"/>
              <w:highlight w:val="none"/>
            </w:rPr>
          </w:r>
          <w:r>
            <w:rPr>
              <w:rStyle w:val="851"/>
              <w:rFonts w:ascii="Times New Roman" w:hAnsi="Times New Roman" w:eastAsia="Times New Roman" w:cs="Times New Roman"/>
              <w:sz w:val="28"/>
              <w:szCs w:val="28"/>
              <w:highlight w:val="none"/>
              <w:lang w:val="ru-RU"/>
            </w:rPr>
          </w:r>
        </w:p>
        <w:p>
          <w:pPr>
            <w:pStyle w:val="833"/>
            <w:tabs>
              <w:tab w:val="right" w:pos="9355" w:leader="dot"/>
            </w:tabs>
            <w:rPr>
              <w:rStyle w:val="851"/>
              <w:rFonts w:ascii="Times New Roman" w:hAnsi="Times New Roman" w:cs="Times New Roman"/>
              <w:sz w:val="28"/>
              <w:szCs w:val="28"/>
              <w:highlight w:val="none"/>
              <w14:ligatures w14:val="none"/>
            </w:rPr>
          </w:pPr>
          <w:hyperlink w:tooltip="#_Toc22" w:anchor="_Toc22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1.2.1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М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д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г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ц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г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г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“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Ь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”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>
            <w:rPr>
              <w:rStyle w:val="851"/>
              <w:rFonts w:ascii="Times New Roman" w:hAnsi="Times New Roman" w:eastAsia="Times New Roman" w:cs="Times New Roman"/>
              <w:sz w:val="28"/>
              <w:szCs w:val="28"/>
              <w:highlight w:val="none"/>
              <w14:ligatures w14:val="none"/>
            </w:rPr>
          </w:r>
          <w:r>
            <w:rPr>
              <w:rStyle w:val="851"/>
              <w:rFonts w:ascii="Times New Roman" w:hAnsi="Times New Roman" w:eastAsia="Times New Roman" w:cs="Times New Roman"/>
              <w:sz w:val="28"/>
              <w:szCs w:val="28"/>
              <w:highlight w:val="none"/>
              <w:lang w:val="en-US"/>
              <w14:ligatures w14:val="none"/>
            </w:rPr>
          </w:r>
        </w:p>
        <w:p>
          <w:pPr>
            <w:pStyle w:val="833"/>
            <w:tabs>
              <w:tab w:val="right" w:pos="9355" w:leader="dot"/>
            </w:tabs>
            <w:rPr>
              <w:rFonts w:ascii="Times New Roman" w:hAnsi="Times New Roman" w:cs="Times New Roman"/>
              <w:sz w:val="28"/>
              <w:szCs w:val="28"/>
            </w:rPr>
          </w:pPr>
          <w:hyperlink w:tooltip="#_Toc23" w:anchor="_Toc23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2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2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Моделирование процесса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«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как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должно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быть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_Toc23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  <w:p>
          <w:pPr>
            <w:pStyle w:val="832"/>
            <w:tabs>
              <w:tab w:val="right" w:pos="9355" w:leader="dot"/>
            </w:tabs>
            <w:rPr>
              <w:rStyle w:val="848"/>
              <w:rFonts w:ascii="Times New Roman" w:hAnsi="Times New Roman" w:cs="Times New Roman"/>
              <w:b/>
              <w:bCs/>
              <w:sz w:val="28"/>
              <w:szCs w:val="28"/>
              <w:highlight w:val="none"/>
            </w:rPr>
          </w:pPr>
          <w:hyperlink w:tooltip="#_Toc24" w:anchor="_Toc24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1.4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з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й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х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д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х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б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н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й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з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б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ы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м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й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м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_Toc24 \h</w:instrText>
              <w:fldChar w:fldCharType="separate"/>
              <w:t xml:space="preserve">27</w:t>
              <w:fldChar w:fldCharType="end"/>
            </w:r>
          </w:hyperlink>
          <w:r>
            <w:rPr>
              <w:rStyle w:val="848"/>
              <w:rFonts w:ascii="Times New Roman" w:hAnsi="Times New Roman" w:eastAsia="Times New Roman" w:cs="Times New Roman"/>
              <w:b/>
              <w:bCs/>
              <w:sz w:val="28"/>
              <w:szCs w:val="28"/>
              <w:highlight w:val="none"/>
            </w:rPr>
          </w:r>
          <w:r>
            <w:rPr>
              <w:rStyle w:val="848"/>
              <w:rFonts w:ascii="Times New Roman" w:hAnsi="Times New Roman" w:eastAsia="Times New Roman" w:cs="Times New Roman"/>
              <w:b/>
              <w:bCs/>
              <w:sz w:val="28"/>
              <w:szCs w:val="28"/>
              <w:highlight w:val="none"/>
              <w:lang w:val="ru-RU"/>
            </w:rPr>
          </w:r>
        </w:p>
        <w:p>
          <w:pPr>
            <w:pStyle w:val="832"/>
            <w:tabs>
              <w:tab w:val="left" w:pos="374" w:leader="none"/>
              <w:tab w:val="right" w:pos="9355" w:leader="dot"/>
            </w:tabs>
            <w:rPr>
              <w:rStyle w:val="848"/>
              <w:rFonts w:ascii="Times New Roman" w:hAnsi="Times New Roman" w:cs="Times New Roman"/>
              <w:sz w:val="28"/>
              <w:szCs w:val="28"/>
            </w:rPr>
          </w:pPr>
          <w:hyperlink w:tooltip="#_Toc25" w:anchor="_Toc25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1.5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ы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б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е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д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с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в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з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р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а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б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о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т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к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sz w:val="28"/>
                <w:szCs w:val="28"/>
                <w:highlight w:val="none"/>
                <w:lang w:val="en-US"/>
              </w:rPr>
              <w:t xml:space="preserve">  </w:t>
              <w:tab/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_Toc25 \h</w:instrText>
              <w:fldChar w:fldCharType="separate"/>
              <w:t xml:space="preserve">28</w:t>
              <w:fldChar w:fldCharType="end"/>
            </w:r>
          </w:hyperlink>
          <w:r>
            <w:rPr>
              <w:rStyle w:val="848"/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Style w:val="848"/>
              <w:rFonts w:ascii="Times New Roman" w:hAnsi="Times New Roman" w:eastAsia="Times New Roman" w:cs="Times New Roman"/>
              <w:sz w:val="28"/>
              <w:szCs w:val="28"/>
              <w:lang w:val="ru-RU"/>
            </w:rPr>
          </w:r>
        </w:p>
        <w:p>
          <w:pPr>
            <w:pStyle w:val="832"/>
            <w:tabs>
              <w:tab w:val="right" w:pos="9355" w:leader="dot"/>
            </w:tabs>
            <w:rPr>
              <w:rStyle w:val="848"/>
              <w:rFonts w:ascii="Times New Roman" w:hAnsi="Times New Roman" w:cs="Times New Roman"/>
              <w:sz w:val="28"/>
              <w:szCs w:val="28"/>
            </w:rPr>
          </w:pPr>
          <w:hyperlink w:tooltip="#_Toc26" w:anchor="_Toc26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6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Техническое задание на разработку 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«СДГВМ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»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_Toc26 \h</w:instrText>
              <w:fldChar w:fldCharType="separate"/>
              <w:t xml:space="preserve">29</w:t>
              <w:fldChar w:fldCharType="end"/>
            </w:r>
          </w:hyperlink>
          <w:r>
            <w:rPr>
              <w:rStyle w:val="848"/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Style w:val="848"/>
              <w:rFonts w:ascii="Times New Roman" w:hAnsi="Times New Roman" w:eastAsia="Times New Roman" w:cs="Times New Roman"/>
              <w:sz w:val="28"/>
              <w:szCs w:val="28"/>
              <w:lang w:val="ru-RU"/>
            </w:rPr>
          </w:r>
        </w:p>
        <w:p>
          <w:pPr>
            <w:pStyle w:val="832"/>
            <w:tabs>
              <w:tab w:val="right" w:pos="9355" w:leader="dot"/>
            </w:tabs>
            <w:rPr>
              <w:rStyle w:val="848"/>
            </w:rPr>
          </w:pPr>
          <w:hyperlink w:tooltip="#_Toc27" w:anchor="_Toc27" w:history="1">
            <w:r>
              <w:rPr>
                <w:rStyle w:val="824"/>
                <w:sz w:val="28"/>
                <w:szCs w:val="28"/>
              </w:rPr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1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.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7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Выводы по разделу</w:t>
            </w:r>
            <w:r>
              <w:rPr>
                <w:rStyle w:val="824"/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fldChar w:fldCharType="begin"/>
              <w:instrText xml:space="preserve">PAGEREF _Toc27 \h</w:instrText>
              <w:fldChar w:fldCharType="separate"/>
              <w:t xml:space="preserve">29</w:t>
              <w:fldChar w:fldCharType="end"/>
            </w:r>
          </w:hyperlink>
          <w:r>
            <w:rPr>
              <w:rStyle w:val="848"/>
              <w:lang w:val="ru-RU"/>
            </w:rPr>
          </w:r>
        </w:p>
        <w:p>
          <w:r/>
          <w:r>
            <w:rPr>
              <w:highlight w:val="none"/>
              <w:lang w:val="ru-RU"/>
              <w14:ligatures w14:val="none"/>
            </w:rPr>
          </w:r>
          <w:r>
            <w:fldChar w:fldCharType="end"/>
          </w:r>
          <w:r/>
          <w:r/>
        </w:p>
      </w:sdtContent>
    </w:sdt>
    <w:p>
      <w:pPr>
        <w:pStyle w:val="666"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666"/>
        <w:rPr>
          <w:highlight w:val="none"/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6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6"/>
        <w:rPr>
          <w:highlight w:val="none"/>
          <w14:ligatures w14:val="none"/>
        </w:rPr>
      </w:pPr>
      <w:r/>
      <w:bookmarkStart w:id="14" w:name="_Toc14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/>
      <w:bookmarkEnd w:id="14"/>
      <w:r/>
      <w:r>
        <w:rPr>
          <w:highlight w:val="none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монетизации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5" w:name="_Toc15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АНАЛИТИЧЕСКАЯ ЧАСТЬ</w:t>
      </w:r>
      <w:r/>
      <w:bookmarkEnd w:id="15"/>
      <w:r/>
      <w:r>
        <w:rPr>
          <w:highlight w:val="none"/>
          <w:lang w:val="ru-RU"/>
          <w14:ligatures w14:val="none"/>
        </w:rPr>
      </w:r>
    </w:p>
    <w:p>
      <w:pPr>
        <w:pStyle w:val="666"/>
        <w:rPr>
          <w:highlight w:val="none"/>
          <w:lang w:val="ru-RU"/>
          <w14:ligatures w14:val="none"/>
        </w:rPr>
      </w:pPr>
      <w:r/>
      <w:bookmarkStart w:id="16" w:name="_Toc16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1 АНАЛИЗ ПРЕДМЕТНОЙ ОБЛАСТИ</w:t>
      </w:r>
      <w:r/>
      <w:bookmarkEnd w:id="16"/>
      <w:r/>
      <w:r>
        <w:rPr>
          <w:highlight w:val="none"/>
          <w:lang w:val="ru-RU"/>
          <w14:ligatures w14:val="none"/>
        </w:rPr>
      </w:r>
    </w:p>
    <w:p>
      <w:pPr>
        <w:pStyle w:val="668"/>
        <w:rPr>
          <w:highlight w:val="none"/>
          <w:lang w:val="ru-RU"/>
          <w14:ligatures w14:val="none"/>
        </w:rPr>
      </w:pPr>
      <w:r/>
      <w:bookmarkStart w:id="17" w:name="_Toc17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Анализ подразделения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кафедра информационных систем организации МУИВ</w:t>
      </w:r>
      <w:r/>
      <w:bookmarkEnd w:id="17"/>
      <w:r/>
      <w:r>
        <w:rPr>
          <w:highlight w:val="none"/>
          <w:lang w:val="ru-RU"/>
          <w14:ligatures w14:val="none"/>
        </w:rPr>
      </w:r>
    </w:p>
    <w:p>
      <w:pPr>
        <w:pStyle w:val="670"/>
        <w:rPr>
          <w:highlight w:val="none"/>
          <w:lang w:val="ru-RU"/>
          <w14:ligatures w14:val="none"/>
        </w:rPr>
      </w:pPr>
      <w:r/>
      <w:bookmarkStart w:id="18" w:name="_Toc18"/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/>
      <w:bookmarkEnd w:id="18"/>
      <w:r/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инди-студий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70"/>
        <w:rPr>
          <w:b/>
          <w:bCs/>
          <w:highlight w:val="none"/>
        </w:rPr>
      </w:pPr>
      <w:r/>
      <w:bookmarkStart w:id="19" w:name="_Toc19"/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.1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Сопоставление бизнес-процессов и критических факторов успеха организации</w:t>
      </w:r>
      <w:r/>
      <w:bookmarkEnd w:id="19"/>
      <w:r/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670"/>
        <w:rPr>
          <w:rFonts w:ascii="Times New Roman" w:hAnsi="Times New Roman" w:cs="Times New Roman"/>
          <w:sz w:val="28"/>
          <w:szCs w:val="28"/>
        </w:rPr>
      </w:pPr>
      <w:r/>
      <w:bookmarkStart w:id="20" w:name="_Toc20"/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3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Анализ структуры и нормативной документации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,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регламентов подразделения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«Базовая кафедра исследований информационных технологий на базе сервиса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«ГитФлик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»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» под раздел кафедры информационных систем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университета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,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регулирующих выполнение генерации игрового контента</w:t>
      </w:r>
      <w:r/>
      <w:bookmarkEnd w:id="20"/>
      <w:r/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68"/>
        <w:rPr>
          <w:rStyle w:val="851"/>
          <w:highlight w:val="none"/>
          <w:lang w:val="ru-RU"/>
        </w:rPr>
      </w:pPr>
      <w:r/>
      <w:bookmarkStart w:id="21" w:name="_Toc21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Моделирование бизнес-процесса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генерация игрового контента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/>
      <w:bookmarkEnd w:id="21"/>
      <w:r/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670"/>
        <w:rPr>
          <w:rStyle w:val="851"/>
          <w:highlight w:val="none"/>
          <w:lang w:val="en-US"/>
          <w14:ligatures w14:val="none"/>
        </w:rPr>
      </w:pPr>
      <w:r/>
      <w:bookmarkStart w:id="22" w:name="_Toc22"/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1.2.1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“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Ь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”</w:t>
      </w:r>
      <w:r/>
      <w:bookmarkEnd w:id="22"/>
      <w:r/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Александрович,</w:t>
            </w:r>
            <w:r>
              <w:t xml:space="preserve"> Шебанов Вячеслав Викторович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70"/>
      </w:pPr>
      <w:r/>
      <w:bookmarkStart w:id="23" w:name="_Toc23"/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Моделирование процесса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«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как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должно 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быть</w:t>
      </w:r>
      <w:r>
        <w:rPr>
          <w:rStyle w:val="675"/>
          <w:rFonts w:ascii="Times New Roman" w:hAnsi="Times New Roman" w:eastAsia="Times New Roman" w:cs="Times New Roman"/>
          <w:sz w:val="28"/>
          <w:szCs w:val="28"/>
          <w:lang w:val="en-US"/>
        </w:rPr>
        <w:t xml:space="preserve">»</w:t>
      </w:r>
      <w:r>
        <w:t xml:space="preserve"> </w:t>
      </w:r>
      <w:r/>
      <w:bookmarkEnd w:id="23"/>
      <w:r/>
      <w:r/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jc w:val="left"/>
        <w:rPr>
          <w:highlight w:val="none"/>
        </w:rPr>
      </w:pPr>
      <w:r>
        <w:rPr>
          <w:highlight w:val="none"/>
          <w:lang w:val="ru-RU"/>
        </w:rPr>
        <w:t xml:space="preserve">Оптимизация модели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 включила в себя использование сервиса 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 с начала создания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она позволила автоматизировать процесс разработки и выдавать временные карточки для реализации работ создания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в сроки</w:t>
      </w:r>
      <w:r>
        <w:rPr>
          <w:highlight w:val="none"/>
          <w:lang w:val="ru-RU"/>
        </w:rPr>
        <w:t xml:space="preserve">. Использование инструментов мощной бизнес аналитики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 – 1С</w:t>
      </w:r>
      <w:r>
        <w:rPr>
          <w:highlight w:val="none"/>
          <w:lang w:val="ru-RU"/>
        </w:rPr>
        <w:t xml:space="preserve">:Битрикс 24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помогло автоматизировать поиск возможных рисков в бизнес процессах приводящих к снижению прибыли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использование умной платформы на базе искусственного интеллекта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совместно с пассивной рекламой в виде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сайта с демонстрацией функционала системы динамической генерации виртуальных миров</w:t>
      </w:r>
      <w:r>
        <w:rPr>
          <w:highlight w:val="none"/>
          <w:lang w:val="ru-RU"/>
        </w:rPr>
        <w:t xml:space="preserve"> используя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 продвижение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страницы приводит к увеличению потенциальных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повышающих прибыль от реализации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Московскому Университету имени Витте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</w:t>
      </w:r>
      <w:r>
        <w:rPr>
          <w:highlight w:val="none"/>
          <w:lang w:val="ru-RU"/>
        </w:rPr>
        <w:t xml:space="preserve"> снижения вероятности рисков</w:t>
      </w:r>
      <w:r>
        <w:rPr>
          <w:highlight w:val="none"/>
          <w:lang w:val="ru-RU"/>
        </w:rPr>
        <w:t xml:space="preserve"> и отказов в партнерской программе МУИВ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необходимо реализовать интеграцию с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выставить инструмент динамической генерации виртуальных миров на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монетизировать части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 успешной реализации бухгалтерского учета нужно</w:t>
      </w:r>
      <w:r>
        <w:rPr>
          <w:highlight w:val="none"/>
          <w:lang w:val="ru-RU"/>
        </w:rPr>
        <w:t xml:space="preserve">, интегрировать 1С для автоматизации создания необходимых отчетов и регистров накопления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195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3" cy="5556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Шкала и критерии оценки БП и степени проблемности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Оценка процесса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Критерии оценки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Значение степени проблемности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Отлично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Высокая оценка студентами и преподавателями национальных аспектов квестов и диалоговых деревьев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спрайтов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иконок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аватарок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есть запоминание системой предыдущих диалогов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Увеличено качество генерации при помощи метрик</w:t>
            </w:r>
            <w:r>
              <w:rPr>
                <w:highlight w:val="none"/>
                <w:lang w:val="ru-RU"/>
              </w:rPr>
              <w:t xml:space="preserve">: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B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U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M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F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D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Удовлетворительно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Достигнута стабильная генерация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очень 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используется межнейросетевое общение при помощи 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Плохо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Конструктор квестов без машинного обучения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rPr>
          <w:rStyle w:val="848"/>
          <w:b/>
          <w:bCs/>
          <w:lang w:val="ru-RU"/>
          <w14:ligatures w14:val="none"/>
        </w:rPr>
      </w:pPr>
      <w:r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1.3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Style w:val="848"/>
          <w:b/>
          <w:bCs/>
          <w:lang w:val="ru-RU"/>
        </w:rPr>
        <w:br/>
        <w:br/>
        <w:tab/>
      </w:r>
      <w:r>
        <w:rPr>
          <w:rStyle w:val="848"/>
          <w:lang w:val="ru-RU"/>
        </w:rPr>
        <w:t xml:space="preserve">Проведя глубокий анализ рынка направления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 обнаружен рост ежегодно около двадцати семи</w:t>
      </w:r>
      <w:r>
        <w:rPr>
          <w:rStyle w:val="848"/>
          <w:lang w:val="ru-RU"/>
        </w:rPr>
        <w:t xml:space="preserve"> процентов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процесс генерации квестов по национальной культуре России востребован в США и Австралии в вузах и школах</w:t>
      </w:r>
      <w:r>
        <w:rPr>
          <w:rStyle w:val="848"/>
          <w:lang w:val="ru-RU"/>
        </w:rPr>
        <w:t xml:space="preserve">, рассмотрел аналоги систем генерации квестов при помощи нейросетей используемых в образовании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существующее аналоги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имеют отрицательную связь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аналогов требуется длительная адаптация или не подходят под необходимый формат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S и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не доступны в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но подходят под требования к конструктору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помощи нейронных сетей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Многие квестовые генераторы дополнительно требуют 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«не полная блокировка</w:t>
      </w:r>
      <w:r>
        <w:rPr>
          <w:rStyle w:val="848"/>
          <w:lang w:val="ru-RU"/>
        </w:rPr>
        <w:t xml:space="preserve">» в России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  <w14:ligatures w14:val="none"/>
        </w:rPr>
      </w:r>
      <w:r/>
      <w:r>
        <w:rPr>
          <w:rStyle w:val="848"/>
          <w:b/>
          <w:bCs/>
          <w:lang w:val="ru-RU"/>
          <w14:ligatures w14:val="none"/>
        </w:rPr>
      </w:r>
    </w:p>
    <w:p>
      <w:pPr>
        <w:pStyle w:val="852"/>
        <w:ind w:firstLine="708"/>
        <w:rPr>
          <w:rStyle w:val="848"/>
          <w:b/>
          <w:bCs/>
          <w:lang w:val="ru-RU"/>
          <w14:ligatures w14:val="none"/>
        </w:rPr>
      </w:pPr>
      <w:r>
        <w:rPr>
          <w:rStyle w:val="848"/>
          <w:b w:val="0"/>
          <w:bCs w:val="0"/>
          <w:lang w:val="ru-RU"/>
        </w:rPr>
        <w:t xml:space="preserve">Таблица 1</w:t>
      </w:r>
      <w:r>
        <w:rPr>
          <w:rStyle w:val="848"/>
          <w:b w:val="0"/>
          <w:bCs w:val="0"/>
          <w:lang w:val="ru-RU"/>
        </w:rPr>
        <w:t xml:space="preserve">.4 Конкуренты </w:t>
      </w:r>
      <w:r>
        <w:rPr>
          <w:rStyle w:val="848"/>
          <w:b w:val="0"/>
          <w:bCs w:val="0"/>
          <w:lang w:val="ru-RU"/>
        </w:rPr>
        <w:t xml:space="preserve">«СДГВМ</w:t>
      </w:r>
      <w:r>
        <w:rPr>
          <w:rStyle w:val="848"/>
          <w:b w:val="0"/>
          <w:bCs w:val="0"/>
          <w:lang w:val="ru-RU"/>
        </w:rPr>
        <w:t xml:space="preserve">»</w:t>
      </w:r>
      <w:r>
        <w:rPr>
          <w:rStyle w:val="848"/>
          <w:b/>
          <w:bCs/>
          <w:lang w:val="ru-RU"/>
          <w14:ligatures w14:val="none"/>
        </w:rPr>
      </w:r>
      <w:r>
        <w:rPr>
          <w:rStyle w:val="848"/>
          <w:b/>
          <w:bCs/>
          <w:lang w:val="ru-RU"/>
          <w14:ligatures w14:val="none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Название системы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Производитель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Стоимость годовой лицензии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LMS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т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и</w:t>
            </w:r>
            <w:r>
              <w:rPr>
                <w:rStyle w:val="848"/>
                <w:b w:val="0"/>
                <w:bCs w:val="0"/>
                <w:lang w:val="en-US"/>
              </w:rPr>
              <w:t xml:space="preserve">я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500-2000 </w:t>
            </w:r>
            <w:r>
              <w:rPr>
                <w:rStyle w:val="848"/>
                <w:b w:val="0"/>
                <w:bCs w:val="0"/>
                <w:lang w:val="en-US"/>
              </w:rPr>
              <w:t xml:space="preserve">д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1200-3000 долларов</w:t>
            </w:r>
            <w:r>
              <w:rPr>
                <w:rStyle w:val="848"/>
                <w:b/>
                <w:bCs/>
                <w:lang w:val="ru-RU"/>
              </w:rPr>
              <w:t xml:space="preserve"> 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AI Quests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Бесплатно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«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e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C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a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r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m</w:t>
            </w:r>
            <w:r>
              <w:rPr>
                <w:rStyle w:val="848"/>
                <w:b w:val="0"/>
                <w:bCs w:val="0"/>
                <w:lang w:val="ru-RU"/>
              </w:rPr>
              <w:t xml:space="preserve">»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for Schools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1000-5000 долларов для университетов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XM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rPr>
                <w:rStyle w:val="848"/>
                <w:b w:val="0"/>
                <w:bCs w:val="0"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5000-15000 долларов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</w:tbl>
    <w:p>
      <w:pPr>
        <w:pStyle w:val="852"/>
        <w:rPr>
          <w:rStyle w:val="848"/>
          <w:b w:val="0"/>
          <w:bCs w:val="0"/>
          <w14:ligatures w14:val="none"/>
        </w:rPr>
      </w:pP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 w:val="0"/>
          <w:bCs w:val="0"/>
          <w14:ligatures w14:val="none"/>
        </w:rPr>
      </w:r>
      <w:r>
        <w:rPr>
          <w:rStyle w:val="848"/>
          <w:b w:val="0"/>
          <w:bCs w:val="0"/>
          <w14:ligatures w14:val="none"/>
        </w:rPr>
      </w:r>
    </w:p>
    <w:p>
      <w:pPr>
        <w:pStyle w:val="668"/>
        <w:rPr>
          <w:rStyle w:val="848"/>
          <w:b/>
          <w:bCs/>
          <w:highlight w:val="none"/>
          <w:lang w:val="ru-RU"/>
        </w:rPr>
      </w:pPr>
      <w:r/>
      <w:bookmarkStart w:id="24" w:name="_Toc24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1.4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/>
      <w:bookmarkEnd w:id="24"/>
      <w:r/>
      <w:r>
        <w:rPr>
          <w:rStyle w:val="848"/>
          <w:b/>
          <w:bCs/>
          <w:highlight w:val="none"/>
          <w:lang w:val="ru-RU"/>
        </w:rPr>
      </w:r>
    </w:p>
    <w:p>
      <w:pPr>
        <w:pStyle w:val="853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highlight w:val="none"/>
          <w:lang w:val="ru-RU"/>
        </w:rPr>
        <w:tab/>
      </w:r>
      <w:r>
        <w:rPr>
          <w:rStyle w:val="848"/>
          <w:lang w:val="ru-RU"/>
        </w:rPr>
        <w:t xml:space="preserve">Финансирование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контроль качества и выполнения требований к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выполняет администрация МУИВ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администрация отвечет за реализацию вычислительных машин с восьмью гигабайтами оперативной памяти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запуска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 </w:t>
      </w:r>
      <w:r>
        <w:rPr>
          <w:rStyle w:val="848"/>
          <w:lang w:val="ru-RU"/>
        </w:rPr>
        <w:t xml:space="preserve">в 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П</w:t>
      </w:r>
      <w:r>
        <w:rPr>
          <w:rStyle w:val="848"/>
          <w:lang w:val="ru-RU"/>
        </w:rPr>
        <w:t xml:space="preserve">реподаватели будут стейкхолдерами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оценивающими связанность квестов и диалоговых деревьев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выставляющими требования к визуальному виду интерфейсу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Команда ВКР как стартап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выставляют условие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реализации автоматизации работы конструктора квестов при помощи нейросетей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реализуют мониторинг результатов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и документации</w:t>
      </w:r>
      <w:r>
        <w:rPr>
          <w:rStyle w:val="848"/>
          <w:lang w:val="ru-RU"/>
        </w:rPr>
        <w:t xml:space="preserve">. Эксперты по культуре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проверяют точность культруных аспектов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данные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дообучения на чистых данных по национальной культуре России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Студенты являются пользователями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генерируемых системой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обратную связь по исправленным преподавателями квестам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указывают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 недостатки созданных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необходимые элементы для улучшения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853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668"/>
        <w:rPr>
          <w:rStyle w:val="848"/>
          <w:lang w:val="ru-RU"/>
        </w:rPr>
      </w:pPr>
      <w:r/>
      <w:bookmarkStart w:id="25" w:name="_Toc25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1.5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Style w:val="848"/>
          <w:b/>
          <w:bCs/>
          <w:highlight w:val="none"/>
          <w:lang w:val="en-US"/>
        </w:rPr>
        <w:br/>
        <w:br/>
        <w:tab/>
      </w:r>
      <w:r/>
      <w:bookmarkEnd w:id="25"/>
      <w:r/>
      <w:r>
        <w:rPr>
          <w:rStyle w:val="848"/>
          <w:lang w:val="ru-RU"/>
        </w:rPr>
      </w:r>
    </w:p>
    <w:p>
      <w:pPr>
        <w:pStyle w:val="853"/>
        <w:rPr>
          <w:rStyle w:val="848"/>
          <w:lang w:val="ru-RU"/>
        </w:rPr>
      </w:pP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й,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ё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ю.</w:t>
      </w:r>
      <w:r>
        <w:rPr>
          <w:rStyle w:val="848"/>
          <w:b/>
          <w:bCs/>
          <w:highlight w:val="none"/>
          <w:lang w:val="en-US"/>
        </w:rPr>
        <w:t xml:space="preserve"> </w:t>
        <w:tab/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”,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.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э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по данным других университетов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«Канада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причины и недостатки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были учтены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разработке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была добавлена игрофикация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ситуации для увеличения интереса к особенностям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использовании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 есть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VPN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программное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: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Unity 6000.0.30f1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Python</w:t>
      </w:r>
      <w:r>
        <w:rPr>
          <w:rStyle w:val="848"/>
          <w:lang w:val="ru-RU"/>
        </w:rPr>
        <w:t xml:space="preserve">. Язык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# используется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 нейронными сетями</w:t>
      </w:r>
      <w:r>
        <w:rPr>
          <w:rStyle w:val="848"/>
          <w:lang w:val="ru-RU"/>
        </w:rPr>
        <w:t xml:space="preserve"> и реализации функционала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 использован для запуска локального сервера генерации визуалов реализованного с помощью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Среда разработки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 подходит под деятельность базовой кафедры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 и используется для обучения студентов на направлении геймдев</w:t>
      </w:r>
      <w:r>
        <w:rPr>
          <w:rStyle w:val="848"/>
          <w:lang w:val="ru-RU"/>
        </w:rPr>
        <w:t xml:space="preserve">, рационально будет использовать эту среду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 причине активного использования среды университетом на компьютерах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среда уже показала оптимизированную работу на установленных компьютерах в </w:t>
      </w:r>
      <w:r>
        <w:rPr>
          <w:rStyle w:val="848"/>
          <w:lang w:val="ru-RU"/>
        </w:rPr>
        <w:t xml:space="preserve">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  <w:br/>
        <w:tab/>
        <w:t xml:space="preserve">Для работы с нейронными сетями и межнейросетевым общением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использованы фреймворки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X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K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рабочее пространства для создания производственных цепочек</w:t>
      </w:r>
      <w:r>
        <w:rPr>
          <w:rStyle w:val="848"/>
          <w:lang w:val="ru-RU"/>
        </w:rPr>
        <w:t xml:space="preserve"> для генерации иконок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спрайтов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аватарок</w:t>
      </w:r>
      <w:r>
        <w:rPr>
          <w:rStyle w:val="848"/>
          <w:lang w:val="ru-RU"/>
        </w:rPr>
        <w:t xml:space="preserve">.</w:t>
        <w:br/>
        <w:tab/>
      </w:r>
      <w:r/>
      <w:r>
        <w:rPr>
          <w:rStyle w:val="848"/>
          <w:lang w:val="ru-RU"/>
        </w:rPr>
      </w:r>
      <w:r/>
    </w:p>
    <w:p>
      <w:pPr>
        <w:pStyle w:val="668"/>
        <w:rPr>
          <w:rStyle w:val="848"/>
          <w:lang w:val="ru-RU"/>
        </w:rPr>
      </w:pPr>
      <w:r/>
      <w:bookmarkStart w:id="26" w:name="_Toc26"/>
      <w:r/>
      <w:bookmarkStart w:id="13" w:name="_Toc13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6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Техническое задание на разработку 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«СДГВМ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bookmarkEnd w:id="26"/>
      <w:r/>
      <w:r>
        <w:rPr>
          <w:rStyle w:val="848"/>
          <w:lang w:val="ru-RU"/>
        </w:rPr>
      </w:r>
    </w:p>
    <w:p>
      <w:pPr>
        <w:pStyle w:val="852"/>
        <w:ind w:firstLine="708"/>
        <w:rPr>
          <w:rStyle w:val="848"/>
          <w:lang w:val="ru-RU"/>
        </w:rPr>
      </w:pP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3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Техническое задание на разрабатываемую систему динамической генерации виртуальных миров представлено в П</w:t>
      </w:r>
      <w:r>
        <w:rPr>
          <w:rStyle w:val="848"/>
          <w:lang w:val="ru-RU"/>
        </w:rPr>
        <w:t xml:space="preserve">риложении 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ind w:firstLine="708"/>
        <w:rPr>
          <w:rStyle w:val="848"/>
          <w:highlight w:val="none"/>
          <w:lang w:val="ru-RU"/>
        </w:rPr>
      </w:pP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668"/>
        <w:rPr>
          <w:rStyle w:val="848"/>
          <w:lang w:val="ru-RU"/>
        </w:rPr>
      </w:pPr>
      <w:r/>
      <w:bookmarkStart w:id="27" w:name="_Toc27"/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Style w:val="673"/>
          <w:rFonts w:ascii="Times New Roman" w:hAnsi="Times New Roman" w:eastAsia="Times New Roman" w:cs="Times New Roman"/>
          <w:sz w:val="28"/>
          <w:szCs w:val="28"/>
          <w:lang w:val="ru-RU"/>
        </w:rPr>
        <w:t xml:space="preserve"> Выводы по разделу</w:t>
      </w:r>
      <w:r/>
      <w:bookmarkEnd w:id="27"/>
      <w:r/>
      <w:r>
        <w:rPr>
          <w:rStyle w:val="848"/>
          <w:lang w:val="ru-RU"/>
        </w:rPr>
      </w:r>
    </w:p>
    <w:p>
      <w:pPr>
        <w:pStyle w:val="853"/>
        <w:rPr>
          <w:lang w:val="ru-RU"/>
        </w:rPr>
      </w:pPr>
      <w:r>
        <w:rPr>
          <w:rStyle w:val="848"/>
          <w:lang w:val="ru-RU"/>
        </w:rPr>
        <w:t xml:space="preserve">Создание актуальной идеи для монетизации невозможно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без изучения перспективных направлений на рынке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анализ рисков необходим на протяжении разработки проекта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монетезации важно получить авторское свидетельство на программу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создать сайт и заниматься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продвижение при помощи интеллектуальной платформы 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повышения эффективности разработки нужно использовать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назначая актуальные задачи при помощи временных карточек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проанализированы аналоги конструкторов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большинство аналогов имеют ограничения на использование в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возникают сложности с интеграцией настоящей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также были учтены проблемы из университетов </w:t>
      </w:r>
      <w:r>
        <w:rPr>
          <w:rStyle w:val="848"/>
          <w:lang w:val="ru-RU"/>
        </w:rPr>
        <w:t xml:space="preserve">«Канады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и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опыт других университетов использован при создании системы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увеличения интереса студентов к национальной культуре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стейкхолдеры сформировали требования к конечному виду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подчеркнув наиболее важные аспекты в функционале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На основе анализа формируется вывод о целесообразности разработки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br/>
        <w:tab/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br/>
      </w:r>
      <w:r>
        <w:rPr>
          <w:lang w:val="ru-RU"/>
        </w:rPr>
      </w:r>
      <w:r>
        <w:rPr>
          <w:lang w:val="ru-RU"/>
        </w:rPr>
      </w:r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19</cp:revision>
  <dcterms:modified xsi:type="dcterms:W3CDTF">2025-11-17T12:29:28Z</dcterms:modified>
</cp:coreProperties>
</file>