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D7FDB9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-718820</wp:posOffset>
            </wp:positionV>
            <wp:extent cx="7559675" cy="10690225"/>
            <wp:effectExtent l="0" t="0" r="14605" b="8255"/>
            <wp:wrapNone/>
            <wp:docPr id="1" name="Рисунок 1" descr="C:/Users/Machcreator/Pictures/Screenshots/Снимок экрана 2025-12-18 215445.pngСнимок экрана 2025-12-18 215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215445.pngСнимок экрана 2025-12-18 215445"/>
                    <pic:cNvPicPr>
                      <a:picLocks noChangeAspect="1"/>
                    </pic:cNvPicPr>
                  </pic:nvPicPr>
                  <pic:blipFill>
                    <a:blip r:embed="rId6"/>
                    <a:srcRect l="4458" r="4458"/>
                    <a:stretch>
                      <a:fillRect/>
                    </a:stretch>
                  </pic:blipFill>
                  <pic:spPr>
                    <a:xfrm>
                      <a:off x="0" y="0"/>
                      <a:ext cx="7559409" cy="1069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9FFC6"/>
    <w:p w14:paraId="317591A0"/>
    <w:p w14:paraId="65CF002E"/>
    <w:p w14:paraId="07CA9359"/>
    <w:p w14:paraId="3B73858B"/>
    <w:p w14:paraId="7D0548B0"/>
    <w:p w14:paraId="50F4AC1C"/>
    <w:p w14:paraId="7C8B16EC"/>
    <w:p w14:paraId="432B0C37"/>
    <w:p w14:paraId="43689C6D"/>
    <w:p w14:paraId="148D3774"/>
    <w:p w14:paraId="07AB7F9F"/>
    <w:p w14:paraId="52460ECD"/>
    <w:p w14:paraId="487E3D46"/>
    <w:p w14:paraId="41A8D284"/>
    <w:p w14:paraId="3520442B"/>
    <w:p w14:paraId="1C4D4909"/>
    <w:p w14:paraId="7551CB6C"/>
    <w:p w14:paraId="02638D3E"/>
    <w:p w14:paraId="4A65B14D"/>
    <w:p w14:paraId="338A5555"/>
    <w:p w14:paraId="4063435B"/>
    <w:p w14:paraId="0A802F7C"/>
    <w:p w14:paraId="75E78288"/>
    <w:p w14:paraId="37298703"/>
    <w:p w14:paraId="59110C33"/>
    <w:p w14:paraId="02C84980"/>
    <w:p w14:paraId="7C331C31"/>
    <w:p w14:paraId="1FF85F09"/>
    <w:p w14:paraId="3FE283EB"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Оглавление</w:t>
      </w:r>
    </w:p>
    <w:sdt>
      <w:sdtPr>
        <w:id w:val="147462561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79ADA389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TOC \o "1-9" \h 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ВВЕДЕНИЕ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8F788BE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1. АНАЛИЗ ПРЕДМЕТНОЙ ОБЛАСТИ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261F28C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1.1. Датасет 1600000 твитов Sentiment140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4D3A9CC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1.2. Очищение 1600000 твитов от мусора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11608D6D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1.3. Ансамблевые методы Voiting и Stacking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_Toc5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7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3AEEA90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2. ОБУЧЕНИЕ АНСАМБЛЕВЫХ МОДЕЛЕЙ ДЛЯ ОЦЕНКИ ЭМОЦИОНАЛЬНОЙ ТОНАЛЬНОСТИ ТВИТОВ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_Toc6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3AA7A4DB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2.1. Выбор стартовых гиперпараметров, создание выбранных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_Toc7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BCA3436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14:ligatures w14:val="none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2.2. Реализация стратифицированного разбиения, для подготовки тестовой и обучающей выборок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_Toc8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61022A9A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2.3. Обучение моделей TF-IDF с добавленными фича-инжиниринг признаками, сравнение результатов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_Toc9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11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F0ABEB5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3. ПРОВЕДЕНИЕ ТЕСТИРОВАНИЯ СЕМИ ОБУЧЕННЫХ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_Toc10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579809F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 xml:space="preserve">3.1. 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Проведение тестирования обученных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7D236F1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3.2. Оптимизация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897BDD2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ЗАКЛЮЧЕНИЕ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16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692AA94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 w:eastAsia="ru-RU"/>
            </w:rPr>
            <w:t xml:space="preserve">СПИСОК ЛИТЕРАТУРЫ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2DCF54B2">
          <w:pPr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6FF99334">
      <w:pPr>
        <w:jc w:val="center"/>
      </w:pPr>
    </w:p>
    <w:p w14:paraId="5DB6B86F">
      <w:pPr>
        <w:jc w:val="center"/>
      </w:pPr>
    </w:p>
    <w:p w14:paraId="2FFD7429">
      <w:pPr>
        <w:jc w:val="center"/>
      </w:pPr>
    </w:p>
    <w:p w14:paraId="4042D901">
      <w:pPr>
        <w:jc w:val="center"/>
      </w:pPr>
    </w:p>
    <w:p w14:paraId="5E66FDA0">
      <w:pPr>
        <w:jc w:val="center"/>
      </w:pPr>
    </w:p>
    <w:p w14:paraId="6A6EA76E">
      <w:pPr>
        <w:jc w:val="center"/>
      </w:pPr>
    </w:p>
    <w:p w14:paraId="68E0C2A9">
      <w:pPr>
        <w:jc w:val="center"/>
      </w:pPr>
    </w:p>
    <w:p w14:paraId="05B96BD1">
      <w:pPr>
        <w:jc w:val="center"/>
      </w:pPr>
    </w:p>
    <w:p w14:paraId="702A8717">
      <w:pPr>
        <w:jc w:val="center"/>
      </w:pPr>
    </w:p>
    <w:p w14:paraId="75E5079B">
      <w:pPr>
        <w:jc w:val="center"/>
      </w:pPr>
    </w:p>
    <w:p w14:paraId="1EFA4BD7">
      <w:pPr>
        <w:jc w:val="center"/>
      </w:pPr>
    </w:p>
    <w:p w14:paraId="21C61E34">
      <w:pPr>
        <w:jc w:val="center"/>
      </w:pPr>
    </w:p>
    <w:p w14:paraId="1E967A51">
      <w:pPr>
        <w:jc w:val="left"/>
      </w:pPr>
    </w:p>
    <w:p w14:paraId="12C6657E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0" w:name="_Toc1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ВВЕДЕНИЕ</w:t>
      </w:r>
      <w:bookmarkEnd w:id="0"/>
    </w:p>
    <w:p w14:paraId="7536653F">
      <w:pPr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применение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ансамблевых методов машинного обучения для автоматизации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оценивания кредитоспособности и прогнозирование вероятностей кредитного дефолта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25116CA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выражена в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огромных объёмах данных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невозможного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ручной обработки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использование ансамблевых методов машинного обучения оптимизирует процесс обработки увеличив качество анализа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 сравнению с классическими или традиционными методами обработки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368E0FA7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Рассматриваемая основная прикладная задача, решаемая в рамках выбранной предметной области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кредитного скоринга - разделение заёмщиков на два класса рискованных и надежных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основе полученных входных данных характеристик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истории заёмщиков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поведения при займах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</w:p>
    <w:p w14:paraId="55FD9D16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Целями работы утвердил задачи, по порядку:  построение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с использованием ансамблиевых методов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оптимизированного решения задач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основе анализа данных о заёмщике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Задачами курсовой работы являются: </w:t>
      </w:r>
    </w:p>
    <w:p w14:paraId="4FE5692A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Анализирование типов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бинарных классификаций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2144A81F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Выбор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датасета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подходящего под критерии задачи кредитного скоринга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0017142F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Поиск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подходящих методов ансамблевого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оптимизации бинарной классификации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1A8CF77B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Создание архитектуры модели способной решать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648537F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Формирование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эффективности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7B6FA95B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Проверка заявленной эффективности полученных в ходе обучения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09F53413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Оптимизация и поиск важных гиперпараметров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качества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Инициализирован Git Hub, дл</w:t>
      </w:r>
      <w:bookmarkStart w:id="14" w:name="_GoBack"/>
      <w:bookmarkEnd w:id="14"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я управления версиями проекта и сохранением прогресса по курсовой работе, ссылка на репу: https://github.com/Slavik993/KR_MO_Shebanov.git</w:t>
      </w:r>
    </w:p>
    <w:p w14:paraId="7C0B00D6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1" w:name="_Toc2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1. АНАЛИЗ ПРЕДМЕТНОЙ ОБЛАСТИ</w:t>
      </w:r>
      <w:bookmarkEnd w:id="1"/>
    </w:p>
    <w:p w14:paraId="733923F0">
      <w:pPr>
        <w:pStyle w:val="3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pPr>
      <w:bookmarkStart w:id="2" w:name="_Toc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1.1. Датасет 1600000 твитов Sentiment140</w:t>
      </w:r>
      <w:bookmarkEnd w:id="2"/>
    </w:p>
    <w:p w14:paraId="562F4789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Большой и сложный датасет состоящий из твитов содержащих много мусора: URL, слэнги, хэштеги, смайлики, эмодзи, датасет собран при помощи Twitter API «X»,  наиболее подходит для обучения и оптимизации моделей нейронных сетей при помощи ансамблевых методов, для интеграции в адаптивную систему мониторинга реагирующую на изменение эмоциональной тональности обсуждений в социальных сетях.</w:t>
      </w:r>
    </w:p>
    <w:p w14:paraId="55D55A73">
      <w:pPr>
        <w:ind w:firstLine="708"/>
        <w:jc w:val="righ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Таблица 1. Описание содержания «Sentiment140» миллион шестьсот тысяч твитов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359EB1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vMerge w:val="restart"/>
            <w:noWrap w:val="0"/>
          </w:tcPr>
          <w:p w14:paraId="5F1D8D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Наименование колонок</w:t>
            </w:r>
          </w:p>
        </w:tc>
        <w:tc>
          <w:tcPr>
            <w:tcW w:w="3118" w:type="dxa"/>
            <w:vMerge w:val="restart"/>
            <w:noWrap w:val="0"/>
          </w:tcPr>
          <w:p w14:paraId="1B1EB3B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Тип данных</w:t>
            </w:r>
          </w:p>
        </w:tc>
        <w:tc>
          <w:tcPr>
            <w:tcW w:w="3118" w:type="dxa"/>
            <w:vMerge w:val="restart"/>
            <w:noWrap w:val="0"/>
          </w:tcPr>
          <w:p w14:paraId="790783A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Описание</w:t>
            </w:r>
          </w:p>
        </w:tc>
      </w:tr>
      <w:tr w14:paraId="7CDB6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05284E1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Полярность «Polarity»</w:t>
            </w:r>
          </w:p>
        </w:tc>
        <w:tc>
          <w:tcPr>
            <w:tcW w:w="3118" w:type="dxa"/>
            <w:noWrap w:val="0"/>
          </w:tcPr>
          <w:p w14:paraId="7209536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8" w:type="dxa"/>
            <w:noWrap w:val="0"/>
          </w:tcPr>
          <w:p w14:paraId="4920E54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Эмоциональная окраска от 0 до 4</w:t>
            </w:r>
          </w:p>
        </w:tc>
      </w:tr>
      <w:tr w14:paraId="028D9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27E53CC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Идентификатор «Id»</w:t>
            </w:r>
          </w:p>
        </w:tc>
        <w:tc>
          <w:tcPr>
            <w:tcW w:w="3118" w:type="dxa"/>
            <w:noWrap w:val="0"/>
          </w:tcPr>
          <w:p w14:paraId="590D1D4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8" w:type="dxa"/>
            <w:noWrap w:val="0"/>
          </w:tcPr>
          <w:p w14:paraId="67C1543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 xml:space="preserve">Уникальный идентификатор твита </w:t>
            </w:r>
          </w:p>
        </w:tc>
      </w:tr>
      <w:tr w14:paraId="04B34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57E885E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Дата «Date»</w:t>
            </w:r>
          </w:p>
        </w:tc>
        <w:tc>
          <w:tcPr>
            <w:tcW w:w="3118" w:type="dxa"/>
            <w:noWrap w:val="0"/>
          </w:tcPr>
          <w:p w14:paraId="59FEE31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36E2C18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Дата публикации</w:t>
            </w:r>
          </w:p>
        </w:tc>
      </w:tr>
      <w:tr w14:paraId="2E28F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02BFE65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Запрос «Query»</w:t>
            </w:r>
          </w:p>
        </w:tc>
        <w:tc>
          <w:tcPr>
            <w:tcW w:w="3118" w:type="dxa"/>
            <w:noWrap w:val="0"/>
          </w:tcPr>
          <w:p w14:paraId="72617E7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7FA80B3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По запросу в колонке, шел сбор данных</w:t>
            </w:r>
          </w:p>
        </w:tc>
      </w:tr>
      <w:tr w14:paraId="5E2B2C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4976E1D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Пользователь «User»</w:t>
            </w:r>
          </w:p>
        </w:tc>
        <w:tc>
          <w:tcPr>
            <w:tcW w:w="3118" w:type="dxa"/>
            <w:noWrap w:val="0"/>
          </w:tcPr>
          <w:p w14:paraId="2B041F2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4A12420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Наименование пользователя</w:t>
            </w:r>
          </w:p>
        </w:tc>
      </w:tr>
      <w:tr w14:paraId="262B72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noWrap w:val="0"/>
          </w:tcPr>
          <w:p w14:paraId="32689CC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Текст «Text»</w:t>
            </w:r>
          </w:p>
        </w:tc>
        <w:tc>
          <w:tcPr>
            <w:tcW w:w="3118" w:type="dxa"/>
            <w:noWrap w:val="0"/>
          </w:tcPr>
          <w:p w14:paraId="7B7445C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8" w:type="dxa"/>
            <w:noWrap w:val="0"/>
          </w:tcPr>
          <w:p w14:paraId="00EEFA7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lang w:val="ru-RU"/>
              </w:rPr>
              <w:t>Содержание твита поста, в текстовом формате</w:t>
            </w:r>
          </w:p>
        </w:tc>
      </w:tr>
    </w:tbl>
    <w:p w14:paraId="08A4F012">
      <w:pPr>
        <w:ind w:firstLine="708"/>
        <w:jc w:val="right"/>
        <w:rPr>
          <w:lang w:val="ru-RU"/>
        </w:rPr>
      </w:pPr>
    </w:p>
    <w:p w14:paraId="2E5E1937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Визуализация первых пяти строк загруженного датасета training.1600000.processed.noemoticon «sentiment140» визуализация первых пяти строк на рисунке 1:</w:t>
      </w:r>
    </w:p>
    <w:p w14:paraId="253EC0BA">
      <w:pPr>
        <w:ind w:firstLine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drawing>
          <wp:inline distT="0" distB="0" distL="0" distR="0">
            <wp:extent cx="5095875" cy="2028825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5874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7770">
      <w:pPr>
        <w:ind w:firstLine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1. Пять первых строк датасета.</w:t>
      </w:r>
    </w:p>
    <w:p w14:paraId="7F5D0127">
      <w:pPr>
        <w:pStyle w:val="3"/>
        <w:rPr>
          <w:highlight w:val="none"/>
          <w:lang w:val="ru-RU"/>
        </w:rPr>
      </w:pPr>
      <w:bookmarkStart w:id="3" w:name="_Toc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1.2. Очищение 1600000 твитов от мусора</w:t>
      </w:r>
      <w:bookmarkEnd w:id="3"/>
    </w:p>
    <w:p w14:paraId="348B202E">
      <w:pPr>
        <w:tabs>
          <w:tab w:val="left" w:pos="1226"/>
        </w:tabs>
        <w:rPr>
          <w:rFonts w:ascii="Times New Roman" w:hAnsi="Times New Roman" w:cs="Times New Roman"/>
          <w:sz w:val="28"/>
          <w:szCs w:val="28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В датасете присутствует мусор, около шестидесяти процентов твитов содержат URL ссылки, опечатки, эмодзи и хэштеги, нейтральный класс полностью удален,  проведено разбиение по классам отрицательной и положительной эмоциональной тональности, для повышения точности оценки тональности твитов, после предобработки датасет содержит target - text.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14:paraId="7E3CB109">
      <w:pPr>
        <w:jc w:val="center"/>
        <w:rPr>
          <w:highlight w:val="none"/>
          <w:lang w:val="ru-RU"/>
        </w:rPr>
      </w:pPr>
      <w:r>
        <w:drawing>
          <wp:inline distT="0" distB="0" distL="0" distR="0">
            <wp:extent cx="5940425" cy="350012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50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FAFE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2. Распределение классов после очистки данных.</w:t>
      </w:r>
    </w:p>
    <w:p w14:paraId="2C2C58F7">
      <w:pPr>
        <w:ind w:firstLine="708"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Во время предобработки созданы дополнительные признаки, отражающие эмоциональную окраску тональности сообщений: text_len - длина очищенного текста,  exclamation - подсчет восклицательных знаков «!», question - количество вопросительных знаков «?», word_count - количество слов, punctuation_ratio – знаки препинания «,.;:-», has_hashtag – наличие хештега, has_url – наличие ссылок, emoji_count – число смайлов или эмодзи.</w:t>
      </w:r>
    </w:p>
    <w:p w14:paraId="3F1CFB41">
      <w:pPr>
        <w:jc w:val="righ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Таблица 2. Признаки фича-инжиниринга.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31546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4677" w:type="dxa"/>
            <w:vMerge w:val="restart"/>
            <w:noWrap w:val="0"/>
          </w:tcPr>
          <w:p w14:paraId="751A6A2B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Признак</w:t>
            </w:r>
          </w:p>
        </w:tc>
        <w:tc>
          <w:tcPr>
            <w:tcW w:w="4677" w:type="dxa"/>
            <w:vMerge w:val="restart"/>
            <w:noWrap w:val="0"/>
          </w:tcPr>
          <w:p w14:paraId="185EE66D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Описание</w:t>
            </w:r>
          </w:p>
        </w:tc>
      </w:tr>
      <w:tr w14:paraId="06F570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63F816F8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Text_len</w:t>
            </w:r>
          </w:p>
        </w:tc>
        <w:tc>
          <w:tcPr>
            <w:tcW w:w="4677" w:type="dxa"/>
            <w:noWrap w:val="0"/>
          </w:tcPr>
          <w:p w14:paraId="2B656607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Длина очищенного текста</w:t>
            </w:r>
          </w:p>
        </w:tc>
      </w:tr>
      <w:tr w14:paraId="091E7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76ACDF6F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Word_count</w:t>
            </w:r>
          </w:p>
        </w:tc>
        <w:tc>
          <w:tcPr>
            <w:tcW w:w="4677" w:type="dxa"/>
            <w:noWrap w:val="0"/>
          </w:tcPr>
          <w:p w14:paraId="0F84A6C6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Количество слов</w:t>
            </w:r>
          </w:p>
        </w:tc>
      </w:tr>
      <w:tr w14:paraId="65CA7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32BE0150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Exclamation</w:t>
            </w:r>
          </w:p>
        </w:tc>
        <w:tc>
          <w:tcPr>
            <w:tcW w:w="4677" w:type="dxa"/>
            <w:noWrap w:val="0"/>
          </w:tcPr>
          <w:p w14:paraId="15C79024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Количество восклицательных знаков</w:t>
            </w:r>
          </w:p>
        </w:tc>
      </w:tr>
      <w:tr w14:paraId="56CC46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46B3C90D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Question</w:t>
            </w:r>
          </w:p>
        </w:tc>
        <w:tc>
          <w:tcPr>
            <w:tcW w:w="4677" w:type="dxa"/>
            <w:noWrap w:val="0"/>
          </w:tcPr>
          <w:p w14:paraId="5360EB52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Количество вопросительных знаков</w:t>
            </w:r>
          </w:p>
        </w:tc>
      </w:tr>
      <w:tr w14:paraId="07C3F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122142ED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Caps_ratio</w:t>
            </w:r>
          </w:p>
        </w:tc>
        <w:tc>
          <w:tcPr>
            <w:tcW w:w="4677" w:type="dxa"/>
            <w:noWrap w:val="0"/>
          </w:tcPr>
          <w:p w14:paraId="5CCD293F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Доля заглавных букв</w:t>
            </w:r>
          </w:p>
        </w:tc>
      </w:tr>
      <w:tr w14:paraId="525144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4967D7B0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Has_hashtag</w:t>
            </w:r>
          </w:p>
        </w:tc>
        <w:tc>
          <w:tcPr>
            <w:tcW w:w="4677" w:type="dxa"/>
            <w:noWrap w:val="0"/>
          </w:tcPr>
          <w:p w14:paraId="3282EBAE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Наличие хештега</w:t>
            </w:r>
          </w:p>
        </w:tc>
      </w:tr>
      <w:tr w14:paraId="21D924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21C67873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Has_url</w:t>
            </w:r>
          </w:p>
        </w:tc>
        <w:tc>
          <w:tcPr>
            <w:tcW w:w="4677" w:type="dxa"/>
            <w:noWrap w:val="0"/>
          </w:tcPr>
          <w:p w14:paraId="753139D3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Наличие ссылка </w:t>
            </w:r>
          </w:p>
        </w:tc>
      </w:tr>
      <w:tr w14:paraId="128C07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055E5330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Punctuation_ratio</w:t>
            </w:r>
          </w:p>
        </w:tc>
        <w:tc>
          <w:tcPr>
            <w:tcW w:w="4677" w:type="dxa"/>
            <w:noWrap w:val="0"/>
          </w:tcPr>
          <w:p w14:paraId="054AF8B5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Доля знаков препинания</w:t>
            </w:r>
          </w:p>
        </w:tc>
      </w:tr>
      <w:tr w14:paraId="7945FE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  <w:noWrap w:val="0"/>
          </w:tcPr>
          <w:p w14:paraId="6082C3F9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Emoji_count</w:t>
            </w:r>
          </w:p>
        </w:tc>
        <w:tc>
          <w:tcPr>
            <w:tcW w:w="4677" w:type="dxa"/>
            <w:noWrap w:val="0"/>
          </w:tcPr>
          <w:p w14:paraId="32C01EFC">
            <w:pPr>
              <w:spacing w:after="0" w:line="240" w:lineRule="auto"/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Количество эмодзи </w:t>
            </w:r>
          </w:p>
        </w:tc>
      </w:tr>
    </w:tbl>
    <w:p w14:paraId="25ED6833">
      <w:pPr>
        <w:jc w:val="right"/>
        <w:rPr>
          <w:highlight w:val="none"/>
          <w:lang w:val="ru-RU"/>
        </w:rPr>
      </w:pPr>
    </w:p>
    <w:p w14:paraId="50DFCDB2">
      <w:pPr>
        <w:ind w:firstLine="708"/>
        <w:jc w:val="left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Были выявлены закономерности, положительные твиты длинее, имеют большое число заглавных букв, много эмодзи, а у отрицательных твитов больше знаков препинания и восклицательных знаков.</w:t>
      </w:r>
    </w:p>
    <w:p w14:paraId="71A8017A">
      <w:pPr>
        <w:jc w:val="center"/>
        <w:rPr>
          <w:highlight w:val="none"/>
          <w:lang w:val="ru-RU"/>
        </w:rPr>
      </w:pPr>
      <w:r>
        <w:drawing>
          <wp:inline distT="0" distB="0" distL="0" distR="0">
            <wp:extent cx="5940425" cy="3668395"/>
            <wp:effectExtent l="0" t="0" r="0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66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7D80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3. Распределение engineered-признаков по тональности.</w:t>
      </w:r>
    </w:p>
    <w:p w14:paraId="66653B14">
      <w:pPr>
        <w:pStyle w:val="3"/>
        <w:rPr>
          <w:lang w:val="ru-RU"/>
        </w:rPr>
      </w:pPr>
      <w:bookmarkStart w:id="4" w:name="_Toc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1.3. Ансамблевые методы Voiting и Stacking</w:t>
      </w:r>
      <w:bookmarkEnd w:id="4"/>
    </w:p>
    <w:p w14:paraId="4DFB5516">
      <w:pPr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Проведено исследования базы доступных ансамблевых методов, для оптимизации обучения модели, выбор пал на Stacking и Voiting – наиболее адаптированные под бинарную классификацию анализа тональности текстов.</w:t>
      </w:r>
    </w:p>
    <w:p w14:paraId="40019922">
      <w:pP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Voiting создаёт голосование между разными моделями, режим Hard позволяет определять по большинству голосов, Soft режим усредняет вероятности принадлежности классам, использован именно Soft с использованием LightGBM и XGBoost – градиентный бустинг. </w:t>
      </w:r>
    </w:p>
    <w:p w14:paraId="5A2ECF4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Stacking использует объединенную модель, обучающуюся на предсказаниях обычных моделей: сначала обучаются обычные модели с LightGBM и XGBoost при помощи кросс-валидации, потом логистическая регрессия получает вероятности классов от бустинга LightGBM вместе с XGBoost, следовательно логистическая регрессия имеет наилучший результат предсказания.</w:t>
      </w:r>
    </w:p>
    <w:p w14:paraId="40A3B6F1">
      <w:pPr>
        <w:jc w:val="center"/>
        <w:rPr>
          <w:lang w:val="ru-RU"/>
        </w:rPr>
      </w:pPr>
      <w:r>
        <w:drawing>
          <wp:inline distT="0" distB="0" distL="0" distR="0">
            <wp:extent cx="4772025" cy="2733675"/>
            <wp:effectExtent l="0" t="0" r="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73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4B61">
      <w:pPr>
        <w:jc w:val="center"/>
        <w:rPr>
          <w:lang w:val="ru-RU"/>
        </w:rPr>
      </w:pPr>
    </w:p>
    <w:p w14:paraId="355904C7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4. Сравнение F1-score всех моделей.</w:t>
      </w:r>
    </w:p>
    <w:p w14:paraId="5522B9E1">
      <w:pPr>
        <w:pStyle w:val="2"/>
      </w:pPr>
      <w:bookmarkStart w:id="5" w:name="_Toc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2. ОБУЧЕНИЕ АНСАМБЛЕВЫХ МОДЕЛЕЙ ДЛЯ ОЦЕНКИ ЭМОЦИОНАЛЬНОЙ ТОНАЛЬНОСТИ ТВИТОВ</w:t>
      </w:r>
      <w:bookmarkEnd w:id="5"/>
    </w:p>
    <w:p w14:paraId="2B9E228E">
      <w:pPr>
        <w:pStyle w:val="3"/>
        <w:rPr>
          <w:rFonts w:ascii="Times New Roman;Times New Roman" w:hAnsi="Times New Roman;Times New Roman" w:cs="Times New Roman;Times New Roman"/>
          <w:b/>
          <w:sz w:val="28"/>
        </w:rPr>
      </w:pPr>
      <w:bookmarkStart w:id="6" w:name="_Toc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2.1. Выбор стартовых гиперпараметров, создание выбранных моделей</w:t>
      </w:r>
      <w:bookmarkEnd w:id="6"/>
    </w:p>
    <w:p w14:paraId="040C204A">
      <w:pPr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 </w:t>
      </w:r>
      <w:r>
        <w:rPr>
          <w:rFonts w:ascii="Times New Roman;Times New Roman" w:hAnsi="Times New Roman;Times New Roman" w:cs="Times New Roman;Times New Roman"/>
          <w:sz w:val="28"/>
        </w:rPr>
        <w:tab/>
      </w:r>
      <w:r>
        <w:rPr>
          <w:rFonts w:ascii="Times New Roman;Times New Roman" w:hAnsi="Times New Roman;Times New Roman" w:cs="Times New Roman;Times New Roman"/>
          <w:sz w:val="28"/>
        </w:rPr>
        <w:t>Использованы модели: логистическая регрессия – подходящая под TF-IDF линейная модель, случайный лес – устойчивый к переобучению и шуму ансамбль, мультиноминальный наивный байесовский классификатор – подходит под классификацию текстов, Extreme Gradient Boosting – на Kaggle отмечен эффективным бустингом на деревьях,  Линейный метод опорных векторов – линейная классификация, Light Gradient Boosting Machine – градиентный бустинг, Voiting Classifier – усредняет предсказания LigthGBM и XGBoost, Stacking Classifier – обучает логистическую регрессию на основе предсказаний XGBoost и LightGBM.</w:t>
      </w:r>
    </w:p>
    <w:p w14:paraId="06E90950">
      <w:r>
        <w:rPr>
          <w:rFonts w:ascii="Times New Roman;Times New Roman" w:hAnsi="Times New Roman;Times New Roman" w:cs="Times New Roman;Times New Roman"/>
          <w:sz w:val="28"/>
          <w:highlight w:val="none"/>
        </w:rPr>
        <w:tab/>
      </w:r>
      <w:r>
        <w:rPr>
          <w:rFonts w:ascii="Times New Roman;Times New Roman" w:hAnsi="Times New Roman;Times New Roman" w:cs="Times New Roman;Times New Roman"/>
          <w:sz w:val="28"/>
          <w:highlight w:val="none"/>
        </w:rPr>
        <w:t>В работе спроектирован ансамбль из восьми моделей, Stacking Classifier используя две модели: LightGBM и XGBoost обучил логистическую регрессию, показавшую лучший результат.</w:t>
      </w:r>
    </w:p>
    <w:p w14:paraId="310A0BA3">
      <w:pPr>
        <w:ind w:firstLine="708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Параметры выбирались с учетом аналитики выводов из публикаций Kaggle, рассмотрены варианты увеличивающие производительность и скорость обучения, гиперпараметры, для обучения подбирались  с учетом увеличения скорости обучения, при текущей конфигурации системы шестнадцать гигабайт видеопамяти, без видеокарты. </w:t>
      </w:r>
    </w:p>
    <w:p w14:paraId="226C88DC">
      <w:pPr>
        <w:ind w:firstLine="708"/>
        <w:jc w:val="right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>Таблица 3. Гиперпараметры моделей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384"/>
        <w:gridCol w:w="1435"/>
        <w:gridCol w:w="2836"/>
      </w:tblGrid>
      <w:tr w14:paraId="15E12E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noWrap w:val="0"/>
          </w:tcPr>
          <w:p w14:paraId="54D94A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№ Модель</w:t>
            </w:r>
          </w:p>
        </w:tc>
        <w:tc>
          <w:tcPr>
            <w:tcW w:w="3384" w:type="dxa"/>
            <w:noWrap w:val="0"/>
          </w:tcPr>
          <w:p w14:paraId="3164EF4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Гиперпараметр</w:t>
            </w:r>
          </w:p>
        </w:tc>
        <w:tc>
          <w:tcPr>
            <w:tcW w:w="1435" w:type="dxa"/>
            <w:noWrap w:val="0"/>
          </w:tcPr>
          <w:p w14:paraId="464712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Значение</w:t>
            </w:r>
          </w:p>
        </w:tc>
        <w:tc>
          <w:tcPr>
            <w:tcW w:w="2836" w:type="dxa"/>
            <w:noWrap w:val="0"/>
          </w:tcPr>
          <w:p w14:paraId="5EF3B0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Обоснование выбора</w:t>
            </w:r>
          </w:p>
        </w:tc>
      </w:tr>
      <w:tr w14:paraId="5A68E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29B166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LogisticRegression</w:t>
            </w:r>
          </w:p>
          <w:p w14:paraId="3B8ECB4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75CD32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0C7D5AC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Max_iter</w:t>
            </w:r>
          </w:p>
        </w:tc>
        <w:tc>
          <w:tcPr>
            <w:tcW w:w="1435" w:type="dxa"/>
            <w:noWrap w:val="0"/>
          </w:tcPr>
          <w:p w14:paraId="33EE8A6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1000</w:t>
            </w:r>
          </w:p>
        </w:tc>
        <w:tc>
          <w:tcPr>
            <w:tcW w:w="2836" w:type="dxa"/>
            <w:noWrap w:val="0"/>
          </w:tcPr>
          <w:p w14:paraId="55C181B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Гарантирует сходимость на 25 000+ признаках</w:t>
            </w:r>
          </w:p>
        </w:tc>
      </w:tr>
      <w:tr w14:paraId="62D15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20D21B3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4A8D7D0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solver</w:t>
            </w:r>
          </w:p>
        </w:tc>
        <w:tc>
          <w:tcPr>
            <w:tcW w:w="1435" w:type="dxa"/>
            <w:noWrap w:val="0"/>
          </w:tcPr>
          <w:p w14:paraId="7AB16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‘saga’</w:t>
            </w:r>
          </w:p>
        </w:tc>
        <w:tc>
          <w:tcPr>
            <w:tcW w:w="2836" w:type="dxa"/>
            <w:noWrap w:val="0"/>
          </w:tcPr>
          <w:p w14:paraId="135B67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Поддерживает L1/L2 и работает быстрее на разряженных данных</w:t>
            </w:r>
          </w:p>
        </w:tc>
      </w:tr>
      <w:tr w14:paraId="1AE82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629AEC1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62EED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n_jobs</w:t>
            </w:r>
          </w:p>
        </w:tc>
        <w:tc>
          <w:tcPr>
            <w:tcW w:w="1435" w:type="dxa"/>
            <w:noWrap w:val="0"/>
          </w:tcPr>
          <w:p w14:paraId="6E8551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</w:t>
            </w:r>
          </w:p>
        </w:tc>
        <w:tc>
          <w:tcPr>
            <w:tcW w:w="2836" w:type="dxa"/>
            <w:noWrap w:val="0"/>
          </w:tcPr>
          <w:p w14:paraId="5BDFBC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Стабильность при последовательном обучении</w:t>
            </w:r>
          </w:p>
        </w:tc>
      </w:tr>
      <w:tr w14:paraId="47552C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noWrap w:val="0"/>
          </w:tcPr>
          <w:p w14:paraId="2237BE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MultinominalNB</w:t>
            </w:r>
          </w:p>
        </w:tc>
        <w:tc>
          <w:tcPr>
            <w:tcW w:w="3384" w:type="dxa"/>
            <w:noWrap w:val="0"/>
          </w:tcPr>
          <w:p w14:paraId="278BFF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alpha</w:t>
            </w:r>
          </w:p>
        </w:tc>
        <w:tc>
          <w:tcPr>
            <w:tcW w:w="1435" w:type="dxa"/>
            <w:noWrap w:val="0"/>
          </w:tcPr>
          <w:p w14:paraId="188C3CF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1.0</w:t>
            </w:r>
          </w:p>
        </w:tc>
        <w:tc>
          <w:tcPr>
            <w:tcW w:w="2836" w:type="dxa"/>
            <w:noWrap w:val="0"/>
          </w:tcPr>
          <w:p w14:paraId="7B48ED8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 для TF-IDF векторов</w:t>
            </w:r>
          </w:p>
        </w:tc>
      </w:tr>
      <w:tr w14:paraId="5C6F80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6C6A789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LinearSVC</w:t>
            </w:r>
          </w:p>
          <w:p w14:paraId="520DF1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76A837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</w:t>
            </w:r>
          </w:p>
        </w:tc>
        <w:tc>
          <w:tcPr>
            <w:tcW w:w="1435" w:type="dxa"/>
            <w:noWrap w:val="0"/>
          </w:tcPr>
          <w:p w14:paraId="44EB72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1.0</w:t>
            </w:r>
          </w:p>
        </w:tc>
        <w:tc>
          <w:tcPr>
            <w:tcW w:w="2836" w:type="dxa"/>
            <w:noWrap w:val="0"/>
          </w:tcPr>
          <w:p w14:paraId="3997AF8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Хорошая обобщающая способность</w:t>
            </w:r>
          </w:p>
        </w:tc>
      </w:tr>
      <w:tr w14:paraId="3B2FD5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85E71A5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7D0245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max_iter</w:t>
            </w:r>
          </w:p>
        </w:tc>
        <w:tc>
          <w:tcPr>
            <w:tcW w:w="1435" w:type="dxa"/>
            <w:noWrap w:val="0"/>
          </w:tcPr>
          <w:p w14:paraId="7F739F7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2000</w:t>
            </w:r>
          </w:p>
        </w:tc>
        <w:tc>
          <w:tcPr>
            <w:tcW w:w="2836" w:type="dxa"/>
            <w:noWrap w:val="0"/>
          </w:tcPr>
          <w:p w14:paraId="1F3258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Достаточно для сходимости</w:t>
            </w:r>
          </w:p>
        </w:tc>
      </w:tr>
      <w:tr w14:paraId="747E6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23AF38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RandomForestClassifier</w:t>
            </w:r>
          </w:p>
          <w:p w14:paraId="281440F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76E54B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353047C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noWrap w:val="0"/>
          </w:tcPr>
          <w:p w14:paraId="792460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200</w:t>
            </w:r>
          </w:p>
        </w:tc>
        <w:tc>
          <w:tcPr>
            <w:tcW w:w="2836" w:type="dxa"/>
            <w:noWrap w:val="0"/>
          </w:tcPr>
          <w:p w14:paraId="5884C2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Компромисс скорость/качество</w:t>
            </w:r>
          </w:p>
        </w:tc>
      </w:tr>
      <w:tr w14:paraId="4B450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1138163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2897B50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Max_depth</w:t>
            </w:r>
          </w:p>
        </w:tc>
        <w:tc>
          <w:tcPr>
            <w:tcW w:w="1435" w:type="dxa"/>
            <w:vMerge w:val="restart"/>
            <w:noWrap w:val="0"/>
          </w:tcPr>
          <w:p w14:paraId="604CB8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None</w:t>
            </w:r>
          </w:p>
        </w:tc>
        <w:tc>
          <w:tcPr>
            <w:tcW w:w="2836" w:type="dxa"/>
            <w:noWrap w:val="0"/>
          </w:tcPr>
          <w:p w14:paraId="1326A18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Полное развитие деревьев</w:t>
            </w:r>
          </w:p>
        </w:tc>
      </w:tr>
      <w:tr w14:paraId="4E194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0D821C19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06AE4ED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N_jobs</w:t>
            </w:r>
          </w:p>
        </w:tc>
        <w:tc>
          <w:tcPr>
            <w:tcW w:w="1435" w:type="dxa"/>
            <w:vMerge w:val="restart"/>
            <w:noWrap w:val="0"/>
          </w:tcPr>
          <w:p w14:paraId="0C851B4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</w:t>
            </w:r>
          </w:p>
        </w:tc>
        <w:tc>
          <w:tcPr>
            <w:tcW w:w="2836" w:type="dxa"/>
            <w:noWrap w:val="0"/>
          </w:tcPr>
          <w:p w14:paraId="2BF3401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Избежание конфликтов памяти</w:t>
            </w:r>
          </w:p>
        </w:tc>
      </w:tr>
      <w:tr w14:paraId="51116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16016E1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XGBoost</w:t>
            </w:r>
          </w:p>
          <w:p w14:paraId="626B210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496F8C1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55AE954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4733B2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2DEDF32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0AD70AC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vMerge w:val="restart"/>
            <w:noWrap w:val="0"/>
          </w:tcPr>
          <w:p w14:paraId="01E73A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300</w:t>
            </w:r>
          </w:p>
        </w:tc>
        <w:tc>
          <w:tcPr>
            <w:tcW w:w="2836" w:type="dxa"/>
            <w:noWrap w:val="0"/>
          </w:tcPr>
          <w:p w14:paraId="57E2265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Достаточно для хорошего обучения, без переобучения</w:t>
            </w:r>
          </w:p>
        </w:tc>
      </w:tr>
      <w:tr w14:paraId="6CD2AE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9950EF7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648C6E5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Max_deph</w:t>
            </w:r>
          </w:p>
        </w:tc>
        <w:tc>
          <w:tcPr>
            <w:tcW w:w="1435" w:type="dxa"/>
            <w:vMerge w:val="restart"/>
            <w:noWrap w:val="0"/>
          </w:tcPr>
          <w:p w14:paraId="7401F5A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6</w:t>
            </w:r>
          </w:p>
        </w:tc>
        <w:tc>
          <w:tcPr>
            <w:tcW w:w="2836" w:type="dxa"/>
            <w:noWrap w:val="0"/>
          </w:tcPr>
          <w:p w14:paraId="3C7825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Ограничение глубины, для ускорения обучения</w:t>
            </w:r>
          </w:p>
        </w:tc>
      </w:tr>
      <w:tr w14:paraId="5E0CED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A09F6E2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36DED86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Learning_rate</w:t>
            </w:r>
          </w:p>
        </w:tc>
        <w:tc>
          <w:tcPr>
            <w:tcW w:w="1435" w:type="dxa"/>
            <w:vMerge w:val="restart"/>
            <w:noWrap w:val="0"/>
          </w:tcPr>
          <w:p w14:paraId="797BEC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0.1</w:t>
            </w:r>
          </w:p>
        </w:tc>
        <w:tc>
          <w:tcPr>
            <w:tcW w:w="2836" w:type="dxa"/>
            <w:noWrap w:val="0"/>
          </w:tcPr>
          <w:p w14:paraId="6DE83D6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 для XGBoost</w:t>
            </w:r>
          </w:p>
        </w:tc>
      </w:tr>
      <w:tr w14:paraId="7DB5F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74345CA0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EFC9DE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subsample</w:t>
            </w:r>
          </w:p>
        </w:tc>
        <w:tc>
          <w:tcPr>
            <w:tcW w:w="1435" w:type="dxa"/>
            <w:vMerge w:val="restart"/>
            <w:noWrap w:val="0"/>
          </w:tcPr>
          <w:p w14:paraId="6B7A84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6D9D48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Встроенная регуляризация </w:t>
            </w:r>
          </w:p>
        </w:tc>
      </w:tr>
      <w:tr w14:paraId="785202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B7BB26B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434ED97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Colsample_bytree</w:t>
            </w:r>
          </w:p>
        </w:tc>
        <w:tc>
          <w:tcPr>
            <w:tcW w:w="1435" w:type="dxa"/>
            <w:vMerge w:val="restart"/>
            <w:noWrap w:val="0"/>
          </w:tcPr>
          <w:p w14:paraId="0B42AD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00231D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Снижение переобучения </w:t>
            </w:r>
          </w:p>
        </w:tc>
      </w:tr>
      <w:tr w14:paraId="16EB2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3C7940D1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525CBC3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Random_state</w:t>
            </w:r>
          </w:p>
        </w:tc>
        <w:tc>
          <w:tcPr>
            <w:tcW w:w="1435" w:type="dxa"/>
            <w:vMerge w:val="restart"/>
            <w:noWrap w:val="0"/>
          </w:tcPr>
          <w:p w14:paraId="138EAF1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42</w:t>
            </w:r>
          </w:p>
        </w:tc>
        <w:tc>
          <w:tcPr>
            <w:tcW w:w="2836" w:type="dxa"/>
            <w:noWrap w:val="0"/>
          </w:tcPr>
          <w:p w14:paraId="7BD707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Ускорение воспроизводимости</w:t>
            </w:r>
          </w:p>
        </w:tc>
      </w:tr>
      <w:tr w14:paraId="71BC4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B923FD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LightGBM</w:t>
            </w:r>
          </w:p>
          <w:p w14:paraId="716020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41C88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A248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D4ABE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58074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069E9F6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vMerge w:val="restart"/>
            <w:noWrap w:val="0"/>
          </w:tcPr>
          <w:p w14:paraId="5BBF48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300</w:t>
            </w:r>
          </w:p>
        </w:tc>
        <w:tc>
          <w:tcPr>
            <w:tcW w:w="2836" w:type="dxa"/>
            <w:noWrap w:val="0"/>
          </w:tcPr>
          <w:p w14:paraId="774013A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 для ускорения обучения LightGBM</w:t>
            </w:r>
          </w:p>
        </w:tc>
      </w:tr>
      <w:tr w14:paraId="4F2AC7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63E4BF7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04D1A64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Max_depth</w:t>
            </w:r>
          </w:p>
        </w:tc>
        <w:tc>
          <w:tcPr>
            <w:tcW w:w="1435" w:type="dxa"/>
            <w:vMerge w:val="restart"/>
            <w:noWrap w:val="0"/>
          </w:tcPr>
          <w:p w14:paraId="2B4BF8A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7</w:t>
            </w:r>
          </w:p>
        </w:tc>
        <w:tc>
          <w:tcPr>
            <w:tcW w:w="2836" w:type="dxa"/>
            <w:noWrap w:val="0"/>
          </w:tcPr>
          <w:p w14:paraId="2BA4FD0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Работает быстрее с глубиной семь</w:t>
            </w:r>
          </w:p>
        </w:tc>
      </w:tr>
      <w:tr w14:paraId="0FC16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2D68013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6CBF32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Learning_rate</w:t>
            </w:r>
          </w:p>
        </w:tc>
        <w:tc>
          <w:tcPr>
            <w:tcW w:w="1435" w:type="dxa"/>
            <w:vMerge w:val="restart"/>
            <w:noWrap w:val="0"/>
          </w:tcPr>
          <w:p w14:paraId="2EEA0A2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0.1</w:t>
            </w:r>
          </w:p>
        </w:tc>
        <w:tc>
          <w:tcPr>
            <w:tcW w:w="2836" w:type="dxa"/>
            <w:noWrap w:val="0"/>
          </w:tcPr>
          <w:p w14:paraId="4BD7AF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значение, для ускорения обучения</w:t>
            </w:r>
          </w:p>
        </w:tc>
      </w:tr>
      <w:tr w14:paraId="2E6D3D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DE145FC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14DFC1A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subsample</w:t>
            </w:r>
          </w:p>
        </w:tc>
        <w:tc>
          <w:tcPr>
            <w:tcW w:w="1435" w:type="dxa"/>
            <w:vMerge w:val="restart"/>
            <w:noWrap w:val="0"/>
          </w:tcPr>
          <w:p w14:paraId="2A9EFF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7DFCD1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Лучше регуляризация</w:t>
            </w:r>
          </w:p>
        </w:tc>
      </w:tr>
      <w:tr w14:paraId="73A87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70DE410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BC3A74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Colsample_bytree</w:t>
            </w:r>
          </w:p>
        </w:tc>
        <w:tc>
          <w:tcPr>
            <w:tcW w:w="1435" w:type="dxa"/>
            <w:vMerge w:val="restart"/>
            <w:noWrap w:val="0"/>
          </w:tcPr>
          <w:p w14:paraId="4AA24A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57B6A4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Лучше регуляризация</w:t>
            </w:r>
          </w:p>
        </w:tc>
      </w:tr>
      <w:tr w14:paraId="3F42C2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C31D795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2165881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verbose</w:t>
            </w:r>
          </w:p>
        </w:tc>
        <w:tc>
          <w:tcPr>
            <w:tcW w:w="1435" w:type="dxa"/>
            <w:vMerge w:val="restart"/>
            <w:noWrap w:val="0"/>
          </w:tcPr>
          <w:p w14:paraId="5F641D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-1</w:t>
            </w:r>
          </w:p>
        </w:tc>
        <w:tc>
          <w:tcPr>
            <w:tcW w:w="2836" w:type="dxa"/>
            <w:noWrap w:val="0"/>
          </w:tcPr>
          <w:p w14:paraId="2BCF4CB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Отключение логов для ускорения обучения</w:t>
            </w:r>
          </w:p>
        </w:tc>
      </w:tr>
      <w:tr w14:paraId="38BF4D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4C0EC16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Voting Classifier </w:t>
            </w:r>
          </w:p>
        </w:tc>
        <w:tc>
          <w:tcPr>
            <w:tcW w:w="3384" w:type="dxa"/>
            <w:vMerge w:val="restart"/>
            <w:noWrap w:val="0"/>
          </w:tcPr>
          <w:p w14:paraId="225F89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voiting</w:t>
            </w:r>
          </w:p>
        </w:tc>
        <w:tc>
          <w:tcPr>
            <w:tcW w:w="1435" w:type="dxa"/>
            <w:vMerge w:val="restart"/>
            <w:noWrap w:val="0"/>
          </w:tcPr>
          <w:p w14:paraId="57EA61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‘soft’</w:t>
            </w:r>
          </w:p>
        </w:tc>
        <w:tc>
          <w:tcPr>
            <w:tcW w:w="2836" w:type="dxa"/>
            <w:noWrap w:val="0"/>
          </w:tcPr>
          <w:p w14:paraId="2460DD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Усреднение вероятностей даёт лучший результат, </w:t>
            </w:r>
          </w:p>
        </w:tc>
      </w:tr>
      <w:tr w14:paraId="6CBF94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D4BA9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Stacking Classifier</w:t>
            </w:r>
          </w:p>
          <w:p w14:paraId="2CEEE3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AFED29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B08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550586F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cv</w:t>
            </w:r>
          </w:p>
        </w:tc>
        <w:tc>
          <w:tcPr>
            <w:tcW w:w="1435" w:type="dxa"/>
            <w:vMerge w:val="restart"/>
            <w:noWrap w:val="0"/>
          </w:tcPr>
          <w:p w14:paraId="1E2021D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</w:t>
            </w:r>
          </w:p>
        </w:tc>
        <w:tc>
          <w:tcPr>
            <w:tcW w:w="2836" w:type="dxa"/>
            <w:noWrap w:val="0"/>
          </w:tcPr>
          <w:p w14:paraId="4FCDF29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Компромисс между качеством и скоростью</w:t>
            </w:r>
          </w:p>
        </w:tc>
      </w:tr>
      <w:tr w14:paraId="6D486E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DB85092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E730D4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Stack_method</w:t>
            </w:r>
          </w:p>
        </w:tc>
        <w:tc>
          <w:tcPr>
            <w:tcW w:w="1435" w:type="dxa"/>
            <w:vMerge w:val="restart"/>
            <w:noWrap w:val="0"/>
          </w:tcPr>
          <w:p w14:paraId="2F9C195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‘predict_proba’</w:t>
            </w:r>
          </w:p>
        </w:tc>
        <w:tc>
          <w:tcPr>
            <w:tcW w:w="2836" w:type="dxa"/>
            <w:noWrap w:val="0"/>
          </w:tcPr>
          <w:p w14:paraId="68349F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Передача вероятностей классов мета-модели</w:t>
            </w:r>
          </w:p>
        </w:tc>
      </w:tr>
      <w:tr w14:paraId="5D251C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11BE1C4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3CF4A76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Final_estimator</w:t>
            </w:r>
          </w:p>
        </w:tc>
        <w:tc>
          <w:tcPr>
            <w:tcW w:w="1435" w:type="dxa"/>
            <w:vMerge w:val="restart"/>
            <w:noWrap w:val="0"/>
          </w:tcPr>
          <w:p w14:paraId="78391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LogisticRegression(max_iter=500)</w:t>
            </w:r>
          </w:p>
        </w:tc>
        <w:tc>
          <w:tcPr>
            <w:tcW w:w="2836" w:type="dxa"/>
            <w:noWrap w:val="0"/>
          </w:tcPr>
          <w:p w14:paraId="6A268AE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Линейная модель лучше работает с значением 500</w:t>
            </w:r>
          </w:p>
        </w:tc>
      </w:tr>
      <w:tr w14:paraId="76DAAB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3FD50867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76778AA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passthrough</w:t>
            </w:r>
          </w:p>
        </w:tc>
        <w:tc>
          <w:tcPr>
            <w:tcW w:w="1435" w:type="dxa"/>
            <w:noWrap w:val="0"/>
          </w:tcPr>
          <w:p w14:paraId="5FD86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False</w:t>
            </w:r>
          </w:p>
        </w:tc>
        <w:tc>
          <w:tcPr>
            <w:tcW w:w="2836" w:type="dxa"/>
            <w:noWrap w:val="0"/>
          </w:tcPr>
          <w:p w14:paraId="35C2A5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Используются только предсказания базовых моделей</w:t>
            </w:r>
          </w:p>
        </w:tc>
      </w:tr>
    </w:tbl>
    <w:p w14:paraId="377FD979">
      <w:pPr>
        <w:ind w:firstLine="708"/>
        <w:jc w:val="right"/>
        <w:rPr>
          <w:rFonts w:ascii="Times New Roman;Times New Roman" w:hAnsi="Times New Roman;Times New Roman" w:cs="Times New Roman;Times New Roman"/>
          <w:sz w:val="28"/>
          <w:szCs w:val="28"/>
        </w:rPr>
      </w:pPr>
    </w:p>
    <w:p w14:paraId="2DDEBB34">
      <w:pPr>
        <w:ind w:firstLine="708"/>
        <w:jc w:val="left"/>
        <w:rPr>
          <w:rFonts w:ascii="Times New Roman;Times New Roman" w:hAnsi="Times New Roman;Times New Roman" w:cs="Times New Roman;Times New Roman"/>
          <w:sz w:val="28"/>
          <w:szCs w:val="28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 xml:space="preserve">Глубина обучения ограничивалась по причине большого количества признаков, при увеличении глубины обучения наблюдалось переобучение. Cv уменьшено для ускорения обучения для Stacking, при увеличение cv не увеличивалась F1-Score. Для решения конфликтов с использованием памяти решено использовать n_jobs=1 для запуска восьми разных моделей. Подобранные гиперпараметры близки к лучшему варианту возможных настроек. </w:t>
      </w:r>
    </w:p>
    <w:p w14:paraId="0533995A">
      <w:pPr>
        <w:pStyle w:val="3"/>
        <w:rPr>
          <w:rFonts w:ascii="Times New Roman" w:hAnsi="Times New Roman" w:eastAsia="Times New Roman" w:cs="Times New Roman"/>
          <w:sz w:val="28"/>
          <w:lang w:val="en-US"/>
          <w14:ligatures w14:val="none"/>
        </w:rPr>
      </w:pPr>
      <w:bookmarkStart w:id="7" w:name="_Toc8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2.2. Реализация стратифицированного разбиения, для подготовки тестовой и обучающей выборок</w:t>
      </w:r>
      <w:bookmarkEnd w:id="7"/>
    </w:p>
    <w:p w14:paraId="7DAAFA0D">
      <w:pPr>
        <w:spacing w:before="0" w:after="0" w:line="240" w:lineRule="auto"/>
        <w:ind w:right="0"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После предобработки твитов с десятью инжиниринг признаками, получился датасет на миллион шестьсот тысяч текстовых записей с таргет, без мусора и шума, подходящий для реализации обучения моделей. Правильная оценка разработанных классификаторов, невозможна без разбиения данных на обучающую и тестовую выборку, причины рабиения: исключение смещение оценки – отклонению доли классов, сохранение баланса классов – идентичное распределение «Изначально восемьсот тысяч твитов положительного и отрицательного класса», примеры в Kaggle разбивали в процентной пропорции двадцать на восемьдесят тестовую и обучающую выборки, для достижения наилучшего результата.</w:t>
      </w:r>
    </w:p>
    <w:p w14:paraId="2BD5D57C">
      <w:pPr>
        <w:spacing w:before="0" w:after="0" w:line="240" w:lineRule="auto"/>
        <w:ind w:right="0"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C6AAB8E">
      <w:pPr>
        <w:spacing w:before="0" w:after="0" w:line="240" w:lineRule="auto"/>
        <w:ind w:right="0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drawing>
          <wp:inline distT="0" distB="0" distL="0" distR="0">
            <wp:extent cx="5940425" cy="2348865"/>
            <wp:effectExtent l="0" t="0" r="0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234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12B5">
      <w:pPr>
        <w:spacing w:before="0" w:after="0" w:line="240" w:lineRule="auto"/>
        <w:ind w:right="0" w:firstLine="708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BA1E5ED">
      <w:pPr>
        <w:widowControl w:val="0"/>
        <w:tabs>
          <w:tab w:val="left" w:pos="1134"/>
        </w:tabs>
        <w:spacing w:before="0" w:after="0" w:line="240" w:lineRule="auto"/>
        <w:jc w:val="center"/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5 – Стратификация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  <w:t xml:space="preserve"> обучающей и тренировочной выборки</w:t>
      </w:r>
    </w:p>
    <w:p w14:paraId="73B4C934">
      <w:pPr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pPr>
    </w:p>
    <w:p w14:paraId="4489A110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bookmarkStart w:id="8" w:name="_Toc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2.3. Обучение моделей TF-IDF с добавленными фича-инжиниринг признаками, сравнение результатов</w:t>
      </w:r>
      <w:bookmarkEnd w:id="8"/>
    </w:p>
    <w:p w14:paraId="4D8A6E93">
      <w:pPr>
        <w:ind w:firstLine="708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Проведено последовательное обучение восьми моделей  на векторизованных данных имеющих десять количественных признаков, с вычислением времени обучения моделей. Продвинутая обработка происходила за счет ML-pipeline, включающий инжиниринг количественных признаков, и ансамбль Stacking, сделали возможным получить высокий результат предсказания у конечной мета модели логистической регрессии. Обучение проходило на матрице признаков двадцати пяти тысяч векторов, фича-инжиниринг добавил десять количественных признаков, в итоге матрица признаков получилась размерностью 1600000 * 25010 =  40 016 000 000 различных признаков. При попытке сделать параллельное обучение моделей, возникали проблемы с нехваткой оперативной памяти, приводившие к выводу ошибки о нехватке памяти. </w:t>
      </w:r>
    </w:p>
    <w:p w14:paraId="6CA07D0D">
      <w:pPr>
        <w:rPr>
          <w:rFonts w:ascii="Times New Roman;Times New Roman" w:hAnsi="Times New Roman;Times New Roman" w:cs="Times New Roman;Times New Roman"/>
          <w:sz w:val="28"/>
          <w:szCs w:val="28"/>
        </w:rPr>
      </w:pPr>
    </w:p>
    <w:p w14:paraId="5D15B1AB">
      <w:pPr>
        <w:rPr>
          <w:rFonts w:ascii="Times New Roman;Times New Roman" w:hAnsi="Times New Roman;Times New Roman" w:cs="Times New Roman;Times New Roman"/>
          <w:sz w:val="28"/>
          <w:szCs w:val="28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ab/>
      </w:r>
      <w:r>
        <w:rPr>
          <w:rFonts w:ascii="Times New Roman;Times New Roman" w:hAnsi="Times New Roman;Times New Roman" w:cs="Times New Roman;Times New Roman"/>
          <w:sz w:val="28"/>
          <w:highlight w:val="none"/>
        </w:rPr>
        <w:t>Столбчатая диаграмма с аналитикой наибольшего значения TF-IDF, для n-грамм, на диаграмме видно самое популярная n-грамма «just», второй по популярности является «good», третей «day», видно в топ двадцать попали n-граммы подчеркивающие сильную эмоциональную окраску, модели использовали найденные n-граммы, для анализа эмоциональной окраски твитов, благодаря использованию найденных популярных n-грамм, был увеличен итоговый F1-Score.</w:t>
      </w:r>
    </w:p>
    <w:p w14:paraId="5CC20B24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940425" cy="3903980"/>
            <wp:effectExtent l="0" t="0" r="0" b="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90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A33D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6. Самые информативные n-граммы после векторизации</w:t>
      </w:r>
    </w:p>
    <w:p w14:paraId="1C98CE20">
      <w:pP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2A9F337D">
      <w:pPr>
        <w:ind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Матрица ошибок на независимой выборке из триста двадцати тысяч сообщений, для модели Stacking Classifier, видны пролемы в виде ложноположительных срабатываний «FP» и ложноотрицательных срабатываний «FN», анализированы причины: использование сокращений, наличие опечаток и слэнгов имеющих своеобразное значение, не в прямом ссысле эмоциональной окраски – пример: «Бустнуть, Кринж». Изучив матрицу можно увидеть отсутствие сильных смещений предсказаний модели, результаты имеют высокую точность определения эмоциональной тональности.</w:t>
      </w:r>
    </w:p>
    <w:p w14:paraId="678936B3">
      <w:pP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drawing>
          <wp:inline distT="0" distB="0" distL="0" distR="0">
            <wp:extent cx="5940425" cy="4420870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442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37D6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 xml:space="preserve">Рисунок 7. Матрица ошибок Stacking Classifier </w:t>
      </w:r>
    </w:p>
    <w:p w14:paraId="73E7B197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</w:p>
    <w:p w14:paraId="2001E7A5">
      <w:pPr>
        <w:pStyle w:val="2"/>
      </w:pPr>
      <w:bookmarkStart w:id="9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3. ПРОВЕДЕНИЕ ТЕСТИРОВАНИЯ СЕМИ ОБУЧЕННЫХ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9"/>
    </w:p>
    <w:p w14:paraId="4734178E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pPr>
      <w:bookmarkStart w:id="10" w:name="_Toc11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Проведение тестирования обученных моделей</w:t>
      </w:r>
      <w:bookmarkEnd w:id="10"/>
    </w:p>
    <w:p w14:paraId="0FCB56D3">
      <w:pPr>
        <w:spacing w:before="0" w:after="0" w:line="240" w:lineRule="auto"/>
        <w:ind w:right="334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580347C7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Семь обученных моделей протестированы, на тестовой выборке в триста двадцать тысяч твитов, для оценки качества были использованы  метрики: F1-score – гармоническое среднее между Precision и Recall, Accuracy – правильные предсказания из общего числа предсказаний, Precision – точность положительных предсказаний, Recall – находит долю объектов положительного класса,  ROC-AUC – оценка качества бинарной классификации, Матрица ошибок «Confusion-Matrix» – распределение предсказаний на ошибочные и правильные. </w:t>
      </w:r>
    </w:p>
    <w:p w14:paraId="1CDE3C09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</w:p>
    <w:p w14:paraId="501C9950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Модели с лучшим качеством предсказания предоставлены на рисунке 8, для получения результатов использована тестовая выборка на 320 000 сообщений.</w:t>
      </w:r>
    </w:p>
    <w:p w14:paraId="59F1F996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en-US" w:eastAsia="ru-RU"/>
        </w:rPr>
      </w:pPr>
    </w:p>
    <w:p w14:paraId="1FF05BD6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en-US" w:eastAsia="ru-RU"/>
        </w:rPr>
      </w:pPr>
    </w:p>
    <w:p w14:paraId="0AE2DF73">
      <w:pPr>
        <w:spacing w:before="0" w:after="0" w:line="240" w:lineRule="auto"/>
        <w:ind w:left="-15" w:right="334" w:firstLine="698"/>
        <w:jc w:val="both"/>
      </w:pPr>
    </w:p>
    <w:p w14:paraId="322822C0">
      <w:pPr>
        <w:spacing w:before="0" w:after="0" w:line="240" w:lineRule="auto"/>
        <w:ind w:left="-15" w:right="-3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553075" cy="2638425"/>
            <wp:effectExtent l="0" t="0" r="0" b="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263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DAC8">
      <w:pPr>
        <w:spacing w:before="0" w:after="0" w:line="240" w:lineRule="auto"/>
        <w:ind w:left="-15" w:right="-3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913DDA9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8. Расчет эффективности на тестовой выборке</w:t>
      </w:r>
    </w:p>
    <w:p w14:paraId="48F75726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1D03802E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471C1345">
      <w:pPr>
        <w:spacing w:before="0" w:after="0" w:line="240" w:lineRule="auto"/>
        <w:ind w:left="0" w:right="334" w:firstLine="708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Преимущество использования ансамблевых методов для создания мета-модели логистической регрессии учитывающей предсказания Staking и LightGBM, можно увидеть на рисунке 9, где линейная модель выдает лучшие показатели точности.</w:t>
      </w:r>
    </w:p>
    <w:p w14:paraId="03C50A66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02039FD">
      <w:pPr>
        <w:spacing w:before="0" w:after="0" w:line="240" w:lineRule="auto"/>
        <w:ind w:left="0" w:right="334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940425" cy="3500120"/>
            <wp:effectExtent l="0" t="0" r="0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50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B843">
      <w:pPr>
        <w:spacing w:before="0" w:after="0" w:line="240" w:lineRule="auto"/>
        <w:ind w:left="0" w:right="334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</w:p>
    <w:p w14:paraId="2AB36833">
      <w:pPr>
        <w:spacing w:before="0" w:after="0" w:line="240" w:lineRule="auto"/>
        <w:ind w:left="0" w:right="334" w:firstLine="0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9. Расчет эффективности восьми моделей, на тестовом датасете</w:t>
      </w:r>
    </w:p>
    <w:p w14:paraId="64146F2F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1B7EB10C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45576B9A">
      <w:pPr>
        <w:pStyle w:val="3"/>
      </w:pPr>
      <w:bookmarkStart w:id="11" w:name="_Toc12"/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3.2. Оптимизация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1"/>
    </w:p>
    <w:p w14:paraId="72512DF9">
      <w:pPr>
        <w:spacing w:before="0" w:after="0" w:line="240" w:lineRule="auto"/>
        <w:ind w:left="-15" w:right="202" w:firstLine="69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Воссоздано улучшение точности предсказания для модели LightGBM, при помощи GridSearch, полученный результат показывает, что линейные модели по типу логистической регрессии лучше справляются с бинарной классификацией, это подтверждается результатами оценки F1-Score точности предсказания модели: логистическая регрессия «0,7913», LightGBM не смог получить лучший результат после автоматизации.</w:t>
      </w:r>
    </w:p>
    <w:p w14:paraId="3F99F4C7">
      <w:pPr>
        <w:spacing w:before="0" w:after="0" w:line="240" w:lineRule="auto"/>
        <w:ind w:left="-15" w:right="202" w:firstLine="698"/>
      </w:pPr>
    </w:p>
    <w:p w14:paraId="63BAA1E1">
      <w:pPr>
        <w:spacing w:before="0" w:after="0" w:line="240" w:lineRule="auto"/>
        <w:ind w:left="-15" w:right="202" w:firstLine="0"/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>Тестирование девяти комбинаций параметров происходило при помощи трёхкратной кроссвалидации, среднее значение F1-Score отражается по цвету от светлого «низкий F1-Score» к тёмному «высокий F1-Score», вначале увеличение деревьев давало заметный прирост качества, но при значении пятьсот и выше качество начинает снижаться, наилучший показатель прироста качества – глубина дерева, нужно увеличивать до десяти, для достижения максимального эффекта.</w:t>
      </w:r>
    </w:p>
    <w:p w14:paraId="0275076A">
      <w:pPr>
        <w:spacing w:before="0" w:after="0" w:line="240" w:lineRule="auto"/>
        <w:ind w:left="-15" w:right="202" w:firstLine="69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lang w:eastAsia="ru-RU"/>
        </w:rPr>
      </w:pPr>
    </w:p>
    <w:p w14:paraId="0E755F5B">
      <w:pPr>
        <w:spacing w:before="0" w:after="0" w:line="240" w:lineRule="auto"/>
        <w:ind w:right="720"/>
        <w:jc w:val="righ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drawing>
          <wp:inline distT="0" distB="0" distL="0" distR="0">
            <wp:extent cx="5940425" cy="4234815"/>
            <wp:effectExtent l="0" t="0" r="0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423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0060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63E7ABFD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10. Тепловая карта результатов GridSearchCV LightGBM на подвыборке «cv=3» сто пятьдесят тысяч твитов</w:t>
      </w:r>
    </w:p>
    <w:p w14:paraId="0350D185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4F140C0E">
      <w:pPr>
        <w:spacing w:before="0" w:after="0" w:line="240" w:lineRule="auto"/>
        <w:ind w:firstLine="708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На рисунке 11, показана тенденция понижения точности предсказания от зависимости среднего значения метрики F1-score, от параметра «learning_rate», на осях абсцисс показаны протестированные комбинации параметров, градация на уменьшение точности предсказания. Экспериментальным путём выявлено, глубина обучения десять с четырьмястами итераций, увеличение параметров глубины и итераций с оптимального значения, приводит к переобучению.</w:t>
      </w:r>
    </w:p>
    <w:p w14:paraId="32C54B02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C545AAC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drawing>
          <wp:inline distT="0" distB="0" distL="0" distR="0">
            <wp:extent cx="5940425" cy="3163570"/>
            <wp:effectExtent l="0" t="0" r="0" b="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16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8348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0FF3F572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11. Влияние learning_rate и числа деревьев на F1-Score</w:t>
      </w:r>
    </w:p>
    <w:p w14:paraId="3EDB97A9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41AA70F3">
      <w:pPr>
        <w:pStyle w:val="2"/>
        <w:rPr>
          <w:rFonts w:ascii="Times New Roman;Times New Roman" w:hAnsi="Times New Roman;Times New Roman" w:cs="Times New Roman;Times New Roman"/>
          <w:b/>
          <w:sz w:val="28"/>
        </w:rPr>
      </w:pPr>
      <w:bookmarkStart w:id="12" w:name="_Toc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ЗАКЛЮЧЕНИЕ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2"/>
    </w:p>
    <w:p w14:paraId="53D241EB">
      <w:pPr>
        <w:ind w:firstLine="708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 ходе курсовой работы реализована модель LinearSVC, при помощи ансамблевых методов Stacking и Voiting, модель решает проблему определения эмоциональной тональности сообщений в социальных сетях. Был использован датасет на миллион шестьсот тысяч твитов, проведено разделение на обучающую и тестовую выборку, удаление мусора, при помощи фича-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инжиниринга добавлены количественные признаки, для определения тональности, TF-IDF был использован, для векторизации, признаки TF-IDF соединены вместе с количественными фича признаками.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Оценка эффективности моделей проводилась на тестовом наборе данных для избежания переобучения. Были обучены следующие модели: Stacking Classifier, Voiting Classifier, LinearSVC, LogisticRegression, MultinominalNB, LightGBM. Оценка эффективности LinearSVC показала Accuracy = 0,7921, F1-Score = 0,7913, ROC-AUC = 0,878. Было доказано, линейные модели справляются лучше с бинарной классификацией анализа эмоциональной тональности текста.  Для оптимизации не линейных моделей, был применен GridSearch, для улучшения результата LightGBM и Stacking, но практический опыт показал, что не даёт значительного эффекта, а использование линейных моделей эффективно в ситуации бинарной классификации анализа эмоциональной тональности текста, без дополнительной оптимизации линейная модель показывает результат лучше.</w:t>
      </w:r>
    </w:p>
    <w:p w14:paraId="7ACFC7A2">
      <w:pPr>
        <w:ind w:firstLine="708"/>
        <w:rPr>
          <w:lang w:val="ru-RU"/>
        </w:rPr>
      </w:pPr>
    </w:p>
    <w:p w14:paraId="355CAA98">
      <w:pPr>
        <w:ind w:firstLine="708"/>
        <w:rPr>
          <w:lang w:val="ru-RU"/>
        </w:rPr>
      </w:pPr>
    </w:p>
    <w:p w14:paraId="61754CAC">
      <w:pPr>
        <w:ind w:firstLine="708"/>
        <w:rPr>
          <w:lang w:val="ru-RU"/>
        </w:rPr>
      </w:pPr>
    </w:p>
    <w:p w14:paraId="59893EFB">
      <w:pPr>
        <w:ind w:firstLine="708"/>
        <w:rPr>
          <w:lang w:val="ru-RU"/>
        </w:rPr>
      </w:pPr>
    </w:p>
    <w:p w14:paraId="6EF588BA">
      <w:pPr>
        <w:ind w:firstLine="708"/>
        <w:rPr>
          <w:lang w:val="ru-RU"/>
        </w:rPr>
      </w:pPr>
    </w:p>
    <w:p w14:paraId="2155948B">
      <w:pPr>
        <w:ind w:firstLine="708"/>
        <w:rPr>
          <w:lang w:val="ru-RU"/>
        </w:rPr>
      </w:pPr>
    </w:p>
    <w:p w14:paraId="1A1811B1">
      <w:pPr>
        <w:ind w:firstLine="708"/>
        <w:rPr>
          <w:lang w:val="ru-RU"/>
        </w:rPr>
      </w:pPr>
    </w:p>
    <w:p w14:paraId="63633F1A">
      <w:pPr>
        <w:ind w:firstLine="708"/>
        <w:rPr>
          <w:lang w:val="ru-RU"/>
        </w:rPr>
      </w:pPr>
    </w:p>
    <w:p w14:paraId="2010ACD6">
      <w:pPr>
        <w:ind w:firstLine="708"/>
        <w:rPr>
          <w:lang w:val="ru-RU"/>
        </w:rPr>
      </w:pPr>
    </w:p>
    <w:p w14:paraId="631BE52C">
      <w:pPr>
        <w:ind w:firstLine="708"/>
        <w:rPr>
          <w:lang w:val="ru-RU"/>
        </w:rPr>
      </w:pPr>
    </w:p>
    <w:p w14:paraId="740B80DB">
      <w:pPr>
        <w:ind w:firstLine="708"/>
        <w:rPr>
          <w:lang w:val="ru-RU"/>
        </w:rPr>
      </w:pPr>
    </w:p>
    <w:p w14:paraId="58540E04">
      <w:pPr>
        <w:ind w:firstLine="708"/>
        <w:rPr>
          <w:lang w:val="ru-RU"/>
        </w:rPr>
      </w:pPr>
    </w:p>
    <w:p w14:paraId="3410C925">
      <w:pPr>
        <w:ind w:firstLine="708"/>
        <w:rPr>
          <w:lang w:val="ru-RU"/>
        </w:rPr>
      </w:pPr>
    </w:p>
    <w:p w14:paraId="6E27E069">
      <w:pPr>
        <w:ind w:firstLine="708"/>
        <w:rPr>
          <w:lang w:val="ru-RU"/>
        </w:rPr>
      </w:pPr>
    </w:p>
    <w:p w14:paraId="5FC0F77D">
      <w:pPr>
        <w:ind w:firstLine="708"/>
        <w:rPr>
          <w:lang w:val="ru-RU"/>
        </w:rPr>
      </w:pPr>
    </w:p>
    <w:p w14:paraId="61F417AF">
      <w:pPr>
        <w:ind w:firstLine="708"/>
        <w:rPr>
          <w:lang w:val="ru-RU"/>
        </w:rPr>
      </w:pPr>
    </w:p>
    <w:p w14:paraId="11EC37DB">
      <w:pPr>
        <w:ind w:firstLine="708"/>
        <w:rPr>
          <w:lang w:val="ru-RU"/>
        </w:rPr>
      </w:pPr>
    </w:p>
    <w:p w14:paraId="31454927">
      <w:pPr>
        <w:ind w:firstLine="708"/>
        <w:rPr>
          <w:lang w:val="ru-RU"/>
        </w:rPr>
      </w:pPr>
    </w:p>
    <w:p w14:paraId="64FE301A">
      <w:pPr>
        <w:ind w:firstLine="708"/>
        <w:rPr>
          <w:lang w:val="ru-RU"/>
        </w:rPr>
      </w:pPr>
    </w:p>
    <w:p w14:paraId="08310731">
      <w:pPr>
        <w:ind w:firstLine="708"/>
        <w:rPr>
          <w:lang w:val="ru-RU"/>
        </w:rPr>
      </w:pPr>
    </w:p>
    <w:p w14:paraId="14FCF477">
      <w:pPr>
        <w:ind w:firstLine="708"/>
        <w:rPr>
          <w:lang w:val="ru-RU"/>
        </w:rPr>
      </w:pPr>
    </w:p>
    <w:p w14:paraId="643CC0C7">
      <w:pPr>
        <w:ind w:firstLine="708"/>
        <w:rPr>
          <w:lang w:val="ru-RU"/>
        </w:rPr>
      </w:pPr>
    </w:p>
    <w:p w14:paraId="45266C9F">
      <w:pPr>
        <w:ind w:firstLine="708"/>
        <w:rPr>
          <w:lang w:val="ru-RU"/>
        </w:rPr>
      </w:pPr>
    </w:p>
    <w:p w14:paraId="269D76D3">
      <w:pPr>
        <w:ind w:firstLine="708"/>
        <w:rPr>
          <w:lang w:val="ru-RU"/>
        </w:rPr>
      </w:pPr>
    </w:p>
    <w:p w14:paraId="2E297450">
      <w:pPr>
        <w:pStyle w:val="2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bookmarkStart w:id="13" w:name="_Toc1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СПИСОК ЛИТЕРАТУРЫ </w:t>
      </w:r>
      <w:bookmarkEnd w:id="13"/>
    </w:p>
    <w:p w14:paraId="1B23E1FB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</w:p>
    <w:p w14:paraId="2E7B40B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Аббасов А. М. Машинное обучение: учебное пособие. – М.: ДМК Пресс, 2021. – 312 с.</w:t>
      </w:r>
    </w:p>
    <w:p w14:paraId="39A6786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Айгнер М. Дискретная математика. – М.: Мир, 2020. – 528 с.</w:t>
      </w:r>
    </w:p>
    <w:p w14:paraId="60CA6D4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Барабаш Ю. Л. Обработка сигналов и изображений в Python. – СПб.: БХВ-Петербург, 2022. – 416 с.</w:t>
      </w:r>
    </w:p>
    <w:p w14:paraId="3BA62EF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Биккулов А. З. Анализ тональности текстов на русском языке // Вестник УГАТУ. – 2020. – № 3. – С. 45–52.</w:t>
      </w:r>
    </w:p>
    <w:p w14:paraId="6DE85E2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Бишоп К. М. Распознавание образов и машинное обучение. – М.: ДМК Пресс, 2021. – 776 с.</w:t>
      </w:r>
    </w:p>
    <w:p w14:paraId="06EDB6B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Бойд С., Ванденберг Л. Выпуклая оптимизация. – М.: Мир, 2020. – 720 с.</w:t>
      </w:r>
    </w:p>
    <w:p w14:paraId="2947AE8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Бреиман Л. Случайные леса // Machine Learning. – 2001. – Vol. 45. – № 1. – С. 5–32.</w:t>
      </w:r>
    </w:p>
    <w:p w14:paraId="53A4C66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Вапник В. Н. Восстановление зависимостей по эмпирическим данным. – М.: Наука, 1979. – 448 с.</w:t>
      </w:r>
    </w:p>
    <w:p w14:paraId="70F7AB9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Гудфеллоу Я., Бенджио И., Курвилль А. Глубокое обучение. – М.: ДМК Пресс, 2018. – 652 с.</w:t>
      </w:r>
    </w:p>
    <w:p w14:paraId="38FD6A6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Гэри М., Джонсон Д. Вычислительные машины и труднорешаемые задачи. – М.: Мир, 1982. – 416 с.</w:t>
      </w:r>
    </w:p>
    <w:p w14:paraId="381C039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Дуда Р., Харт П. Распознавание образов и анализ сцен. – М.: Мир, 1976. – 512 с.</w:t>
      </w:r>
    </w:p>
    <w:p w14:paraId="52C5488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Ершов А. П. Основы информатики и вычислительной техники. – М.: Просвещение, 1985. – 224 с.</w:t>
      </w:r>
    </w:p>
    <w:p w14:paraId="6755BBA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Журавлёв Ю. И. Избранные научные труды. – М.: Магистр, 1998. – 420 с.</w:t>
      </w:r>
    </w:p>
    <w:p w14:paraId="3D6EEB5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Задорин А. С. Анализ тональности текстов социальных сетей // Программные продукты и системы. – 2021. – № 2. – С. 118–124.</w:t>
      </w:r>
    </w:p>
    <w:p w14:paraId="55A7F2A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Кнолл Д. Искусственный интеллект: современный подход. – М.: Вильямс, 2022. – 1440 с.</w:t>
      </w:r>
    </w:p>
    <w:p w14:paraId="4F6F277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Кормен Т. Алгоритмы: построение и анализ. – М.: Вильямс, 2020. – 1328 с.</w:t>
      </w:r>
    </w:p>
    <w:p w14:paraId="5E295BC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Кригер П. Python для анализа данных. – СПб.: Питер, 2022. – 576 с.</w:t>
      </w:r>
    </w:p>
    <w:p w14:paraId="2E26101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Ландо С. К. Линейная алгебра и её приложения. – М.: МЦНМО, 2021. – 320 с.</w:t>
      </w:r>
    </w:p>
    <w:p w14:paraId="634830F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Лутц М. Изучаем Python. – СПб.: Питер, 2022. – 832 с.</w:t>
      </w:r>
    </w:p>
    <w:p w14:paraId="61DC34A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Маккинли Д. Python и анализ данных. – М.: ДМК Пресс, 2022. – 544 с.</w:t>
      </w:r>
    </w:p>
    <w:p w14:paraId="5780A6E7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Мюллер А., Гвидо С. Введение в машинное обучение с помощью Python. – СПб.: Питер, 2020. – 496 с.</w:t>
      </w:r>
    </w:p>
    <w:p w14:paraId="2B39134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Нильсон Н. Искусственный интеллект: методы поиска решений. – М.: Мир, 1979. – 520 с.</w:t>
      </w:r>
    </w:p>
    <w:p w14:paraId="76FC0F1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Панг Б., Ли Л. Opinion Mining and Sentiment Analysis // Foundations and Trends in Information Retrieval. – 2008. – Vol. 2. – № 1–2. – С. 1–135.</w:t>
      </w:r>
    </w:p>
    <w:p w14:paraId="1A34136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Раскин Д. Scikit-learn: мощные инструменты машинного обучения. – М.: ДМК Пресс, 2021. – 368 с.</w:t>
      </w:r>
    </w:p>
    <w:p w14:paraId="7C290F4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Рассел С., Норвиг П. Искусственный интеллект: современный подход. – М.: Вильямс, 2021. – 1408 с.</w:t>
      </w:r>
    </w:p>
    <w:p w14:paraId="6473D27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Сайто Т. Наглядная статистика. Используем R! – М.: ДМК Пресс, 2020. – 288 с.</w:t>
      </w:r>
    </w:p>
    <w:p w14:paraId="69FCDD9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Скиннер К. Нейронные сети: полный курс. – СПб.: Питер, 2022. – 512 с.</w:t>
      </w:r>
    </w:p>
    <w:p w14:paraId="34E70BB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Тан П., Штайнбах М., Кумар В. Введение в интеллектуальный анализ данных. – М.: Вильямс, 2019. – 928 с.</w:t>
      </w:r>
    </w:p>
    <w:p w14:paraId="5470DD1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Фриедман Дж., Хасти Т., Тибширани Р. Элементы статистического обучения. – М.: ДМК Пресс, 2021. – 768 с.</w:t>
      </w:r>
    </w:p>
    <w:p w14:paraId="7460DC0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Хасти Т., Тибширани Р., Фридман Дж. Основы статистического обучения. – М.: ДМК Пресс, 2020. – 768 с.</w:t>
      </w:r>
    </w:p>
    <w:p w14:paraId="0E80274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Чен Х. XGBoost: надёжный и быстрый градиентный бустинг // Proceedings of KDD. – 2016. – С. 785–794.</w:t>
      </w:r>
    </w:p>
    <w:p w14:paraId="0DEFDFE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Чжоу Ч. LightGBM: ускоренный градиентный бустинг // Advances in Neural Information Processing Systems. – 2017. – Vol. 30.</w:t>
      </w:r>
    </w:p>
    <w:p w14:paraId="77C7179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Bird S., Klein E., Loper E. Natural Language Processing with Python. – O’Reilly Media, 2009. – 504 p.</w:t>
      </w:r>
    </w:p>
    <w:p w14:paraId="60BD05F4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Go A., Bhayani R., Huang L. Twitter Sentiment Classification using Distant Supervision // CS224N Project Report, Stanford. – 2009. – 12 p.</w:t>
      </w:r>
    </w:p>
    <w:p w14:paraId="469267B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Hastie T., Tibshirani R., Friedman J. The Elements of Statistical Learning. – Springer, 2009. – 745 p.</w:t>
      </w:r>
    </w:p>
    <w:p w14:paraId="60F82B7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Jurafsky D., Martin J. H. Speech and Language Processing. – 3rd ed. draft, 2023.</w:t>
      </w:r>
    </w:p>
    <w:p w14:paraId="15CAD3B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Liu B. Sentiment Analysis and Opinion Mining. – Morgan &amp; Claypool Publishers, 2012. – 167 p.</w:t>
      </w:r>
    </w:p>
    <w:p w14:paraId="7490289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Manning C. D., Raghavan P., Schütze H. Introduction to Information Retrieval. – Cambridge University Press, 2008. – 496 p.</w:t>
      </w:r>
    </w:p>
    <w:p w14:paraId="3684A4B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McKinney W. Python for Data Analysis. – O’Reilly Media, 2022. – 624 p.</w:t>
      </w:r>
    </w:p>
    <w:p w14:paraId="1E402E2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Pang B., Lee L. Opinion Mining and Sentiment Analysis // Foundations and Trends in Information Retrieval. – 2008. – Vol. 2. – P. 1–135.</w:t>
      </w:r>
    </w:p>
    <w:p w14:paraId="30F47DD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Pedregosa F. et al. Scikit-learn: Machine Learning in Python // Journal of Machine Learning Research. – 2011. – Vol. 12. – P. 2825–2830.</w:t>
      </w:r>
    </w:p>
    <w:p w14:paraId="285359D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Raschka S., Mirjalili V. Python Machine Learning. – 3rd ed. – Packt Publishing, 2019. – 742 p.</w:t>
      </w:r>
    </w:p>
    <w:p w14:paraId="6F4525F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Řehůřek R., Sojka P. Gensim – Topic Modelling for Humans. – 2023. URL: </w:t>
      </w:r>
      <w:r>
        <w:fldChar w:fldCharType="begin"/>
      </w:r>
      <w:r>
        <w:instrText xml:space="preserve"> HYPERLINK "https://radimrehurek.com/gensim/" \o "https://radimrehurek.com/gensim/" </w:instrText>
      </w:r>
      <w:r>
        <w:fldChar w:fldCharType="separate"/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>https://radimrehurek.com/gensim/</w:t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fldChar w:fldCharType="end"/>
      </w:r>
    </w:p>
    <w:p w14:paraId="3DE9FB5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Sentiment140 dataset. URL: </w:t>
      </w:r>
      <w:r>
        <w:fldChar w:fldCharType="begin"/>
      </w:r>
      <w:r>
        <w:instrText xml:space="preserve"> HYPERLINK "http://help.sentiment140.com/for-students" \o "http://help.sentiment140.com/for-students" </w:instrText>
      </w:r>
      <w:r>
        <w:fldChar w:fldCharType="separate"/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>http://help.sentiment140.com/for-students</w:t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fldChar w:fldCharType="end"/>
      </w:r>
    </w:p>
    <w:p w14:paraId="6215110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Sparck Jones K. A statistical interpretation of term specificity and its application in retrieval // Journal of Documentation. – 1972. – Vol. 28. – P. 11–21.</w:t>
      </w:r>
    </w:p>
    <w:p w14:paraId="1C15F13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VanderPlas J. Python Data Science Handbook. – O’Reilly Media, 2016. – 548 p.</w:t>
      </w:r>
    </w:p>
    <w:p w14:paraId="1657F7A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Vinyals O. et al. Grammar as a Foreign Language // Advances in Neural Information Processing Systems. – 2015.</w:t>
      </w:r>
    </w:p>
    <w:p w14:paraId="43216EB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Witten I. H., Frank E., Hall M. A. Data Mining: Practical Machine Learning Tools and Techniques. – 4th ed. – Morgan Kaufmann, 2016. – 654 p.</w:t>
      </w:r>
    </w:p>
    <w:p w14:paraId="1C29464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Zhang Y., Wallace B. A Sensitivity Analysis of (and Practitioners’ Guide to) Convolutional Neural Networks for Sentence Classification // arXiv:1510.03820, 2015.</w:t>
      </w:r>
    </w:p>
    <w:p w14:paraId="00330FB7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Классификатор тональности твитов на основе TF-IDF и линейных моделей: репозиторий проекта // GitHub. – 2025. URL: </w:t>
      </w:r>
      <w:r>
        <w:rPr>
          <w:rFonts w:ascii="Times New Roman" w:hAnsi="Times New Roman" w:eastAsia="Times New Roman" w:cs="Times New Roman"/>
          <w:sz w:val="28"/>
          <w:szCs w:val="28"/>
        </w:rPr>
        <w:t>https://github.com/Slavik993/KR_MO_Shebanov.git</w:t>
      </w:r>
    </w:p>
    <w:p w14:paraId="2749872C">
      <w:pPr>
        <w:tabs>
          <w:tab w:val="left" w:pos="284"/>
        </w:tabs>
        <w:spacing w:before="0" w:after="0" w:line="240" w:lineRule="auto"/>
        <w:ind w:left="0" w:right="334" w:firstLine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150C2C8B">
      <w:pPr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54765D1">
      <w:pPr>
        <w:ind w:firstLine="708"/>
        <w:jc w:val="left"/>
        <w:rPr>
          <w:lang w:val="ru-RU"/>
        </w:rPr>
      </w:pPr>
    </w:p>
    <w:p w14:paraId="5FDDAFDD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</w:p>
    <w:p w14:paraId="322EC3A1"/>
    <w:sectPr>
      <w:pgSz w:w="11906" w:h="16838"/>
      <w:pgMar w:top="1134" w:right="850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7A0A3"/>
    <w:multiLevelType w:val="multilevel"/>
    <w:tmpl w:val="A807A0A3"/>
    <w:lvl w:ilvl="0" w:tentative="0">
      <w:start w:val="1"/>
      <w:numFmt w:val="decimal"/>
      <w:lvlText w:val="%1."/>
      <w:lvlJc w:val="left"/>
      <w:pPr>
        <w:ind w:left="1417" w:hanging="360"/>
      </w:pPr>
    </w:lvl>
    <w:lvl w:ilvl="1" w:tentative="0">
      <w:start w:val="1"/>
      <w:numFmt w:val="lowerLetter"/>
      <w:lvlText w:val="%2."/>
      <w:lvlJc w:val="left"/>
      <w:pPr>
        <w:ind w:left="2137" w:hanging="360"/>
      </w:pPr>
    </w:lvl>
    <w:lvl w:ilvl="2" w:tentative="0">
      <w:start w:val="1"/>
      <w:numFmt w:val="lowerRoman"/>
      <w:lvlText w:val="%3."/>
      <w:lvlJc w:val="right"/>
      <w:pPr>
        <w:ind w:left="2857" w:hanging="180"/>
      </w:pPr>
    </w:lvl>
    <w:lvl w:ilvl="3" w:tentative="0">
      <w:start w:val="1"/>
      <w:numFmt w:val="decimal"/>
      <w:lvlText w:val="%4."/>
      <w:lvlJc w:val="left"/>
      <w:pPr>
        <w:ind w:left="3577" w:hanging="360"/>
      </w:pPr>
    </w:lvl>
    <w:lvl w:ilvl="4" w:tentative="0">
      <w:start w:val="1"/>
      <w:numFmt w:val="lowerLetter"/>
      <w:lvlText w:val="%5."/>
      <w:lvlJc w:val="left"/>
      <w:pPr>
        <w:ind w:left="4297" w:hanging="360"/>
      </w:pPr>
    </w:lvl>
    <w:lvl w:ilvl="5" w:tentative="0">
      <w:start w:val="1"/>
      <w:numFmt w:val="lowerRoman"/>
      <w:lvlText w:val="%6."/>
      <w:lvlJc w:val="right"/>
      <w:pPr>
        <w:ind w:left="5017" w:hanging="180"/>
      </w:pPr>
    </w:lvl>
    <w:lvl w:ilvl="6" w:tentative="0">
      <w:start w:val="1"/>
      <w:numFmt w:val="decimal"/>
      <w:lvlText w:val="%7."/>
      <w:lvlJc w:val="left"/>
      <w:pPr>
        <w:ind w:left="5737" w:hanging="360"/>
      </w:pPr>
    </w:lvl>
    <w:lvl w:ilvl="7" w:tentative="0">
      <w:start w:val="1"/>
      <w:numFmt w:val="lowerLetter"/>
      <w:lvlText w:val="%8."/>
      <w:lvlJc w:val="left"/>
      <w:pPr>
        <w:ind w:left="6457" w:hanging="360"/>
      </w:pPr>
    </w:lvl>
    <w:lvl w:ilvl="8" w:tentative="0">
      <w:start w:val="1"/>
      <w:numFmt w:val="lowerRoman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4D2D"/>
    <w:rsid w:val="0FFA6FF1"/>
    <w:rsid w:val="2DEA6EED"/>
    <w:rsid w:val="33ED5CAF"/>
    <w:rsid w:val="372E25D2"/>
    <w:rsid w:val="4B795ECB"/>
    <w:rsid w:val="5508624C"/>
    <w:rsid w:val="56674C4A"/>
    <w:rsid w:val="61EF4D33"/>
    <w:rsid w:val="6D3B72A8"/>
    <w:rsid w:val="6FA665A6"/>
    <w:rsid w:val="7048597B"/>
    <w:rsid w:val="7D933D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qFormat="1" w:uiPriority="39" w:semiHidden="0" w:name="toc 6"/>
    <w:lsdException w:uiPriority="39" w:semiHidden="0" w:name="toc 7"/>
    <w:lsdException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38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39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0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1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2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endnote text"/>
    <w:basedOn w:val="1"/>
    <w:link w:val="178"/>
    <w:semiHidden/>
    <w:unhideWhenUsed/>
    <w:uiPriority w:val="99"/>
    <w:pPr>
      <w:spacing w:after="0" w:line="240" w:lineRule="auto"/>
    </w:pPr>
    <w:rPr>
      <w:sz w:val="20"/>
    </w:rPr>
  </w:style>
  <w:style w:type="paragraph" w:styleId="17">
    <w:name w:val="caption"/>
    <w:basedOn w:val="1"/>
    <w:next w:val="1"/>
    <w:link w:val="51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footnote text"/>
    <w:basedOn w:val="1"/>
    <w:link w:val="177"/>
    <w:semiHidden/>
    <w:unhideWhenUsed/>
    <w:uiPriority w:val="99"/>
    <w:pPr>
      <w:spacing w:after="40" w:line="240" w:lineRule="auto"/>
    </w:pPr>
    <w:rPr>
      <w:sz w:val="18"/>
    </w:rPr>
  </w:style>
  <w:style w:type="paragraph" w:styleId="19">
    <w:name w:val="toc 8"/>
    <w:basedOn w:val="1"/>
    <w:next w:val="1"/>
    <w:unhideWhenUsed/>
    <w:uiPriority w:val="39"/>
    <w:pPr>
      <w:spacing w:after="57"/>
      <w:ind w:left="1984" w:right="0" w:firstLine="0"/>
    </w:pPr>
  </w:style>
  <w:style w:type="paragraph" w:styleId="20">
    <w:name w:val="header"/>
    <w:basedOn w:val="1"/>
    <w:link w:val="49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1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styleId="22">
    <w:name w:val="toc 7"/>
    <w:basedOn w:val="1"/>
    <w:next w:val="1"/>
    <w:unhideWhenUsed/>
    <w:uiPriority w:val="39"/>
    <w:pPr>
      <w:spacing w:after="57"/>
      <w:ind w:left="1701" w:right="0" w:firstLine="0"/>
    </w:pPr>
  </w:style>
  <w:style w:type="paragraph" w:styleId="23">
    <w:name w:val="toc 1"/>
    <w:basedOn w:val="1"/>
    <w:next w:val="1"/>
    <w:unhideWhenUsed/>
    <w:uiPriority w:val="39"/>
    <w:pPr>
      <w:spacing w:after="57"/>
      <w:ind w:left="0" w:right="0" w:firstLine="0"/>
    </w:pPr>
  </w:style>
  <w:style w:type="paragraph" w:styleId="24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25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6">
    <w:name w:val="toc 3"/>
    <w:basedOn w:val="1"/>
    <w:next w:val="1"/>
    <w:unhideWhenUsed/>
    <w:uiPriority w:val="39"/>
    <w:pPr>
      <w:spacing w:after="57"/>
      <w:ind w:left="567" w:right="0" w:firstLine="0"/>
    </w:pPr>
  </w:style>
  <w:style w:type="paragraph" w:styleId="27">
    <w:name w:val="toc 2"/>
    <w:basedOn w:val="1"/>
    <w:next w:val="1"/>
    <w:unhideWhenUsed/>
    <w:uiPriority w:val="39"/>
    <w:pPr>
      <w:spacing w:after="57"/>
      <w:ind w:left="283" w:right="0" w:firstLine="0"/>
    </w:pPr>
  </w:style>
  <w:style w:type="paragraph" w:styleId="28">
    <w:name w:val="toc 4"/>
    <w:basedOn w:val="1"/>
    <w:next w:val="1"/>
    <w:unhideWhenUsed/>
    <w:uiPriority w:val="39"/>
    <w:pPr>
      <w:spacing w:after="57"/>
      <w:ind w:left="850" w:right="0" w:firstLine="0"/>
    </w:pPr>
  </w:style>
  <w:style w:type="paragraph" w:styleId="29">
    <w:name w:val="toc 5"/>
    <w:basedOn w:val="1"/>
    <w:next w:val="1"/>
    <w:unhideWhenUsed/>
    <w:uiPriority w:val="39"/>
    <w:pPr>
      <w:spacing w:after="57"/>
      <w:ind w:left="1134" w:right="0" w:firstLine="0"/>
    </w:pPr>
  </w:style>
  <w:style w:type="paragraph" w:styleId="30">
    <w:name w:val="Title"/>
    <w:basedOn w:val="1"/>
    <w:next w:val="1"/>
    <w:link w:val="43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1">
    <w:name w:val="footer"/>
    <w:basedOn w:val="1"/>
    <w:link w:val="50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pPr>
      <w:spacing w:before="200" w:after="200"/>
    </w:pPr>
    <w:rPr>
      <w:sz w:val="24"/>
      <w:szCs w:val="24"/>
    </w:rPr>
  </w:style>
  <w:style w:type="table" w:styleId="33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4">
    <w:name w:val="Heading 1 Char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5">
    <w:name w:val="Heading 2 Char"/>
    <w:link w:val="3"/>
    <w:qFormat/>
    <w:uiPriority w:val="9"/>
    <w:rPr>
      <w:rFonts w:ascii="Arial" w:hAnsi="Arial" w:eastAsia="Arial" w:cs="Arial"/>
      <w:sz w:val="34"/>
    </w:rPr>
  </w:style>
  <w:style w:type="character" w:customStyle="1" w:styleId="36">
    <w:name w:val="Heading 3 Char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7">
    <w:name w:val="Heading 4 Char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8">
    <w:name w:val="Heading 5 Char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39">
    <w:name w:val="Heading 6 Char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0">
    <w:name w:val="Heading 7 Char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1">
    <w:name w:val="Heading 8 Char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2">
    <w:name w:val="Heading 9 Char"/>
    <w:link w:val="10"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43">
    <w:name w:val="Title Char"/>
    <w:link w:val="30"/>
    <w:qFormat/>
    <w:uiPriority w:val="10"/>
    <w:rPr>
      <w:sz w:val="48"/>
      <w:szCs w:val="48"/>
    </w:rPr>
  </w:style>
  <w:style w:type="character" w:customStyle="1" w:styleId="44">
    <w:name w:val="Subtitle Char"/>
    <w:link w:val="32"/>
    <w:qFormat/>
    <w:uiPriority w:val="11"/>
    <w:rPr>
      <w:sz w:val="24"/>
      <w:szCs w:val="24"/>
    </w:rPr>
  </w:style>
  <w:style w:type="paragraph" w:styleId="45">
    <w:name w:val="Quote"/>
    <w:basedOn w:val="1"/>
    <w:next w:val="1"/>
    <w:link w:val="46"/>
    <w:qFormat/>
    <w:uiPriority w:val="29"/>
    <w:pPr>
      <w:ind w:left="720" w:right="720"/>
    </w:pPr>
    <w:rPr>
      <w:i/>
    </w:rPr>
  </w:style>
  <w:style w:type="character" w:customStyle="1" w:styleId="46">
    <w:name w:val="Quote Char"/>
    <w:link w:val="45"/>
    <w:qFormat/>
    <w:uiPriority w:val="29"/>
    <w:rPr>
      <w:i/>
    </w:rPr>
  </w:style>
  <w:style w:type="paragraph" w:styleId="47">
    <w:name w:val="Intense Quote"/>
    <w:basedOn w:val="1"/>
    <w:next w:val="1"/>
    <w:link w:val="48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48">
    <w:name w:val="Intense Quote Char"/>
    <w:link w:val="47"/>
    <w:qFormat/>
    <w:uiPriority w:val="30"/>
    <w:rPr>
      <w:i/>
    </w:rPr>
  </w:style>
  <w:style w:type="character" w:customStyle="1" w:styleId="49">
    <w:name w:val="Header Char"/>
    <w:link w:val="20"/>
    <w:qFormat/>
    <w:uiPriority w:val="99"/>
  </w:style>
  <w:style w:type="character" w:customStyle="1" w:styleId="50">
    <w:name w:val="Footer Char"/>
    <w:link w:val="31"/>
    <w:qFormat/>
    <w:uiPriority w:val="99"/>
  </w:style>
  <w:style w:type="character" w:customStyle="1" w:styleId="51">
    <w:name w:val="Caption Char"/>
    <w:link w:val="17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customStyle="1" w:styleId="52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4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5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59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60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61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62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63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64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65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6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7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8">
    <w:name w:val="Grid Table 2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9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0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1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2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3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74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75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6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7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8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9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0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81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82">
    <w:name w:val="Grid Table 4 - Accent 3"/>
    <w:basedOn w:val="12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83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84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85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86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7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88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89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90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91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92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93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4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6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7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8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9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0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6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107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8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109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110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111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112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13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14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5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6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7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8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19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0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1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2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3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24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25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26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27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28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29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30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31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32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33">
    <w:name w:val="List Table 4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34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35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6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37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38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39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40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41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42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3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44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5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6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0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51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7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8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9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0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1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2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63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4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65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66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7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8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9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70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1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72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73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74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75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76">
    <w:name w:val="Bordered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customStyle="1" w:styleId="177">
    <w:name w:val="Footnote Text Char"/>
    <w:link w:val="18"/>
    <w:uiPriority w:val="99"/>
    <w:rPr>
      <w:sz w:val="18"/>
    </w:rPr>
  </w:style>
  <w:style w:type="character" w:customStyle="1" w:styleId="178">
    <w:name w:val="Endnote Text Char"/>
    <w:link w:val="16"/>
    <w:uiPriority w:val="99"/>
    <w:rPr>
      <w:sz w:val="20"/>
    </w:rPr>
  </w:style>
  <w:style w:type="paragraph" w:customStyle="1" w:styleId="179">
    <w:name w:val="TOC Heading"/>
    <w:unhideWhenUsed/>
    <w:uiPriority w:val="39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paragraph" w:styleId="1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glossaryDocument" Target="glossary/document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a5b763d-d06d-41b9-a81e-669606f9d655}"/>
      </w:docPartPr>
      <w:docPartBody>
        <w:p w14:paraId="5071903D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name="caption"/>
    <w:lsdException w:qFormat="1" w:uiPriority="99" w:semiHidden="0" w:name="table of figures"/>
    <w:lsdException w:qFormat="1" w:uiPriority="99" w:semiHidden="0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uiPriority="1" w:name="Default Paragraph Font"/>
    <w:lsdException w:qFormat="1" w:unhideWhenUsed="0" w:uiPriority="11" w:semiHidden="0" w:name="Subtitle"/>
    <w:lsdException w:qFormat="1" w:uiPriority="99" w:semiHidden="0" w:name="Hyperlink"/>
    <w:lsdException w:qFormat="1" w:uiPriority="99" w:name="Normal Table"/>
    <w:lsdException w:unhideWhenUsed="0" w:uiPriority="59" w:semiHidden="0" w:name="Table Grid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16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17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18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19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20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21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Heading 1 Char"/>
    <w:basedOn w:val="11"/>
    <w:link w:val="2"/>
    <w:uiPriority w:val="9"/>
    <w:rPr>
      <w:rFonts w:ascii="Arial" w:hAnsi="Arial" w:eastAsia="Arial" w:cs="Arial"/>
      <w:sz w:val="40"/>
      <w:szCs w:val="40"/>
    </w:rPr>
  </w:style>
  <w:style w:type="character" w:customStyle="1" w:styleId="14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15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16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17">
    <w:name w:val="Heading 5 Char"/>
    <w:basedOn w:val="11"/>
    <w:link w:val="6"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18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19">
    <w:name w:val="Heading 7 Char"/>
    <w:basedOn w:val="11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20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21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styleId="23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24">
    <w:name w:val="Title"/>
    <w:basedOn w:val="1"/>
    <w:next w:val="1"/>
    <w:link w:val="25"/>
    <w:qFormat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25">
    <w:name w:val="Title Char"/>
    <w:basedOn w:val="11"/>
    <w:link w:val="24"/>
    <w:qFormat/>
    <w:uiPriority w:val="10"/>
    <w:rPr>
      <w:sz w:val="48"/>
      <w:szCs w:val="48"/>
    </w:rPr>
  </w:style>
  <w:style w:type="paragraph" w:styleId="26">
    <w:name w:val="Subtitle"/>
    <w:basedOn w:val="1"/>
    <w:next w:val="1"/>
    <w:link w:val="27"/>
    <w:qFormat/>
    <w:uiPriority w:val="11"/>
    <w:pPr>
      <w:spacing w:before="200" w:after="200"/>
    </w:pPr>
    <w:rPr>
      <w:sz w:val="24"/>
      <w:szCs w:val="24"/>
    </w:rPr>
  </w:style>
  <w:style w:type="character" w:customStyle="1" w:styleId="27">
    <w:name w:val="Subtitle Char"/>
    <w:basedOn w:val="11"/>
    <w:link w:val="26"/>
    <w:qFormat/>
    <w:uiPriority w:val="11"/>
    <w:rPr>
      <w:sz w:val="24"/>
      <w:szCs w:val="24"/>
    </w:rPr>
  </w:style>
  <w:style w:type="paragraph" w:styleId="28">
    <w:name w:val="Quote"/>
    <w:basedOn w:val="1"/>
    <w:next w:val="1"/>
    <w:link w:val="29"/>
    <w:qFormat/>
    <w:uiPriority w:val="29"/>
    <w:pPr>
      <w:ind w:left="720" w:right="720"/>
    </w:pPr>
    <w:rPr>
      <w:i/>
    </w:rPr>
  </w:style>
  <w:style w:type="character" w:customStyle="1" w:styleId="29">
    <w:name w:val="Quote Char"/>
    <w:link w:val="28"/>
    <w:qFormat/>
    <w:uiPriority w:val="29"/>
    <w:rPr>
      <w:i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31">
    <w:name w:val="Intense Quote Char"/>
    <w:link w:val="30"/>
    <w:qFormat/>
    <w:uiPriority w:val="30"/>
    <w:rPr>
      <w:i/>
    </w:rPr>
  </w:style>
  <w:style w:type="paragraph" w:styleId="32">
    <w:name w:val="header"/>
    <w:basedOn w:val="1"/>
    <w:link w:val="33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3">
    <w:name w:val="Header Char"/>
    <w:basedOn w:val="11"/>
    <w:link w:val="32"/>
    <w:qFormat/>
    <w:uiPriority w:val="99"/>
  </w:style>
  <w:style w:type="paragraph" w:styleId="34">
    <w:name w:val="footer"/>
    <w:basedOn w:val="1"/>
    <w:link w:val="35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5">
    <w:name w:val="Footer Char"/>
    <w:basedOn w:val="11"/>
    <w:link w:val="34"/>
    <w:uiPriority w:val="99"/>
  </w:style>
  <w:style w:type="paragraph" w:styleId="36">
    <w:name w:val="caption"/>
    <w:basedOn w:val="1"/>
    <w:next w:val="1"/>
    <w:link w:val="37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customStyle="1" w:styleId="37">
    <w:name w:val="Caption Char"/>
    <w:basedOn w:val="11"/>
    <w:link w:val="36"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41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42">
    <w:name w:val="Plain Table 3"/>
    <w:basedOn w:val="12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3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4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5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46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47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48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49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50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51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52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53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54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55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56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57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58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59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0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1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2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3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64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65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66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68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9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0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1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2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3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74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75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76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77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78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79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80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1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2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83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84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85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6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7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8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9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0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1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2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3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94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95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96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97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98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99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00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01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02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03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04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05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06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07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08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09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10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11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12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13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14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15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7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8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9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20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1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2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23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24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25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26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27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28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29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30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1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2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33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34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35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36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37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8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9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0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1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2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3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44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45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46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47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48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49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0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1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2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3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54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55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56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7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58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59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60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61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62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63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styleId="164">
    <w:name w:val="Hyperlink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5">
    <w:name w:val="footnote text"/>
    <w:basedOn w:val="1"/>
    <w:link w:val="166"/>
    <w:semiHidden/>
    <w:unhideWhenUsed/>
    <w:qFormat/>
    <w:uiPriority w:val="99"/>
    <w:pPr>
      <w:spacing w:after="40" w:line="240" w:lineRule="auto"/>
    </w:pPr>
    <w:rPr>
      <w:sz w:val="18"/>
    </w:rPr>
  </w:style>
  <w:style w:type="character" w:customStyle="1" w:styleId="166">
    <w:name w:val="Footnote Text Char"/>
    <w:link w:val="165"/>
    <w:qFormat/>
    <w:uiPriority w:val="99"/>
    <w:rPr>
      <w:sz w:val="18"/>
    </w:rPr>
  </w:style>
  <w:style w:type="character" w:styleId="167">
    <w:name w:val="footnote reference"/>
    <w:basedOn w:val="11"/>
    <w:unhideWhenUsed/>
    <w:qFormat/>
    <w:uiPriority w:val="99"/>
    <w:rPr>
      <w:vertAlign w:val="superscript"/>
    </w:rPr>
  </w:style>
  <w:style w:type="paragraph" w:styleId="168">
    <w:name w:val="endnote text"/>
    <w:basedOn w:val="1"/>
    <w:link w:val="169"/>
    <w:semiHidden/>
    <w:unhideWhenUsed/>
    <w:qFormat/>
    <w:uiPriority w:val="99"/>
    <w:pPr>
      <w:spacing w:after="0" w:line="240" w:lineRule="auto"/>
    </w:pPr>
    <w:rPr>
      <w:sz w:val="20"/>
    </w:rPr>
  </w:style>
  <w:style w:type="character" w:customStyle="1" w:styleId="169">
    <w:name w:val="Endnote Text Char"/>
    <w:link w:val="168"/>
    <w:qFormat/>
    <w:uiPriority w:val="99"/>
    <w:rPr>
      <w:sz w:val="20"/>
    </w:rPr>
  </w:style>
  <w:style w:type="character" w:styleId="170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71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172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173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174">
    <w:name w:val="toc 4"/>
    <w:basedOn w:val="1"/>
    <w:next w:val="1"/>
    <w:unhideWhenUsed/>
    <w:qFormat/>
    <w:uiPriority w:val="39"/>
    <w:pPr>
      <w:spacing w:after="57"/>
      <w:ind w:left="850" w:right="0" w:firstLine="0"/>
    </w:pPr>
  </w:style>
  <w:style w:type="paragraph" w:styleId="175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176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177">
    <w:name w:val="toc 7"/>
    <w:basedOn w:val="1"/>
    <w:next w:val="1"/>
    <w:unhideWhenUsed/>
    <w:qFormat/>
    <w:uiPriority w:val="39"/>
    <w:pPr>
      <w:spacing w:after="57"/>
      <w:ind w:left="1701" w:right="0" w:firstLine="0"/>
    </w:pPr>
  </w:style>
  <w:style w:type="paragraph" w:styleId="178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179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customStyle="1" w:styleId="180">
    <w:name w:val="TOC Heading"/>
    <w:unhideWhenUsed/>
    <w:qFormat/>
    <w:uiPriority w:val="39"/>
    <w:rPr>
      <w:rFonts w:asciiTheme="minorHAnsi" w:hAnsiTheme="minorHAnsi" w:eastAsiaTheme="minorEastAsia" w:cstheme="minorBidi"/>
      <w:sz w:val="21"/>
      <w:szCs w:val="22"/>
    </w:rPr>
  </w:style>
  <w:style w:type="paragraph" w:styleId="181">
    <w:name w:val="table of figures"/>
    <w:basedOn w:val="1"/>
    <w:next w:val="1"/>
    <w:unhideWhenUsed/>
    <w:qFormat/>
    <w:uiPriority w:val="99"/>
    <w:pPr>
      <w:spacing w:after="0" w:afterAutospacing="0"/>
    </w:pPr>
  </w:style>
</w:style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TotalTime>17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2025-12-18T18:54:00Z</dcterms:created>
  <dc:creator>Вячеслав Шебанов</dc:creator>
  <cp:lastModifiedBy>Вячеслав Шебанов</cp:lastModifiedBy>
  <dcterms:modified xsi:type="dcterms:W3CDTF">2025-12-19T14:18:05Z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4E679A6770AF420F81C70952CCD79CEB_12</vt:lpwstr>
  </property>
</Properties>
</file>