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8CD1CB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-718820</wp:posOffset>
            </wp:positionV>
            <wp:extent cx="7559675" cy="10690225"/>
            <wp:effectExtent l="0" t="0" r="14605" b="8255"/>
            <wp:wrapNone/>
            <wp:docPr id="1" name="Рисунок 1" descr="C:/Users/Machcreator/Pictures/Screenshots/Снимок экрана 2025-12-18 221243.pngСнимок экрана 2025-12-18 221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/Users/Machcreator/Pictures/Screenshots/Снимок экрана 2025-12-18 221243.pngСнимок экрана 2025-12-18 221243"/>
                    <pic:cNvPicPr>
                      <a:picLocks noChangeAspect="1"/>
                    </pic:cNvPicPr>
                  </pic:nvPicPr>
                  <pic:blipFill>
                    <a:blip r:embed="rId6"/>
                    <a:srcRect l="1399" r="1399"/>
                    <a:stretch>
                      <a:fillRect/>
                    </a:stretch>
                  </pic:blipFill>
                  <pic:spPr>
                    <a:xfrm>
                      <a:off x="0" y="0"/>
                      <a:ext cx="7559409" cy="10690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55A251"/>
    <w:p w14:paraId="68963F2B"/>
    <w:p w14:paraId="54636BEC"/>
    <w:p w14:paraId="37FEFE46"/>
    <w:p w14:paraId="4598BD2F"/>
    <w:p w14:paraId="559F7C3D"/>
    <w:p w14:paraId="11D1190E"/>
    <w:p w14:paraId="00890B1D"/>
    <w:p w14:paraId="57A1A81C"/>
    <w:p w14:paraId="77C32760"/>
    <w:p w14:paraId="5E49DAC3"/>
    <w:p w14:paraId="124E43E2"/>
    <w:p w14:paraId="090799AA"/>
    <w:p w14:paraId="7300EF9F"/>
    <w:p w14:paraId="148D6625"/>
    <w:p w14:paraId="797FE4A7"/>
    <w:p w14:paraId="44F33D94"/>
    <w:p w14:paraId="16B4494E"/>
    <w:p w14:paraId="69177468"/>
    <w:p w14:paraId="3C8BCCF2"/>
    <w:p w14:paraId="40B2D18F"/>
    <w:p w14:paraId="12FE5FB2"/>
    <w:p w14:paraId="44E31D9D"/>
    <w:p w14:paraId="6B776FF1"/>
    <w:p w14:paraId="61CBE1B7"/>
    <w:p w14:paraId="2D2EE370"/>
    <w:p w14:paraId="78F1C9E8"/>
    <w:p w14:paraId="42ABED87"/>
    <w:p w14:paraId="68C07288"/>
    <w:p w14:paraId="27A2560C">
      <w:pPr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Оглавление</w:t>
      </w:r>
    </w:p>
    <w:sdt>
      <w:sdtPr>
        <w:id w:val="147458786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7AA1B67C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TOC \o "1-9" \h 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"_Toc1" \o "#_Toc1"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ВВЕДЕНИЕ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477A2AD4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"_Toc2" \o "#_Toc2"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1. АНАЛИЗ ПРЕДМЕТНОЙ ОБЛАСТИ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_Toc2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4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1E67550D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"_Toc3" \o "#_Toc3"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1.1. Датасет 1600000 твитов Sentiment140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_Toc3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4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2ED49C06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"_Toc4" \o "#_Toc4"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1.2. Очищение 1600000 твитов от мусора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_Toc4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5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07877EEC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"_Toc5" \o "#_Toc5"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1.3. Ансамблевые методы Voiting и Stacking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_Toc5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7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3C4388E0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"_Toc6" \o "#_Toc6"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2. ОБУЧЕНИЕ АНСАМБЛЕВЫХ МОДЕЛЕЙ ДЛЯ ОЦЕНКИ ЭМОЦИОНАЛЬНОЙ ТОНАЛЬНОСТИ ТВИТОВ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_Toc6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5BE5687F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"_Toc7" \o "#_Toc7"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2.1. Выбор стартовых гиперпараметров, создание выбранных моделей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_Toc7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572626D7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14:ligatures w14:val="none"/>
            </w:rPr>
          </w:pPr>
          <w:r>
            <w:fldChar w:fldCharType="begin"/>
          </w:r>
          <w:r>
            <w:instrText xml:space="preserve"> HYPERLINK \l "_Toc8" \o "#_Toc8"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2.2. Реализация стратифицированного разбиения, для подготовки тестовой и обучающей выборок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_Toc8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10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401B8A98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"_Toc9" \o "#_Toc9"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2.3. Обучение моделей TF-IDF с добавленными фича-инжиниринг признаками, сравнение результатов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_Toc9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11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24A92B9C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"_Toc10" \o "#_Toc10"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3. ПРОВЕДЕНИЕ ТЕСТИРОВАНИЯ СЕМИ ОБУЧЕННЫХ МОДЕЛЕЙ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_Toc10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0E713817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"_Toc11" \o "#_Toc11"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 xml:space="preserve">3.1. 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zh-CN"/>
            </w:rPr>
            <w:t>Проведение тестирования обученных моделей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_Toc11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6DC825AF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"_Toc12" \o "#_Toc12"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zh-CN"/>
            </w:rPr>
            <w:t>3.2. Оптимизация моделей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_Toc12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15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15D2E61C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"_Toc13" \o "#_Toc13"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ЗАКЛЮЧЕНИЕ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_Toc13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16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3EBBA64A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"_Toc14" \o "#_Toc14"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 w:eastAsia="ru-RU"/>
            </w:rPr>
            <w:t xml:space="preserve">СПИСОК ЛИТЕРАТУРЫ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_Toc14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758A128D">
          <w:pPr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</w:sdtContent>
    </w:sdt>
    <w:p w14:paraId="3801F4C5">
      <w:pPr>
        <w:jc w:val="center"/>
      </w:pPr>
    </w:p>
    <w:p w14:paraId="5AE20827">
      <w:pPr>
        <w:jc w:val="center"/>
      </w:pPr>
    </w:p>
    <w:p w14:paraId="23EEFED3">
      <w:pPr>
        <w:jc w:val="center"/>
      </w:pPr>
    </w:p>
    <w:p w14:paraId="131FDE6B">
      <w:pPr>
        <w:jc w:val="center"/>
      </w:pPr>
    </w:p>
    <w:p w14:paraId="17D1B66D">
      <w:pPr>
        <w:jc w:val="center"/>
      </w:pPr>
    </w:p>
    <w:p w14:paraId="1001DD59">
      <w:pPr>
        <w:jc w:val="center"/>
      </w:pPr>
    </w:p>
    <w:p w14:paraId="7E91EDB8">
      <w:pPr>
        <w:jc w:val="center"/>
      </w:pPr>
    </w:p>
    <w:p w14:paraId="0513E702">
      <w:pPr>
        <w:jc w:val="center"/>
      </w:pPr>
    </w:p>
    <w:p w14:paraId="18729E98">
      <w:pPr>
        <w:jc w:val="center"/>
      </w:pPr>
    </w:p>
    <w:p w14:paraId="6E8A50CC">
      <w:pPr>
        <w:jc w:val="center"/>
      </w:pPr>
    </w:p>
    <w:p w14:paraId="353ADDFD">
      <w:pPr>
        <w:jc w:val="center"/>
      </w:pPr>
    </w:p>
    <w:p w14:paraId="26BD66E0">
      <w:pPr>
        <w:jc w:val="center"/>
      </w:pPr>
    </w:p>
    <w:p w14:paraId="56929303">
      <w:pPr>
        <w:jc w:val="left"/>
      </w:pPr>
    </w:p>
    <w:p w14:paraId="28FC7F56">
      <w:pPr>
        <w:pStyle w:val="2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0" w:name="_Toc1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ВВЕДЕНИЕ</w:t>
      </w:r>
      <w:bookmarkEnd w:id="0"/>
    </w:p>
    <w:p w14:paraId="3E457953"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Выбранная предметная область: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применение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ансамблевых методов машинного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прогнозирования кредитного дефолта клиентов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.  </w:t>
      </w:r>
    </w:p>
    <w:p w14:paraId="3FA3AAA3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Актуальность работы выражена в больших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объёмах работ потребительского кредитования в последние годы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увеличением доли просроченной задолжности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нужда в инструментах автоматизции процесса предсказания кредитного риска возросла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инструменты автоматизации позволяют оптимизировать и ускорить процессы принятия решений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что необходимо в условиях растущей конкуренции и цифровой трансформации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</w:p>
    <w:p w14:paraId="37CDF97E">
      <w:pPr>
        <w:ind w:firstLine="708" w:firstLineChars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Рассматриваемая основная прикладная задача, решаемая в рамках выбранной предметной области бинарная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классификация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два класса допускающие дефолт и не допускающие дефолт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</w:p>
    <w:p w14:paraId="1EB83123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Цели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работы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построение ансамблированной модели машинного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обеспечивающей высокую точность прогнозирования вероятности дефолта для клиента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Задачами курсовой работы являются: </w:t>
      </w:r>
    </w:p>
    <w:p w14:paraId="7A9AB111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Анализ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возможных видов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реализации бинарной классификации решающей проблему автоматизации предсказания появления дефолта у клиента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62A65AFA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Обзор подходящих ансамблеевых методов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оптимизации обучения и улучшения качества бинарного предсказания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6C8B3370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Формирования тестовой и обучающей выборки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из набора данных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51495090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Проверка работоспособности модели и оценка адекватности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3C755208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Оптимизация полученных моделей при помощи подбора правильных гиперпараметров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увеличения качества предсказания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673841A2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Работа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предобработкой датасета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очистка от мусора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Инициализирован Git Hub: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instrText xml:space="preserve"> HYPERLINK "https://github.com/Slavik993/KR_Orehov_ML" </w:instrTex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Slavik993/KR_Orehov_ML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end"/>
      </w:r>
    </w:p>
    <w:p w14:paraId="3905054B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</w:p>
    <w:p w14:paraId="6A4A61A4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</w:p>
    <w:p w14:paraId="1D6B3F80">
      <w:pPr>
        <w:pStyle w:val="2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1" w:name="_Toc2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1. АНАЛИЗ ПРЕДМЕТНОЙ ОБЛАСТИ</w:t>
      </w:r>
      <w:bookmarkEnd w:id="1"/>
    </w:p>
    <w:p w14:paraId="19069379">
      <w:pPr>
        <w:pStyle w:val="3"/>
        <w:rPr>
          <w:rFonts w:hint="default"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bookmarkStart w:id="2" w:name="_Toc3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1.1. Датасет </w:t>
      </w:r>
      <w:bookmarkEnd w:id="2"/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  <w:t>Default of Credit Card Clients Dataset</w:t>
      </w:r>
    </w:p>
    <w:p w14:paraId="1177DD8E">
      <w:pPr>
        <w:ind w:firstLine="0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решения задачи бинарной классификации кредитного дефолта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выбран датасет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Default of Credit Card Clients Dataset,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скачан с репозитория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UCI Machine Learning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Repository.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 датасете содержится информация о тайваньских клиентах за период 2005 года и отражает вероятность дефолта по кредитным картам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30572EE4">
      <w:pPr>
        <w:ind w:firstLine="0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 датасете содержится тридцать тыщ записей с двадцатью тремя признаками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одним идентификатором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 одной целевой переменной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Список признаков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сумма предоставляемого кредита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уровень образования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семейное положение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возраст клиента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статус погашения кредита за последние шесть месяцев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сумма внесенного платежа за последние шесть месяцев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целевая переменная означающая дефолт в следующем месяце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5F4B2C11">
      <w:pPr>
        <w:ind w:firstLine="0"/>
        <w:jc w:val="center"/>
      </w:pPr>
      <w:r>
        <w:drawing>
          <wp:inline distT="0" distB="0" distL="114300" distR="114300">
            <wp:extent cx="5433060" cy="2293620"/>
            <wp:effectExtent l="0" t="0" r="7620" b="7620"/>
            <wp:docPr id="1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306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EA5B2">
      <w:pPr>
        <w:ind w:firstLine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Датасет после загрузки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6C0B727B">
      <w:pPr>
        <w:pStyle w:val="3"/>
        <w:rPr>
          <w:highlight w:val="none"/>
          <w:lang w:val="ru-RU"/>
        </w:rPr>
      </w:pPr>
      <w:bookmarkStart w:id="3" w:name="_Toc4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1.2. Очищение 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>датасета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от мусора</w:t>
      </w:r>
      <w:bookmarkEnd w:id="3"/>
    </w:p>
    <w:p w14:paraId="36E92C17">
      <w:pPr>
        <w:tabs>
          <w:tab w:val="left" w:pos="1226"/>
        </w:tabs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lang w:val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После очистки датасет увеличился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с пяти строк до восьми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данные чистые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нет пропусков и дубликатов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анализ был проведен с помощью кода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очистки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Больше строк стало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благодаря добавлению дополнительных признаков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статус текущего счета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продолжительность кредита в месяцах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кредитная история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цель кредита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сумма кредита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сберегательный счет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текущая занятость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процент от дохода на выплаты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пол и личный статус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поручитель или должник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проживает с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имеет имущество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возраст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другие планы расрочки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жильё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количество кредитов в банке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работа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телефон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иностранец или местный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78E9DE9B">
      <w:pPr>
        <w:tabs>
          <w:tab w:val="left" w:pos="1226"/>
        </w:tabs>
        <w:jc w:val="center"/>
        <w:rPr>
          <w:highlight w:val="none"/>
          <w:lang w:val="ru-RU"/>
        </w:rPr>
      </w:pPr>
      <w:r>
        <w:drawing>
          <wp:inline distT="0" distB="0" distL="114300" distR="114300">
            <wp:extent cx="3837940" cy="1935480"/>
            <wp:effectExtent l="0" t="0" r="2540" b="0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794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2A17E">
      <w:pPr>
        <w:jc w:val="center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2. Датасет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после очистки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</w:p>
    <w:p w14:paraId="03C7A01B">
      <w:pPr>
        <w:pStyle w:val="3"/>
        <w:rPr>
          <w:rFonts w:hint="default"/>
          <w:lang w:val="ru-RU"/>
        </w:rPr>
      </w:pPr>
      <w:bookmarkStart w:id="4" w:name="_Toc5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1.3. Ансамблевые методы</w:t>
      </w:r>
      <w:bookmarkEnd w:id="4"/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обзор</w:t>
      </w:r>
    </w:p>
    <w:p w14:paraId="1E7BFA3E">
      <w:pPr>
        <w:tabs>
          <w:tab w:val="left" w:pos="1226"/>
        </w:tabs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/>
          <w:highlight w:val="none"/>
          <w:lang w:val="ru-RU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Bagging -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парралельное обучение независимых моделей на случайных подвыборках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4A5D46FC">
      <w:pPr>
        <w:tabs>
          <w:tab w:val="left" w:pos="1226"/>
        </w:tabs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RandomForest -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похож на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Bagging,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но с дополнительным случайным выбором признаков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на каждом узле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разнообразия и снижения корреляции между деревьями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73BF162F">
      <w:pPr>
        <w:tabs>
          <w:tab w:val="left" w:pos="1226"/>
        </w:tabs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Boosting -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обучение моделей последовательно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следующая модель решает проблемы остальных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0F1FFD25">
      <w:pPr>
        <w:tabs>
          <w:tab w:val="left" w:pos="1226"/>
        </w:tabs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Voiting Classifier -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объединяет предсказания разных моделей путём жёсткого или мягкого голосования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7BB34DA9">
      <w:pPr>
        <w:tabs>
          <w:tab w:val="left" w:pos="1226"/>
        </w:tabs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ab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Stacking -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двухуровневый ансамбль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обучение на исходных данных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предсказания базовых моделей становятся признаками для предсказания мета-модели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55BD3B6F">
      <w:pPr>
        <w:tabs>
          <w:tab w:val="left" w:pos="1226"/>
        </w:tabs>
        <w:jc w:val="righ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Таблица 1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Сравнение методов для задачи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кредитного дефолта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3"/>
        <w:gridCol w:w="1593"/>
        <w:gridCol w:w="1588"/>
        <w:gridCol w:w="1594"/>
        <w:gridCol w:w="1644"/>
        <w:gridCol w:w="1569"/>
      </w:tblGrid>
      <w:tr w14:paraId="39431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5" w:type="dxa"/>
          </w:tcPr>
          <w:p w14:paraId="2BFA5C12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Метод</w:t>
            </w:r>
          </w:p>
        </w:tc>
        <w:tc>
          <w:tcPr>
            <w:tcW w:w="1595" w:type="dxa"/>
          </w:tcPr>
          <w:p w14:paraId="26CC5E6B">
            <w:pPr>
              <w:tabs>
                <w:tab w:val="left" w:pos="1226"/>
              </w:tabs>
              <w:wordWrap w:val="0"/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Снижает дисперсию</w:t>
            </w:r>
          </w:p>
        </w:tc>
        <w:tc>
          <w:tcPr>
            <w:tcW w:w="1595" w:type="dxa"/>
          </w:tcPr>
          <w:p w14:paraId="0A3BA99B">
            <w:pPr>
              <w:tabs>
                <w:tab w:val="left" w:pos="1226"/>
              </w:tabs>
              <w:wordWrap w:val="0"/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Снижает смещение</w:t>
            </w:r>
          </w:p>
        </w:tc>
        <w:tc>
          <w:tcPr>
            <w:tcW w:w="1595" w:type="dxa"/>
          </w:tcPr>
          <w:p w14:paraId="302B42AE">
            <w:pPr>
              <w:tabs>
                <w:tab w:val="left" w:pos="1226"/>
              </w:tabs>
              <w:wordWrap w:val="0"/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Устойчив к дисбалансу</w:t>
            </w:r>
          </w:p>
        </w:tc>
        <w:tc>
          <w:tcPr>
            <w:tcW w:w="1595" w:type="dxa"/>
          </w:tcPr>
          <w:p w14:paraId="73B27A03">
            <w:pPr>
              <w:tabs>
                <w:tab w:val="left" w:pos="1226"/>
              </w:tabs>
              <w:wordWrap w:val="0"/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Сложность вычисления</w:t>
            </w:r>
          </w:p>
        </w:tc>
        <w:tc>
          <w:tcPr>
            <w:tcW w:w="1596" w:type="dxa"/>
          </w:tcPr>
          <w:p w14:paraId="30E9EFF4">
            <w:pPr>
              <w:tabs>
                <w:tab w:val="left" w:pos="1226"/>
              </w:tabs>
              <w:wordWrap w:val="0"/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 xml:space="preserve">Ожидаемая метрика </w:t>
            </w: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  <w:t>AUC</w:t>
            </w:r>
          </w:p>
        </w:tc>
      </w:tr>
      <w:tr w14:paraId="645B9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5" w:type="dxa"/>
          </w:tcPr>
          <w:p w14:paraId="6801821F">
            <w:pPr>
              <w:tabs>
                <w:tab w:val="left" w:pos="1226"/>
              </w:tabs>
              <w:wordWrap w:val="0"/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  <w:t>Random Forest</w:t>
            </w:r>
          </w:p>
        </w:tc>
        <w:tc>
          <w:tcPr>
            <w:tcW w:w="1595" w:type="dxa"/>
          </w:tcPr>
          <w:p w14:paraId="3CAC9138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Высокая</w:t>
            </w:r>
          </w:p>
        </w:tc>
        <w:tc>
          <w:tcPr>
            <w:tcW w:w="1595" w:type="dxa"/>
          </w:tcPr>
          <w:p w14:paraId="552E51F6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Средняя</w:t>
            </w:r>
          </w:p>
        </w:tc>
        <w:tc>
          <w:tcPr>
            <w:tcW w:w="1595" w:type="dxa"/>
          </w:tcPr>
          <w:p w14:paraId="137E47D1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Средняя</w:t>
            </w:r>
          </w:p>
        </w:tc>
        <w:tc>
          <w:tcPr>
            <w:tcW w:w="1595" w:type="dxa"/>
          </w:tcPr>
          <w:p w14:paraId="16E395FE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Средняя</w:t>
            </w:r>
          </w:p>
        </w:tc>
        <w:tc>
          <w:tcPr>
            <w:tcW w:w="1596" w:type="dxa"/>
          </w:tcPr>
          <w:p w14:paraId="7CF28CE9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0</w:t>
            </w: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  <w:t>,85-0,90</w:t>
            </w:r>
          </w:p>
        </w:tc>
      </w:tr>
      <w:tr w14:paraId="530B4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5" w:type="dxa"/>
          </w:tcPr>
          <w:p w14:paraId="12E9966F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  <w:t>XGBoost</w:t>
            </w:r>
          </w:p>
        </w:tc>
        <w:tc>
          <w:tcPr>
            <w:tcW w:w="1595" w:type="dxa"/>
          </w:tcPr>
          <w:p w14:paraId="1DE05EEC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Средняя</w:t>
            </w:r>
          </w:p>
        </w:tc>
        <w:tc>
          <w:tcPr>
            <w:tcW w:w="1595" w:type="dxa"/>
          </w:tcPr>
          <w:p w14:paraId="38103A8A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Высокая</w:t>
            </w:r>
          </w:p>
        </w:tc>
        <w:tc>
          <w:tcPr>
            <w:tcW w:w="1595" w:type="dxa"/>
          </w:tcPr>
          <w:p w14:paraId="70ADD6AB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Высокая</w:t>
            </w:r>
          </w:p>
        </w:tc>
        <w:tc>
          <w:tcPr>
            <w:tcW w:w="1595" w:type="dxa"/>
          </w:tcPr>
          <w:p w14:paraId="78FC655F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Высокая</w:t>
            </w:r>
          </w:p>
        </w:tc>
        <w:tc>
          <w:tcPr>
            <w:tcW w:w="1596" w:type="dxa"/>
          </w:tcPr>
          <w:p w14:paraId="4CC70A95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  <w:t>0,88-0,92</w:t>
            </w:r>
          </w:p>
        </w:tc>
      </w:tr>
      <w:tr w14:paraId="3C056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5" w:type="dxa"/>
          </w:tcPr>
          <w:p w14:paraId="5CA56DEE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  <w:t>Voiting</w:t>
            </w:r>
          </w:p>
        </w:tc>
        <w:tc>
          <w:tcPr>
            <w:tcW w:w="1595" w:type="dxa"/>
          </w:tcPr>
          <w:p w14:paraId="7A833E40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Средняя</w:t>
            </w:r>
          </w:p>
        </w:tc>
        <w:tc>
          <w:tcPr>
            <w:tcW w:w="1595" w:type="dxa"/>
          </w:tcPr>
          <w:p w14:paraId="14F34EC1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Средняя</w:t>
            </w:r>
          </w:p>
        </w:tc>
        <w:tc>
          <w:tcPr>
            <w:tcW w:w="1595" w:type="dxa"/>
          </w:tcPr>
          <w:p w14:paraId="7F23A2BA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Средняя</w:t>
            </w:r>
          </w:p>
        </w:tc>
        <w:tc>
          <w:tcPr>
            <w:tcW w:w="1595" w:type="dxa"/>
          </w:tcPr>
          <w:p w14:paraId="351EC839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Низкая</w:t>
            </w:r>
          </w:p>
        </w:tc>
        <w:tc>
          <w:tcPr>
            <w:tcW w:w="1596" w:type="dxa"/>
          </w:tcPr>
          <w:p w14:paraId="2A1360EB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  <w:t>0,86-0,89</w:t>
            </w:r>
          </w:p>
        </w:tc>
      </w:tr>
      <w:tr w14:paraId="637E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5" w:type="dxa"/>
          </w:tcPr>
          <w:p w14:paraId="5107D7CE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  <w:t>Stacking</w:t>
            </w:r>
          </w:p>
        </w:tc>
        <w:tc>
          <w:tcPr>
            <w:tcW w:w="1595" w:type="dxa"/>
          </w:tcPr>
          <w:p w14:paraId="2F582AE5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Высокая</w:t>
            </w:r>
          </w:p>
        </w:tc>
        <w:tc>
          <w:tcPr>
            <w:tcW w:w="1595" w:type="dxa"/>
          </w:tcPr>
          <w:p w14:paraId="4F3B029F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Высокая</w:t>
            </w:r>
          </w:p>
        </w:tc>
        <w:tc>
          <w:tcPr>
            <w:tcW w:w="1595" w:type="dxa"/>
          </w:tcPr>
          <w:p w14:paraId="5B38AED3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Высокая</w:t>
            </w:r>
          </w:p>
        </w:tc>
        <w:tc>
          <w:tcPr>
            <w:tcW w:w="1595" w:type="dxa"/>
          </w:tcPr>
          <w:p w14:paraId="4FEF960B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  <w:t>Высокая</w:t>
            </w:r>
          </w:p>
        </w:tc>
        <w:tc>
          <w:tcPr>
            <w:tcW w:w="1596" w:type="dxa"/>
          </w:tcPr>
          <w:p w14:paraId="13A82F74">
            <w:pPr>
              <w:tabs>
                <w:tab w:val="left" w:pos="1226"/>
              </w:tabs>
              <w:jc w:val="right"/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b w:val="0"/>
                <w:bCs w:val="0"/>
                <w:sz w:val="28"/>
                <w:szCs w:val="28"/>
                <w:highlight w:val="none"/>
                <w:vertAlign w:val="baseline"/>
                <w:lang w:val="en-US"/>
              </w:rPr>
              <w:t>0,90+</w:t>
            </w:r>
          </w:p>
        </w:tc>
      </w:tr>
    </w:tbl>
    <w:p w14:paraId="08AB7EB5">
      <w:pPr>
        <w:tabs>
          <w:tab w:val="left" w:pos="1226"/>
        </w:tabs>
        <w:jc w:val="righ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</w:p>
    <w:p w14:paraId="4E1A8BEE">
      <w:pPr>
        <w:pStyle w:val="2"/>
        <w:rPr>
          <w:rFonts w:hint="default"/>
          <w:lang w:val="ru-RU"/>
        </w:rPr>
      </w:pPr>
      <w:bookmarkStart w:id="5" w:name="_Toc6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2. </w:t>
      </w:r>
      <w:bookmarkEnd w:id="5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ПРОЕКТИРОВАНИЕ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 И РЕАЛИЗАЦИЯ</w:t>
      </w:r>
    </w:p>
    <w:p w14:paraId="1938BB66">
      <w:pPr>
        <w:pStyle w:val="3"/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</w:pPr>
      <w:bookmarkStart w:id="6" w:name="_Toc7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2.1. </w:t>
      </w:r>
      <w:bookmarkEnd w:id="6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>Создание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нужных моделей</w:t>
      </w:r>
    </w:p>
    <w:p w14:paraId="645A1E48">
      <w:pPr>
        <w:ind w:firstLine="708" w:firstLineChars="0"/>
        <w:jc w:val="left"/>
        <w:rPr>
          <w:rFonts w:hint="default" w:ascii="Times New Roman;Times New Roman" w:hAnsi="Times New Roman;Times New Roman" w:cs="Times New Roman;Times New Roman"/>
          <w:sz w:val="28"/>
          <w:highlight w:val="none"/>
          <w:lang w:val="en-US"/>
        </w:rPr>
      </w:pP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В работе решено использовать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en-US"/>
        </w:rPr>
        <w:t>Random Forest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 с гиперпараметрами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en-US"/>
        </w:rPr>
        <w:t xml:space="preserve">n_estimators = 200, random_state=42, Gradient Boostig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>с такими параметрами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en-US"/>
        </w:rPr>
        <w:t xml:space="preserve"> n_estimators = 200, learning_rate = 0,1, random_state = 42, XGBClassifer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>имеющий параметры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en-US"/>
        </w:rPr>
        <w:t>: n_estimators = 200, learning_rate = 0,1, random_state = 42, Stacking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 объеденяет три базовые модели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en-US"/>
        </w:rPr>
        <w:t xml:space="preserve">Random Forest, Gradient Boosting, XGBoost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>в мета модель логистической регрессии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>для реализации бинарной классификации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>с пятью кратной кросс валидацией внутри стэкинга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en-US"/>
        </w:rPr>
        <w:t>.</w:t>
      </w:r>
    </w:p>
    <w:p w14:paraId="2256DB9D">
      <w:pPr>
        <w:jc w:val="left"/>
      </w:pPr>
      <w:r>
        <w:drawing>
          <wp:inline distT="0" distB="0" distL="114300" distR="114300">
            <wp:extent cx="5939790" cy="3147695"/>
            <wp:effectExtent l="0" t="0" r="3810" b="698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4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3EFD4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3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Созданные ансамблевые модели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1868D64B">
      <w:pPr>
        <w:pStyle w:val="3"/>
        <w:rPr>
          <w:rFonts w:hint="default" w:ascii="Times New Roman" w:hAnsi="Times New Roman" w:eastAsia="Times New Roman" w:cs="Times New Roman"/>
          <w:sz w:val="28"/>
          <w:lang w:val="ru-RU"/>
          <w14:ligatures w14:val="none"/>
        </w:rPr>
      </w:pPr>
      <w:bookmarkStart w:id="7" w:name="_Toc8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2.2. </w:t>
      </w:r>
      <w:bookmarkEnd w:id="7"/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Формирование обучающей и тестовой выборки </w:t>
      </w:r>
    </w:p>
    <w:p w14:paraId="792BF54B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ab/>
        <w:t xml:space="preserve">Из исходного набора данных состоящего из 30 000 записей, 23 признаков и целевой переменной,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были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сформированы  тестовая и обучающая выборка,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имеющая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соотношение 80% и 20%,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обучающая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выборка 24000 записей и 6000 записей тестовая,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также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проведена стандартизация признаков с помощью StandartScaler,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работы логистической регрессии -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конечной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мета модели.</w:t>
      </w:r>
    </w:p>
    <w:p w14:paraId="048C6B9E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5DF48040">
      <w:pPr>
        <w:widowControl w:val="0"/>
        <w:tabs>
          <w:tab w:val="left" w:pos="1134"/>
        </w:tabs>
        <w:spacing w:before="0" w:after="0" w:line="240" w:lineRule="auto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1FAC31AB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drawing>
          <wp:inline distT="0" distB="0" distL="114300" distR="114300">
            <wp:extent cx="2484120" cy="441960"/>
            <wp:effectExtent l="0" t="0" r="0" b="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4120" cy="44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4BC4D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352739F7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Рисунок 4. Результаты разбиения. </w:t>
      </w:r>
    </w:p>
    <w:p w14:paraId="0F955EE6">
      <w:pPr>
        <w:rPr>
          <w:rFonts w:ascii="Times New Roman;Times New Roman" w:hAnsi="Times New Roman;Times New Roman" w:eastAsia="Times New Roman;Times New Roman" w:cs="Times New Roman;Times New Roman"/>
          <w:b/>
          <w:color w:val="000000"/>
          <w:sz w:val="28"/>
          <w:szCs w:val="24"/>
          <w:lang w:eastAsia="ru-RU"/>
        </w:rPr>
      </w:pPr>
    </w:p>
    <w:p w14:paraId="49AD7B2F">
      <w:pPr>
        <w:pStyle w:val="3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pPr>
      <w:bookmarkStart w:id="8" w:name="_Toc9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2.3. Обучение моделей</w:t>
      </w:r>
      <w:bookmarkEnd w:id="8"/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и предсказания</w:t>
      </w:r>
    </w:p>
    <w:p w14:paraId="1D1600D8">
      <w:pPr>
        <w:ind w:firstLine="708" w:firstLineChars="0"/>
        <w:jc w:val="both"/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Обучение проведено на обучающей выборке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масштабированные данные использовались для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Stacking,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исходные данные использовались для остальных моделей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.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Полученные предсказания принадлежат классу дефолта  и бинарные предсказания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predict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на тестовой выборке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.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Для визуализации качества построены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>ROC-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кривые с расчётом площади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для каждой модели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на рисунке видно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что все модели демонстрируют высокое качество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при этом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XGBoost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и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Stacking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показывают наилучшие показатели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AUC =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0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>,988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это связано с защитой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XGBoost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и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Stacking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от дисбаланса классов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. </w:t>
      </w:r>
    </w:p>
    <w:p w14:paraId="032F7B39">
      <w:pPr>
        <w:ind w:firstLine="708" w:firstLineChars="0"/>
        <w:jc w:val="both"/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drawing>
          <wp:inline distT="0" distB="0" distL="114300" distR="114300">
            <wp:extent cx="5775960" cy="4777740"/>
            <wp:effectExtent l="0" t="0" r="0" b="762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75960" cy="477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49237">
      <w:pPr>
        <w:ind w:firstLine="708" w:firstLineChars="0"/>
        <w:jc w:val="center"/>
        <w:rPr>
          <w:rFonts w:hint="default" w:ascii="Times New Roman;Times New Roman" w:hAnsi="Times New Roman;Times New Roman" w:cs="Times New Roman;Times New Roman"/>
          <w:sz w:val="28"/>
          <w:lang w:val="en-US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Рисунок 5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. ROC -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>кривые ансамблевых моделей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>.</w:t>
      </w:r>
    </w:p>
    <w:p w14:paraId="4D00A2E0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</w:p>
    <w:p w14:paraId="347040E0">
      <w:pPr>
        <w:pStyle w:val="2"/>
      </w:pPr>
      <w:bookmarkStart w:id="9" w:name="_Toc10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3. ПРОВЕДЕНИЕ ТЕСТИРОВАНИЯ СЕМИ ОБУЧЕННЫХ МОДЕЛЕЙ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9"/>
    </w:p>
    <w:p w14:paraId="6C7DB70B">
      <w:pPr>
        <w:pStyle w:val="3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zh-CN"/>
        </w:rPr>
      </w:pPr>
      <w:bookmarkStart w:id="10" w:name="_Toc11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3.1.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>Проведение тестирования обученных моделей</w:t>
      </w:r>
      <w:bookmarkEnd w:id="10"/>
    </w:p>
    <w:p w14:paraId="5CBC5605">
      <w:pPr>
        <w:spacing w:before="0" w:after="0" w:line="240" w:lineRule="auto"/>
        <w:ind w:right="334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298F4D67">
      <w:pPr>
        <w:spacing w:before="0" w:after="0" w:line="240" w:lineRule="auto"/>
        <w:ind w:left="0" w:right="334" w:firstLine="708" w:firstLineChars="0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Проведено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тестирование моделей на обучающей выборке, использовались метрики Accuracy, Precision, Recall, F1-score, AUC,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получившимся результатам показанных на рисунке 6 можно говорить о высоком качестве обучения, лучший результат по большинство метрик показал Stacking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большинству видов метрик.</w:t>
      </w:r>
    </w:p>
    <w:p w14:paraId="74278D57">
      <w:pPr>
        <w:spacing w:before="0" w:after="0" w:line="240" w:lineRule="auto"/>
        <w:ind w:left="0" w:right="334" w:firstLine="708" w:firstLineChars="0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2D30A87D">
      <w:pPr>
        <w:spacing w:before="0" w:after="0" w:line="240" w:lineRule="auto"/>
        <w:ind w:left="0" w:right="334" w:firstLine="708" w:firstLineChars="0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drawing>
          <wp:inline distT="0" distB="0" distL="114300" distR="114300">
            <wp:extent cx="4815840" cy="1714500"/>
            <wp:effectExtent l="0" t="0" r="0" b="762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237AE">
      <w:pPr>
        <w:spacing w:before="0" w:after="0" w:line="240" w:lineRule="auto"/>
        <w:ind w:left="-15" w:right="334" w:firstLine="698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75A2E98F">
      <w:pPr>
        <w:spacing w:before="0" w:after="0" w:line="240" w:lineRule="auto"/>
        <w:ind w:left="-15" w:right="334" w:firstLine="698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  <w:t>Рисунок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6.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Результаты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тестировния моделей по метрикам.</w:t>
      </w:r>
    </w:p>
    <w:p w14:paraId="1E02E96B">
      <w:pPr>
        <w:spacing w:before="0" w:after="0" w:line="240" w:lineRule="auto"/>
        <w:ind w:left="-15" w:right="334" w:firstLine="698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</w:p>
    <w:p w14:paraId="2135CC93">
      <w:pPr>
        <w:spacing w:before="0" w:after="0" w:line="240" w:lineRule="auto"/>
        <w:ind w:left="0" w:right="334" w:firstLine="708" w:firstLineChars="0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Глядя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на матрицу ошибок,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можно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сказать, о низком количестве ложных срабатываний FP,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обнаружением реальных рисков в виде высокого Recall, по количеству пропущенных дефолтов можно сказать о пригодности модели,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практического применения в задачах бинарной классификации кредитного дефолта. </w:t>
      </w:r>
    </w:p>
    <w:p w14:paraId="669262DD">
      <w:pPr>
        <w:spacing w:before="0" w:after="0" w:line="240" w:lineRule="auto"/>
        <w:ind w:left="0" w:right="334" w:firstLine="708" w:firstLineChars="0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393606C5">
      <w:pPr>
        <w:spacing w:before="0" w:after="0" w:line="240" w:lineRule="auto"/>
        <w:ind w:left="0" w:right="334" w:firstLine="708" w:firstLineChars="0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Описание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элементов матрицы: True Negative -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клиенты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без дефолта класс 0, False Positive -количество клиентов без дефолта,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ошибочно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классифицированных не как дефолтные, False Negative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количество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клиентов с дефолтом,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ошибочно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класифицированные как клиенты без дефолта, True Positive -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количество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клиентов с дефолтом,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найденных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моделью правльно.</w:t>
      </w:r>
    </w:p>
    <w:p w14:paraId="6096A887">
      <w:pPr>
        <w:spacing w:before="0" w:after="0" w:line="240" w:lineRule="auto"/>
        <w:ind w:left="-15" w:right="334" w:firstLine="698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</w:p>
    <w:p w14:paraId="37F86955">
      <w:pPr>
        <w:spacing w:before="0" w:after="0" w:line="240" w:lineRule="auto"/>
        <w:ind w:left="-15" w:right="334" w:firstLine="698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drawing>
          <wp:inline distT="0" distB="0" distL="114300" distR="114300">
            <wp:extent cx="4514850" cy="4062730"/>
            <wp:effectExtent l="0" t="0" r="11430" b="6350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406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058E3">
      <w:pPr>
        <w:spacing w:before="0" w:after="0" w:line="240" w:lineRule="auto"/>
        <w:ind w:left="-15" w:right="334" w:firstLine="698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</w:p>
    <w:p w14:paraId="6541C425">
      <w:pPr>
        <w:spacing w:before="0" w:after="0" w:line="240" w:lineRule="auto"/>
        <w:ind w:left="-15" w:right="334" w:firstLine="698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Рисунок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7. 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>Матрица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ошибок для Stacking.</w:t>
      </w:r>
    </w:p>
    <w:p w14:paraId="72392742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6E9713D7">
      <w:pPr>
        <w:pStyle w:val="3"/>
      </w:pPr>
      <w:bookmarkStart w:id="11" w:name="_Toc12"/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>3.2. Оптимизация моделей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11"/>
    </w:p>
    <w:p w14:paraId="02344284">
      <w:pPr>
        <w:spacing w:before="0" w:after="0" w:line="240" w:lineRule="auto"/>
        <w:ind w:firstLine="708" w:firstLineChars="0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оптимизации подбирались гиперпараметры с использованием GridSearchCV,  модели XGBoost,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подобраны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параметры: n_estimators = 300, max_depth = 7, learning_rate = 0,1,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критерием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оптимизации выбран ROC AUC с трёх-кратной валидацией. 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</w:p>
    <w:p w14:paraId="77089E89">
      <w:pPr>
        <w:spacing w:before="0" w:after="0" w:line="240" w:lineRule="auto"/>
        <w:ind w:firstLine="708" w:firstLineChars="0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4EC6501D">
      <w:pPr>
        <w:spacing w:before="0" w:after="0" w:line="240" w:lineRule="auto"/>
        <w:ind w:firstLine="708" w:firstLineChars="0"/>
        <w:jc w:val="center"/>
      </w:pPr>
      <w:r>
        <w:drawing>
          <wp:inline distT="0" distB="0" distL="114300" distR="114300">
            <wp:extent cx="5806440" cy="899160"/>
            <wp:effectExtent l="0" t="0" r="0" b="0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9B2CC">
      <w:pPr>
        <w:spacing w:before="0" w:after="0" w:line="240" w:lineRule="auto"/>
        <w:ind w:firstLine="708" w:firstLineChars="0"/>
        <w:jc w:val="center"/>
        <w:rPr>
          <w:lang w:eastAsia="ru-RU"/>
        </w:rPr>
      </w:pPr>
    </w:p>
    <w:p w14:paraId="2D8B9FD1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Рисунок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8. 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Вывод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работы блока кода с оптимизацией результата.</w:t>
      </w:r>
    </w:p>
    <w:p w14:paraId="17E72ACE">
      <w:pPr>
        <w:spacing w:before="0" w:after="0" w:line="240" w:lineRule="auto"/>
        <w:ind w:firstLine="708" w:firstLineChars="0"/>
        <w:jc w:val="center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41841FC6">
      <w:pPr>
        <w:spacing w:before="0" w:after="0" w:line="240" w:lineRule="auto"/>
        <w:ind w:firstLine="708" w:firstLineChars="0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оптимизации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у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XGBoost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было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0,9875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после оптимизации 0,9877,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результат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незначительно увеличен,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это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показывает что при оптимизации модель научилась улавливать сложнейшие нелинейные взаимодействия между признаками, не приводя к переобучению модели, для реального применения в практической реализации решения задач кредитного дефолта,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необходимо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улучшить модель,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дальнейшее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улучшение потребует больше вычислительных мощностей.</w:t>
      </w:r>
    </w:p>
    <w:p w14:paraId="21D8ABF7">
      <w:pPr>
        <w:pStyle w:val="2"/>
        <w:rPr>
          <w:rFonts w:ascii="Times New Roman;Times New Roman" w:hAnsi="Times New Roman;Times New Roman" w:cs="Times New Roman;Times New Roman"/>
          <w:b/>
          <w:sz w:val="28"/>
        </w:rPr>
      </w:pPr>
      <w:bookmarkStart w:id="12" w:name="_Toc13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ЗАКЛЮЧЕНИЕ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12"/>
    </w:p>
    <w:p w14:paraId="5AB3F7D9">
      <w:pPr>
        <w:ind w:firstLine="708"/>
        <w:rPr>
          <w:rFonts w:hint="default"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В ходе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работы тестирование моделей показало наилучшие результаты с моделью Stacking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имеющей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AUC 0,9881,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изначально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обучение моделей проводилось на стратифицированных выборках 80% - обучение, 20% - тестовая выборка, проведена оптимизация модели XGBoost были подобраны правильные гиперпараметры позволяющие улваливать модели сложные зависимости и не допустить при этом переобучения,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незначительный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прирост AUC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в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области высоких значений приведёт к потенциальному снижению потерь финансов банковским учреждением,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изучены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 применены ключевые методы ансамблевого обучения: Random Forest, Gradient Boosting, XGBoost, Stacking,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поставленная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цель применения ансамблевых методов для прогнозирования бинарных класс кредитного дефолта выполнена,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доказано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преимущество ансамблевых методов машинного обучения над классическими и традиционными решениями,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также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изучены оптимальные наборы гиперпараметров для разных моделей ансамблевого обучения,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путём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просмотра платформы Kaggle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с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аналогичными задачами классификации банковского дефолта.</w:t>
      </w:r>
    </w:p>
    <w:p w14:paraId="303AB4B0">
      <w:pPr>
        <w:ind w:firstLine="708"/>
        <w:rPr>
          <w:lang w:val="ru-RU"/>
        </w:rPr>
      </w:pPr>
    </w:p>
    <w:p w14:paraId="095C7145">
      <w:pPr>
        <w:ind w:firstLine="708"/>
        <w:rPr>
          <w:lang w:val="ru-RU"/>
        </w:rPr>
      </w:pPr>
    </w:p>
    <w:p w14:paraId="752421A5">
      <w:pPr>
        <w:ind w:firstLine="708"/>
        <w:rPr>
          <w:lang w:val="ru-RU"/>
        </w:rPr>
      </w:pPr>
    </w:p>
    <w:p w14:paraId="50259962">
      <w:pPr>
        <w:ind w:firstLine="708"/>
        <w:rPr>
          <w:lang w:val="ru-RU"/>
        </w:rPr>
      </w:pPr>
    </w:p>
    <w:p w14:paraId="32BD333D">
      <w:pPr>
        <w:ind w:firstLine="708"/>
        <w:rPr>
          <w:lang w:val="ru-RU"/>
        </w:rPr>
      </w:pPr>
    </w:p>
    <w:p w14:paraId="19F081BD">
      <w:pPr>
        <w:ind w:firstLine="708"/>
        <w:rPr>
          <w:lang w:val="ru-RU"/>
        </w:rPr>
      </w:pPr>
    </w:p>
    <w:p w14:paraId="3C3CE679">
      <w:pPr>
        <w:ind w:firstLine="708"/>
        <w:rPr>
          <w:lang w:val="ru-RU"/>
        </w:rPr>
      </w:pPr>
    </w:p>
    <w:p w14:paraId="7C25EF7E">
      <w:pPr>
        <w:ind w:firstLine="708"/>
        <w:rPr>
          <w:lang w:val="ru-RU"/>
        </w:rPr>
      </w:pPr>
    </w:p>
    <w:p w14:paraId="29CCEA89">
      <w:pPr>
        <w:ind w:firstLine="708"/>
        <w:rPr>
          <w:lang w:val="ru-RU"/>
        </w:rPr>
      </w:pPr>
    </w:p>
    <w:p w14:paraId="4EC81734">
      <w:pPr>
        <w:ind w:firstLine="708"/>
        <w:rPr>
          <w:lang w:val="ru-RU"/>
        </w:rPr>
      </w:pPr>
    </w:p>
    <w:p w14:paraId="0CAB0CF9">
      <w:pPr>
        <w:ind w:firstLine="708"/>
        <w:rPr>
          <w:lang w:val="ru-RU"/>
        </w:rPr>
      </w:pPr>
    </w:p>
    <w:p w14:paraId="6114B57B">
      <w:pPr>
        <w:ind w:firstLine="708"/>
        <w:rPr>
          <w:lang w:val="ru-RU"/>
        </w:rPr>
      </w:pPr>
    </w:p>
    <w:p w14:paraId="0BE4DA37">
      <w:pPr>
        <w:rPr>
          <w:lang w:val="ru-RU"/>
        </w:rPr>
      </w:pPr>
    </w:p>
    <w:p w14:paraId="18F07C78">
      <w:pPr>
        <w:rPr>
          <w:lang w:val="ru-RU"/>
        </w:rPr>
      </w:pPr>
    </w:p>
    <w:p w14:paraId="15A70517">
      <w:pPr>
        <w:pStyle w:val="2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  <w:bookmarkStart w:id="13" w:name="_Toc14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eastAsia="ru-RU"/>
        </w:rPr>
        <w:t xml:space="preserve">СПИСОК ЛИТЕРАТУРЫ </w:t>
      </w:r>
      <w:bookmarkEnd w:id="13"/>
    </w:p>
    <w:p w14:paraId="42CA1B0C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</w:p>
    <w:p w14:paraId="4E8F5A6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Yang S., Huang Z. et al.</w:t>
      </w:r>
      <w:bookmarkStart w:id="14" w:name="_GoBack"/>
      <w:bookmarkEnd w:id="14"/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 xml:space="preserve"> Interpretable Credit Default Prediction with Ensemble Learning and SHAP // arXiv preprint arXiv:2505.20815. 2025.</w:t>
      </w:r>
    </w:p>
    <w:p w14:paraId="543EE99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Zhu M. et al. Ensemble Methodology: Innovations in Credit Default Prediction Using LightGBM, XGBoost, and LocalEnsemble // arXiv preprint arXiv:2402.17979. 2024.</w:t>
      </w:r>
    </w:p>
    <w:p w14:paraId="165EF6F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Sun X., Liu J., Zhang Y. Enhancing Credit Risk Prediction through an Ensemble of Explainable Models // Journal of Systems Science and Systems Engineering. Vol. 34. 2025. P. 619–640.</w:t>
      </w:r>
    </w:p>
    <w:p w14:paraId="082F91D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Wang H. et al. Utilizing Ensemble Learning Models to Forecast Loan Default Risk // SSRN Electronic Journal. 2025.</w:t>
      </w:r>
    </w:p>
    <w:p w14:paraId="60D3B19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Tynchenko V., Degtyareva K., Kukartseva S. Prospects for Using Ensemble Machine Learning Methods for Predicting Credit Defaults // Research Perspectives on Software Engineering and Systems Design. CoMeSySo 2024. Lecture Notes in Networks and Systems. Vol. 1492. 2025.</w:t>
      </w:r>
    </w:p>
    <w:p w14:paraId="5495FA9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Liu W., Suzuki Y., Du S. Ensemble learning algorithms based on easyensemble sampling for financial distress prediction // Annals of Operations Research. Vol. 346. 2025. P. 2141–2172.</w:t>
      </w:r>
    </w:p>
    <w:p w14:paraId="30E6182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Rahmani R. et al. A machine learning workflow to address credit default prediction // arXiv preprint arXiv:2403.03785. 2024.</w:t>
      </w:r>
    </w:p>
    <w:p w14:paraId="0FB57F4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Nallakaruppan et al. Ensemble-Based Machine Learning Algorithm for Loan Default Risk Prediction // Applied Sciences. Vol. 12. No. 21. 2024. P. 3423.</w:t>
      </w:r>
    </w:p>
    <w:p w14:paraId="6EAE208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Kim H., Cho H., Ryu D. Corporate default predictions using machine learning: Literature review // Sustainability. Vol. 12. 2020. P. 6325.</w:t>
      </w:r>
    </w:p>
    <w:p w14:paraId="7CEB5DB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Dastile X. et al. Statistical and machine learning models in credit scoring: A systematic literature survey // Applied Soft Computing. Vol. 91. 2020.</w:t>
      </w:r>
    </w:p>
    <w:p w14:paraId="211A570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Alam T.M. et al. An Investigation of Credit Card Default Prediction in the Imbalanced Datasets // IEEE Access. Vol. 8. 2020. P. 201173–201198.</w:t>
      </w:r>
    </w:p>
    <w:p w14:paraId="5BC9869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Chang et al. Credit card default prediction using machine learning techniques // International Conference on Computer Communication and Network Security (CCNS). 2020.</w:t>
      </w:r>
    </w:p>
    <w:p w14:paraId="336EABD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Luo C., Chen L. Loan Default Prediction Based on Machine Learning Approaches // Proceedings of the 2025 2nd International Conference on Generative Artificial Intelligence and Information Security. 2025.</w:t>
      </w:r>
    </w:p>
    <w:p w14:paraId="0C82AD2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Wang Y. et al. Machine learning for credit scoring and loan default prediction using behavioral data // World Journal of Advanced Research and Reviews. Vol. 26. No. 03. 2025. P. 884–904.</w:t>
      </w:r>
    </w:p>
    <w:p w14:paraId="6181A85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Hjelkrem et al. LightGBM in application credit scoring // Case study on a Norwegian bank. 2021 (updated references in 2025 reviews).</w:t>
      </w:r>
    </w:p>
    <w:p w14:paraId="31999AE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Brown et al. Predictive analytics in credit risk management // Comprehensive review. 2025.</w:t>
      </w:r>
    </w:p>
    <w:p w14:paraId="2B3D5F3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Liu Z., Zhao et al. KACDP: Interpretable credit default prediction using Kolmogorov-Arnold Networks // Preprint. 2025.</w:t>
      </w:r>
    </w:p>
    <w:p w14:paraId="315F653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Arik S. et al. TabNet: Attentive interpretable tabular learning // Google Cloud AI. 2020 (cited in 2025 ensemble papers).</w:t>
      </w:r>
    </w:p>
    <w:p w14:paraId="3A2D669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Zhou Z.H. Ensemble Methods: Foundations and Algorithms // Chapman &amp; Hall/CRC. 2012 (updated citations in 2025 works).</w:t>
      </w:r>
    </w:p>
    <w:p w14:paraId="3600DFD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/>
        <w:ind w:left="0" w:leftChars="0" w:firstLine="0" w:firstLineChars="0"/>
        <w:rPr>
          <w:rFonts w:hint="default" w:ascii="Times New Roman" w:hAnsi="Times New Roman" w:eastAsia="sans-serif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sans-serif" w:cs="Times New Roman"/>
          <w:color w:val="000000"/>
          <w:sz w:val="28"/>
          <w:szCs w:val="28"/>
        </w:rPr>
        <w:t>Chen T., Guestrin C. XGBoost: A Scalable Tree Boosting System // Proceedings of the 22nd ACM SIGKDD International Conference on Knowledge Discovery and Data Mining. 2016 (widely cited in 2020-2025 papers on credit default).</w:t>
      </w:r>
    </w:p>
    <w:p w14:paraId="6ECEE909">
      <w:pPr>
        <w:pStyle w:val="181"/>
        <w:numPr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left="1057" w:leftChars="0" w:right="0" w:rightChars="0"/>
        <w:rPr>
          <w:rFonts w:ascii="Times New Roman" w:hAnsi="Times New Roman" w:cs="Times New Roman"/>
          <w:sz w:val="28"/>
          <w:szCs w:val="28"/>
        </w:rPr>
      </w:pPr>
    </w:p>
    <w:p w14:paraId="481D2E95">
      <w:pPr>
        <w:tabs>
          <w:tab w:val="left" w:pos="284"/>
        </w:tabs>
        <w:spacing w:before="0" w:after="0" w:line="240" w:lineRule="auto"/>
        <w:ind w:left="0" w:right="334" w:firstLine="0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30F9827F">
      <w:pPr>
        <w:ind w:left="0" w:firstLine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626598E">
      <w:pPr>
        <w:ind w:firstLine="708"/>
        <w:jc w:val="left"/>
        <w:rPr>
          <w:lang w:val="ru-RU"/>
        </w:rPr>
      </w:pPr>
    </w:p>
    <w:p w14:paraId="250C8274"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</w:t>
      </w:r>
    </w:p>
    <w:p w14:paraId="50C7C4FF"/>
    <w:sectPr>
      <w:pgSz w:w="11906" w:h="16838"/>
      <w:pgMar w:top="1134" w:right="850" w:bottom="1134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D435986"/>
    <w:multiLevelType w:val="singleLevel"/>
    <w:tmpl w:val="7D43598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E07BE"/>
    <w:rsid w:val="00334410"/>
    <w:rsid w:val="008120CB"/>
    <w:rsid w:val="033248DF"/>
    <w:rsid w:val="04520F39"/>
    <w:rsid w:val="0870614A"/>
    <w:rsid w:val="09183020"/>
    <w:rsid w:val="09E666C9"/>
    <w:rsid w:val="0A1500F5"/>
    <w:rsid w:val="0A203BE5"/>
    <w:rsid w:val="0EFC3BD4"/>
    <w:rsid w:val="10ED0859"/>
    <w:rsid w:val="11A51CAD"/>
    <w:rsid w:val="157F6950"/>
    <w:rsid w:val="175F1574"/>
    <w:rsid w:val="198F13CC"/>
    <w:rsid w:val="1A352420"/>
    <w:rsid w:val="1DD41EE0"/>
    <w:rsid w:val="1E043B06"/>
    <w:rsid w:val="1FBB24CF"/>
    <w:rsid w:val="20B46167"/>
    <w:rsid w:val="261439AB"/>
    <w:rsid w:val="282F0A40"/>
    <w:rsid w:val="299B4465"/>
    <w:rsid w:val="2AD8140A"/>
    <w:rsid w:val="2B4C71FF"/>
    <w:rsid w:val="2BE87086"/>
    <w:rsid w:val="2D22764F"/>
    <w:rsid w:val="2DED4667"/>
    <w:rsid w:val="2E4015DA"/>
    <w:rsid w:val="2F253447"/>
    <w:rsid w:val="30A35E59"/>
    <w:rsid w:val="30D3442A"/>
    <w:rsid w:val="343541A1"/>
    <w:rsid w:val="3548559F"/>
    <w:rsid w:val="36310222"/>
    <w:rsid w:val="36326C28"/>
    <w:rsid w:val="363E42D0"/>
    <w:rsid w:val="387E719E"/>
    <w:rsid w:val="38A31CB4"/>
    <w:rsid w:val="39BF6117"/>
    <w:rsid w:val="3A182538"/>
    <w:rsid w:val="3BE2277D"/>
    <w:rsid w:val="3D304716"/>
    <w:rsid w:val="3D5D3C39"/>
    <w:rsid w:val="3ED42FCB"/>
    <w:rsid w:val="3F8338C3"/>
    <w:rsid w:val="407D28DD"/>
    <w:rsid w:val="41F42348"/>
    <w:rsid w:val="43B2070B"/>
    <w:rsid w:val="4418460C"/>
    <w:rsid w:val="44EB3421"/>
    <w:rsid w:val="44F63392"/>
    <w:rsid w:val="45B52AE9"/>
    <w:rsid w:val="47997807"/>
    <w:rsid w:val="4B8D4055"/>
    <w:rsid w:val="4C2C2250"/>
    <w:rsid w:val="4E804C50"/>
    <w:rsid w:val="4F5B37BD"/>
    <w:rsid w:val="50EA2B95"/>
    <w:rsid w:val="51914A86"/>
    <w:rsid w:val="5428214D"/>
    <w:rsid w:val="552F3D56"/>
    <w:rsid w:val="56D723EC"/>
    <w:rsid w:val="575B11B0"/>
    <w:rsid w:val="59F76E92"/>
    <w:rsid w:val="5C2A61C4"/>
    <w:rsid w:val="5D6E585A"/>
    <w:rsid w:val="63E87188"/>
    <w:rsid w:val="64C83E3F"/>
    <w:rsid w:val="654A5B21"/>
    <w:rsid w:val="666A0E45"/>
    <w:rsid w:val="677B2AD6"/>
    <w:rsid w:val="6A570CE7"/>
    <w:rsid w:val="6CDF0379"/>
    <w:rsid w:val="6DB217DF"/>
    <w:rsid w:val="6F3A592B"/>
    <w:rsid w:val="6F4B47E2"/>
    <w:rsid w:val="701D5427"/>
    <w:rsid w:val="70527CD6"/>
    <w:rsid w:val="718C086C"/>
    <w:rsid w:val="74077C61"/>
    <w:rsid w:val="74DA16DE"/>
    <w:rsid w:val="762C4B04"/>
    <w:rsid w:val="77332AA0"/>
    <w:rsid w:val="78D41D21"/>
    <w:rsid w:val="7AE32041"/>
    <w:rsid w:val="7C2D01DF"/>
    <w:rsid w:val="7CFD0A8D"/>
    <w:rsid w:val="7D0D2F51"/>
    <w:rsid w:val="7DC07E42"/>
    <w:rsid w:val="7DF44021"/>
    <w:rsid w:val="7FB85A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semiHidden="0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36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38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39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40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41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42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otnote reference"/>
    <w:unhideWhenUsed/>
    <w:qFormat/>
    <w:uiPriority w:val="99"/>
    <w:rPr>
      <w:vertAlign w:val="superscript"/>
    </w:rPr>
  </w:style>
  <w:style w:type="character" w:styleId="14">
    <w:name w:val="endnote reference"/>
    <w:semiHidden/>
    <w:unhideWhenUsed/>
    <w:qFormat/>
    <w:uiPriority w:val="99"/>
    <w:rPr>
      <w:vertAlign w:val="superscript"/>
    </w:rPr>
  </w:style>
  <w:style w:type="character" w:styleId="15">
    <w:name w:val="Hyperlink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endnote text"/>
    <w:basedOn w:val="1"/>
    <w:link w:val="178"/>
    <w:semiHidden/>
    <w:unhideWhenUsed/>
    <w:qFormat/>
    <w:uiPriority w:val="99"/>
    <w:pPr>
      <w:spacing w:after="0" w:line="240" w:lineRule="auto"/>
    </w:pPr>
    <w:rPr>
      <w:sz w:val="20"/>
    </w:rPr>
  </w:style>
  <w:style w:type="paragraph" w:styleId="17">
    <w:name w:val="caption"/>
    <w:basedOn w:val="1"/>
    <w:next w:val="1"/>
    <w:link w:val="51"/>
    <w:semiHidden/>
    <w:unhideWhenUsed/>
    <w:qFormat/>
    <w:uiPriority w:val="35"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footnote text"/>
    <w:basedOn w:val="1"/>
    <w:link w:val="177"/>
    <w:semiHidden/>
    <w:unhideWhenUsed/>
    <w:qFormat/>
    <w:uiPriority w:val="99"/>
    <w:pPr>
      <w:spacing w:after="40" w:line="240" w:lineRule="auto"/>
    </w:pPr>
    <w:rPr>
      <w:sz w:val="18"/>
    </w:rPr>
  </w:style>
  <w:style w:type="paragraph" w:styleId="19">
    <w:name w:val="toc 8"/>
    <w:basedOn w:val="1"/>
    <w:next w:val="1"/>
    <w:unhideWhenUsed/>
    <w:qFormat/>
    <w:uiPriority w:val="39"/>
    <w:pPr>
      <w:spacing w:after="57"/>
      <w:ind w:left="1984" w:right="0" w:firstLine="0"/>
    </w:pPr>
  </w:style>
  <w:style w:type="paragraph" w:styleId="20">
    <w:name w:val="header"/>
    <w:basedOn w:val="1"/>
    <w:link w:val="49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21">
    <w:name w:val="toc 9"/>
    <w:basedOn w:val="1"/>
    <w:next w:val="1"/>
    <w:unhideWhenUsed/>
    <w:qFormat/>
    <w:uiPriority w:val="39"/>
    <w:pPr>
      <w:spacing w:after="57"/>
      <w:ind w:left="2268" w:right="0" w:firstLine="0"/>
    </w:pPr>
  </w:style>
  <w:style w:type="paragraph" w:styleId="22">
    <w:name w:val="toc 7"/>
    <w:basedOn w:val="1"/>
    <w:next w:val="1"/>
    <w:unhideWhenUsed/>
    <w:qFormat/>
    <w:uiPriority w:val="39"/>
    <w:pPr>
      <w:spacing w:after="57"/>
      <w:ind w:left="1701" w:right="0" w:firstLine="0"/>
    </w:pPr>
  </w:style>
  <w:style w:type="paragraph" w:styleId="23">
    <w:name w:val="toc 1"/>
    <w:basedOn w:val="1"/>
    <w:next w:val="1"/>
    <w:unhideWhenUsed/>
    <w:qFormat/>
    <w:uiPriority w:val="39"/>
    <w:pPr>
      <w:spacing w:after="57"/>
      <w:ind w:left="0" w:right="0" w:firstLine="0"/>
    </w:pPr>
  </w:style>
  <w:style w:type="paragraph" w:styleId="24">
    <w:name w:val="toc 6"/>
    <w:basedOn w:val="1"/>
    <w:next w:val="1"/>
    <w:unhideWhenUsed/>
    <w:qFormat/>
    <w:uiPriority w:val="39"/>
    <w:pPr>
      <w:spacing w:after="57"/>
      <w:ind w:left="1417" w:right="0" w:firstLine="0"/>
    </w:pPr>
  </w:style>
  <w:style w:type="paragraph" w:styleId="25">
    <w:name w:val="table of figures"/>
    <w:basedOn w:val="1"/>
    <w:next w:val="1"/>
    <w:unhideWhenUsed/>
    <w:qFormat/>
    <w:uiPriority w:val="99"/>
    <w:pPr>
      <w:spacing w:after="0" w:afterAutospacing="0"/>
    </w:pPr>
  </w:style>
  <w:style w:type="paragraph" w:styleId="26">
    <w:name w:val="toc 3"/>
    <w:basedOn w:val="1"/>
    <w:next w:val="1"/>
    <w:unhideWhenUsed/>
    <w:qFormat/>
    <w:uiPriority w:val="39"/>
    <w:pPr>
      <w:spacing w:after="57"/>
      <w:ind w:left="567" w:right="0" w:firstLine="0"/>
    </w:pPr>
  </w:style>
  <w:style w:type="paragraph" w:styleId="27">
    <w:name w:val="toc 2"/>
    <w:basedOn w:val="1"/>
    <w:next w:val="1"/>
    <w:unhideWhenUsed/>
    <w:qFormat/>
    <w:uiPriority w:val="39"/>
    <w:pPr>
      <w:spacing w:after="57"/>
      <w:ind w:left="283" w:right="0" w:firstLine="0"/>
    </w:pPr>
  </w:style>
  <w:style w:type="paragraph" w:styleId="28">
    <w:name w:val="toc 4"/>
    <w:basedOn w:val="1"/>
    <w:next w:val="1"/>
    <w:unhideWhenUsed/>
    <w:qFormat/>
    <w:uiPriority w:val="39"/>
    <w:pPr>
      <w:spacing w:after="57"/>
      <w:ind w:left="850" w:right="0" w:firstLine="0"/>
    </w:pPr>
  </w:style>
  <w:style w:type="paragraph" w:styleId="29">
    <w:name w:val="toc 5"/>
    <w:basedOn w:val="1"/>
    <w:next w:val="1"/>
    <w:unhideWhenUsed/>
    <w:qFormat/>
    <w:uiPriority w:val="39"/>
    <w:pPr>
      <w:spacing w:after="57"/>
      <w:ind w:left="1134" w:right="0" w:firstLine="0"/>
    </w:pPr>
  </w:style>
  <w:style w:type="paragraph" w:styleId="30">
    <w:name w:val="Title"/>
    <w:basedOn w:val="1"/>
    <w:next w:val="1"/>
    <w:link w:val="43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1">
    <w:name w:val="footer"/>
    <w:basedOn w:val="1"/>
    <w:link w:val="50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pPr>
      <w:spacing w:before="200" w:after="200"/>
    </w:pPr>
    <w:rPr>
      <w:sz w:val="24"/>
      <w:szCs w:val="24"/>
    </w:rPr>
  </w:style>
  <w:style w:type="table" w:styleId="33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4">
    <w:name w:val="Heading 1 Char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35">
    <w:name w:val="Heading 2 Char"/>
    <w:link w:val="3"/>
    <w:qFormat/>
    <w:uiPriority w:val="9"/>
    <w:rPr>
      <w:rFonts w:ascii="Arial" w:hAnsi="Arial" w:eastAsia="Arial" w:cs="Arial"/>
      <w:sz w:val="34"/>
    </w:rPr>
  </w:style>
  <w:style w:type="character" w:customStyle="1" w:styleId="36">
    <w:name w:val="Heading 3 Char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37">
    <w:name w:val="Heading 4 Char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38">
    <w:name w:val="Heading 5 Char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39">
    <w:name w:val="Heading 6 Char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0">
    <w:name w:val="Heading 7 Char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1">
    <w:name w:val="Heading 8 Char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2">
    <w:name w:val="Heading 9 Char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43">
    <w:name w:val="Title Char"/>
    <w:link w:val="30"/>
    <w:qFormat/>
    <w:uiPriority w:val="10"/>
    <w:rPr>
      <w:sz w:val="48"/>
      <w:szCs w:val="48"/>
    </w:rPr>
  </w:style>
  <w:style w:type="character" w:customStyle="1" w:styleId="44">
    <w:name w:val="Subtitle Char"/>
    <w:link w:val="32"/>
    <w:qFormat/>
    <w:uiPriority w:val="11"/>
    <w:rPr>
      <w:sz w:val="24"/>
      <w:szCs w:val="24"/>
    </w:rPr>
  </w:style>
  <w:style w:type="paragraph" w:styleId="45">
    <w:name w:val="Quote"/>
    <w:basedOn w:val="1"/>
    <w:next w:val="1"/>
    <w:link w:val="46"/>
    <w:qFormat/>
    <w:uiPriority w:val="29"/>
    <w:pPr>
      <w:ind w:left="720" w:right="720"/>
    </w:pPr>
    <w:rPr>
      <w:i/>
    </w:rPr>
  </w:style>
  <w:style w:type="character" w:customStyle="1" w:styleId="46">
    <w:name w:val="Quote Char"/>
    <w:link w:val="45"/>
    <w:qFormat/>
    <w:uiPriority w:val="29"/>
    <w:rPr>
      <w:i/>
    </w:rPr>
  </w:style>
  <w:style w:type="paragraph" w:styleId="47">
    <w:name w:val="Intense Quote"/>
    <w:basedOn w:val="1"/>
    <w:next w:val="1"/>
    <w:link w:val="48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48">
    <w:name w:val="Intense Quote Char"/>
    <w:link w:val="47"/>
    <w:qFormat/>
    <w:uiPriority w:val="30"/>
    <w:rPr>
      <w:i/>
    </w:rPr>
  </w:style>
  <w:style w:type="character" w:customStyle="1" w:styleId="49">
    <w:name w:val="Header Char"/>
    <w:link w:val="20"/>
    <w:qFormat/>
    <w:uiPriority w:val="99"/>
  </w:style>
  <w:style w:type="character" w:customStyle="1" w:styleId="50">
    <w:name w:val="Footer Char"/>
    <w:link w:val="31"/>
    <w:qFormat/>
    <w:uiPriority w:val="99"/>
  </w:style>
  <w:style w:type="character" w:customStyle="1" w:styleId="51">
    <w:name w:val="Caption Char"/>
    <w:link w:val="17"/>
    <w:qFormat/>
    <w:uiPriority w:val="35"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customStyle="1" w:styleId="52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54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55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6">
    <w:name w:val="Plain Table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7">
    <w:name w:val="Plain Table 5"/>
    <w:basedOn w:val="12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8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59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60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61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62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63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64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table" w:customStyle="1" w:styleId="65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6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8A3D8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67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4B2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8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69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D864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0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1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2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73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74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75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76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7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8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9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80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  <w:shd w:val="clear" w:color="68A3D8" w:themeColor="accent1" w:themeTint="EA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</w:style>
  <w:style w:type="table" w:customStyle="1" w:styleId="81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82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83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84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85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86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87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band1Horz">
      <w:tcPr>
        <w:shd w:val="clear" w:color="B3D1EB" w:themeColor="accent1" w:themeTint="75" w:fill="B3D1EB" w:themeFill="accent1" w:themeFillTint="75"/>
      </w:tcPr>
    </w:tblStylePr>
  </w:style>
  <w:style w:type="table" w:customStyle="1" w:styleId="88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band1Horz">
      <w:tcPr>
        <w:shd w:val="clear" w:color="F6C3A0" w:themeColor="accent2" w:themeTint="75" w:fill="F6C3A0" w:themeFill="accent2" w:themeFillTint="75"/>
      </w:tcPr>
    </w:tblStylePr>
  </w:style>
  <w:style w:type="table" w:customStyle="1" w:styleId="89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band1Horz">
      <w:tcPr>
        <w:shd w:val="clear" w:color="D5D5D5" w:themeColor="accent3" w:themeTint="75" w:fill="D5D5D5" w:themeFill="accent3" w:themeFillTint="75"/>
      </w:tcPr>
    </w:tblStylePr>
  </w:style>
  <w:style w:type="table" w:customStyle="1" w:styleId="90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band1Horz">
      <w:tcPr>
        <w:shd w:val="clear" w:color="FEE289" w:themeColor="accent4" w:themeTint="75" w:fill="FEE289" w:themeFill="accent4" w:themeFillTint="75"/>
      </w:tcPr>
    </w:tblStylePr>
  </w:style>
  <w:style w:type="table" w:customStyle="1" w:styleId="91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band1Horz">
      <w:tcPr>
        <w:shd w:val="clear" w:color="A9BEE3" w:themeColor="accent5" w:themeTint="75" w:fill="A9BEE3" w:themeFill="accent5" w:themeFillTint="75"/>
      </w:tcPr>
    </w:tblStylePr>
  </w:style>
  <w:style w:type="table" w:customStyle="1" w:styleId="92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band1Horz">
      <w:tcPr>
        <w:shd w:val="clear" w:color="BCDBA8" w:themeColor="accent6" w:themeTint="75" w:fill="BCDBA8" w:themeFill="accent6" w:themeFillTint="75"/>
      </w:tcPr>
    </w:tblStylePr>
  </w:style>
  <w:style w:type="table" w:customStyle="1" w:styleId="93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94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95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6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7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8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99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100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1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CCCE9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CCCE9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CCCE9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CCCE9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2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3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04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5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4" w:themeColor="accent5" w:themeShade="94"/>
        <w:sz w:val="22"/>
      </w:rPr>
      <w:tcPr>
        <w:tcBorders>
          <w:top w:val="nil"/>
          <w:left w:val="nil"/>
          <w:bottom w:val="single" w:color="95AFDD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tcBorders>
          <w:top w:val="single" w:color="95AFDD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single" w:color="95AFDD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106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4"/>
        <w:sz w:val="22"/>
      </w:rPr>
      <w:tcPr>
        <w:tcBorders>
          <w:top w:val="nil"/>
          <w:left w:val="nil"/>
          <w:bottom w:val="single" w:color="ADD394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tcBorders>
          <w:top w:val="single" w:color="ADD394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single" w:color="ADD394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</w:style>
  <w:style w:type="table" w:customStyle="1" w:styleId="107">
    <w:name w:val="List Table 1 Light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108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tcPr>
        <w:shd w:val="clear" w:color="D5E5F4" w:themeColor="accent1" w:themeTint="40" w:fill="D5E5F4" w:themeFill="accent1" w:themeFillTint="40"/>
      </w:tcPr>
    </w:tblStylePr>
  </w:style>
  <w:style w:type="table" w:customStyle="1" w:styleId="109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tcPr>
        <w:shd w:val="clear" w:color="FADECB" w:themeColor="accent2" w:themeTint="40" w:fill="FADECB" w:themeFill="accent2" w:themeFillTint="40"/>
      </w:tcPr>
    </w:tblStylePr>
  </w:style>
  <w:style w:type="table" w:customStyle="1" w:styleId="110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tcPr>
        <w:shd w:val="clear" w:color="E8E8E8" w:themeColor="accent3" w:themeTint="40" w:fill="E8E8E8" w:themeFill="accent3" w:themeFillTint="40"/>
      </w:tcPr>
    </w:tblStylePr>
  </w:style>
  <w:style w:type="table" w:customStyle="1" w:styleId="111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tcPr>
        <w:shd w:val="clear" w:color="FFEFBE" w:themeColor="accent4" w:themeTint="40" w:fill="FFEFBE" w:themeFill="accent4" w:themeFillTint="40"/>
      </w:tcPr>
    </w:tblStylePr>
  </w:style>
  <w:style w:type="table" w:customStyle="1" w:styleId="112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tcPr>
        <w:shd w:val="clear" w:color="D0DBF0" w:themeColor="accent5" w:themeTint="40" w:fill="D0DBF0" w:themeFill="accent5" w:themeFillTint="40"/>
      </w:tcPr>
    </w:tblStylePr>
  </w:style>
  <w:style w:type="table" w:customStyle="1" w:styleId="113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tcPr>
        <w:shd w:val="clear" w:color="DAEBCF" w:themeColor="accent6" w:themeTint="40" w:fill="DAEBCF" w:themeFill="accent6" w:themeFillTint="40"/>
      </w:tcPr>
    </w:tblStylePr>
  </w:style>
  <w:style w:type="table" w:customStyle="1" w:styleId="114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5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16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17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18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19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20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21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2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23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</w:style>
  <w:style w:type="table" w:customStyle="1" w:styleId="124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</w:style>
  <w:style w:type="table" w:customStyle="1" w:styleId="125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</w:style>
  <w:style w:type="table" w:customStyle="1" w:styleId="126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</w:style>
  <w:style w:type="table" w:customStyle="1" w:styleId="127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</w:style>
  <w:style w:type="table" w:customStyle="1" w:styleId="128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29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30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31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32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33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34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35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36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</w:style>
  <w:style w:type="table" w:customStyle="1" w:styleId="137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4B285" w:themeColor="accent2" w:themeTint="97" w:sz="32" w:space="0"/>
          <w:bottom w:val="single" w:color="FFFFFF" w:themeColor="light1" w:sz="12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</w:style>
  <w:style w:type="table" w:customStyle="1" w:styleId="138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</w:style>
  <w:style w:type="table" w:customStyle="1" w:styleId="139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D864" w:themeColor="accent4" w:themeTint="9A" w:sz="32" w:space="0"/>
          <w:bottom w:val="single" w:color="FFFFFF" w:themeColor="light1" w:sz="12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</w:style>
  <w:style w:type="table" w:customStyle="1" w:styleId="140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A9DB" w:themeColor="accent5" w:themeTint="9A" w:sz="32" w:space="0"/>
          <w:bottom w:val="single" w:color="FFFFFF" w:themeColor="light1" w:sz="12" w:space="0"/>
        </w:tcBorders>
        <w:shd w:val="clear" w:color="8EA9DB" w:themeColor="accent5" w:themeTint="9A" w:fill="8E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</w:style>
  <w:style w:type="table" w:customStyle="1" w:styleId="141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</w:style>
  <w:style w:type="table" w:customStyle="1" w:styleId="142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43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44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45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6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7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8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49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0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51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2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9C9C9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9C9C9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3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4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A9D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A9D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9D08E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9D08E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ned - Accent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7">
    <w:name w:val="Lined - Accent 1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58">
    <w:name w:val="Lined - Accent 2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59">
    <w:name w:val="Lined - Accent 3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60">
    <w:name w:val="Lined - Accent 4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61">
    <w:name w:val="Lined - Accent 5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62">
    <w:name w:val="Lined - Accent 6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63">
    <w:name w:val="Bordered &amp; Lined - Accent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64">
    <w:name w:val="Bordered &amp; Lined - Accent 1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65">
    <w:name w:val="Bordered &amp; Lined - Accent 2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66">
    <w:name w:val="Bordered &amp; Lined - Accent 3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67">
    <w:name w:val="Bordered &amp; Lined - Accent 4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68">
    <w:name w:val="Bordered &amp; Lined - Accent 5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69">
    <w:name w:val="Bordered &amp; Lined - Accent 6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70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1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172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173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174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175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176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character" w:customStyle="1" w:styleId="177">
    <w:name w:val="Footnote Text Char"/>
    <w:link w:val="18"/>
    <w:qFormat/>
    <w:uiPriority w:val="99"/>
    <w:rPr>
      <w:sz w:val="18"/>
    </w:rPr>
  </w:style>
  <w:style w:type="character" w:customStyle="1" w:styleId="178">
    <w:name w:val="Endnote Text Char"/>
    <w:link w:val="16"/>
    <w:qFormat/>
    <w:uiPriority w:val="99"/>
    <w:rPr>
      <w:sz w:val="20"/>
    </w:rPr>
  </w:style>
  <w:style w:type="paragraph" w:customStyle="1" w:styleId="179">
    <w:name w:val="TOC Heading"/>
    <w:unhideWhenUsed/>
    <w:qFormat/>
    <w:uiPriority w:val="39"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180">
    <w:name w:val="No Spacing"/>
    <w:basedOn w:val="1"/>
    <w:qFormat/>
    <w:uiPriority w:val="1"/>
    <w:pPr>
      <w:spacing w:after="0" w:line="240" w:lineRule="auto"/>
    </w:pPr>
  </w:style>
  <w:style w:type="paragraph" w:styleId="18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glossaryDocument" Target="glossary/document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efaultPlaceholder_TEXT"/>
        <w:style w:val="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f46963a-56cd-4918-bc60-a5802f07faf6}"/>
      </w:docPartPr>
      <w:docPartBody>
        <w:p w14:paraId="6208EE73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uiPriority="39" w:semiHidden="0" w:name="toc 9"/>
    <w:lsdException w:qFormat="1" w:uiPriority="99" w:name="footnote text"/>
    <w:lsdException w:qFormat="1" w:uiPriority="99" w:semiHidden="0" w:name="header"/>
    <w:lsdException w:qFormat="1" w:uiPriority="99" w:semiHidden="0" w:name="footer"/>
    <w:lsdException w:qFormat="1" w:uiPriority="35" w:name="caption"/>
    <w:lsdException w:qFormat="1" w:uiPriority="99" w:semiHidden="0" w:name="table of figures"/>
    <w:lsdException w:qFormat="1" w:uiPriority="99" w:semiHidden="0" w:name="footnote reference"/>
    <w:lsdException w:qFormat="1" w:uiPriority="99" w:name="endnote reference"/>
    <w:lsdException w:qFormat="1" w:uiPriority="99" w:name="endnote text"/>
    <w:lsdException w:qFormat="1" w:unhideWhenUsed="0" w:uiPriority="10" w:semiHidden="0" w:name="Title"/>
    <w:lsdException w:qFormat="1" w:uiPriority="1" w:name="Default Paragraph Font"/>
    <w:lsdException w:qFormat="1" w:unhideWhenUsed="0" w:uiPriority="11" w:semiHidden="0" w:name="Subtitle"/>
    <w:lsdException w:uiPriority="99" w:semiHidden="0" w:name="Hyperlink"/>
    <w:lsdException w:qFormat="1" w:uiPriority="99" w:name="Normal Table"/>
    <w:lsdException w:qFormat="1" w:unhideWhenUsed="0" w:uiPriority="59" w:semiHidden="0" w:name="Table Grid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14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15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16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17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18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19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20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21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3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14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15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16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17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18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19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20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21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paragraph" w:styleId="22">
    <w:name w:val="List Paragraph"/>
    <w:basedOn w:val="1"/>
    <w:qFormat/>
    <w:uiPriority w:val="34"/>
    <w:pPr>
      <w:ind w:left="720"/>
      <w:contextualSpacing/>
    </w:pPr>
  </w:style>
  <w:style w:type="paragraph" w:styleId="23">
    <w:name w:val="No Spacing"/>
    <w:qFormat/>
    <w:uiPriority w:val="1"/>
    <w:pPr>
      <w:spacing w:before="0" w:after="0" w:line="240" w:lineRule="auto"/>
    </w:pPr>
    <w:rPr>
      <w:rFonts w:asciiTheme="minorHAnsi" w:hAnsiTheme="minorHAnsi" w:eastAsiaTheme="minorEastAsia" w:cstheme="minorBidi"/>
      <w:sz w:val="21"/>
      <w:szCs w:val="22"/>
    </w:rPr>
  </w:style>
  <w:style w:type="paragraph" w:styleId="24">
    <w:name w:val="Title"/>
    <w:basedOn w:val="1"/>
    <w:next w:val="1"/>
    <w:link w:val="25"/>
    <w:qFormat/>
    <w:uiPriority w:val="10"/>
    <w:pPr>
      <w:spacing w:before="300" w:after="200"/>
      <w:contextualSpacing/>
    </w:pPr>
    <w:rPr>
      <w:sz w:val="48"/>
      <w:szCs w:val="48"/>
    </w:rPr>
  </w:style>
  <w:style w:type="character" w:customStyle="1" w:styleId="25">
    <w:name w:val="Title Char"/>
    <w:basedOn w:val="11"/>
    <w:link w:val="24"/>
    <w:qFormat/>
    <w:uiPriority w:val="10"/>
    <w:rPr>
      <w:sz w:val="48"/>
      <w:szCs w:val="48"/>
    </w:rPr>
  </w:style>
  <w:style w:type="paragraph" w:styleId="26">
    <w:name w:val="Subtitle"/>
    <w:basedOn w:val="1"/>
    <w:next w:val="1"/>
    <w:link w:val="27"/>
    <w:qFormat/>
    <w:uiPriority w:val="11"/>
    <w:pPr>
      <w:spacing w:before="200" w:after="200"/>
    </w:pPr>
    <w:rPr>
      <w:sz w:val="24"/>
      <w:szCs w:val="24"/>
    </w:rPr>
  </w:style>
  <w:style w:type="character" w:customStyle="1" w:styleId="27">
    <w:name w:val="Subtitle Char"/>
    <w:basedOn w:val="11"/>
    <w:link w:val="26"/>
    <w:qFormat/>
    <w:uiPriority w:val="11"/>
    <w:rPr>
      <w:sz w:val="24"/>
      <w:szCs w:val="24"/>
    </w:rPr>
  </w:style>
  <w:style w:type="paragraph" w:styleId="28">
    <w:name w:val="Quote"/>
    <w:basedOn w:val="1"/>
    <w:next w:val="1"/>
    <w:link w:val="29"/>
    <w:qFormat/>
    <w:uiPriority w:val="29"/>
    <w:pPr>
      <w:ind w:left="720" w:right="720"/>
    </w:pPr>
    <w:rPr>
      <w:i/>
    </w:rPr>
  </w:style>
  <w:style w:type="character" w:customStyle="1" w:styleId="29">
    <w:name w:val="Quote Char"/>
    <w:link w:val="28"/>
    <w:qFormat/>
    <w:uiPriority w:val="29"/>
    <w:rPr>
      <w:i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31">
    <w:name w:val="Intense Quote Char"/>
    <w:link w:val="30"/>
    <w:qFormat/>
    <w:uiPriority w:val="30"/>
    <w:rPr>
      <w:i/>
    </w:rPr>
  </w:style>
  <w:style w:type="paragraph" w:styleId="32">
    <w:name w:val="header"/>
    <w:basedOn w:val="1"/>
    <w:link w:val="33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33">
    <w:name w:val="Header Char"/>
    <w:basedOn w:val="11"/>
    <w:link w:val="32"/>
    <w:qFormat/>
    <w:uiPriority w:val="99"/>
  </w:style>
  <w:style w:type="paragraph" w:styleId="34">
    <w:name w:val="footer"/>
    <w:basedOn w:val="1"/>
    <w:link w:val="35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35">
    <w:name w:val="Footer Char"/>
    <w:basedOn w:val="11"/>
    <w:link w:val="34"/>
    <w:qFormat/>
    <w:uiPriority w:val="99"/>
  </w:style>
  <w:style w:type="paragraph" w:styleId="36">
    <w:name w:val="caption"/>
    <w:basedOn w:val="1"/>
    <w:next w:val="1"/>
    <w:link w:val="37"/>
    <w:semiHidden/>
    <w:unhideWhenUsed/>
    <w:qFormat/>
    <w:uiPriority w:val="35"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character" w:customStyle="1" w:styleId="37">
    <w:name w:val="Caption Char"/>
    <w:basedOn w:val="11"/>
    <w:link w:val="36"/>
    <w:qFormat/>
    <w:uiPriority w:val="35"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styleId="38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41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42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3">
    <w:name w:val="Plain Table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4">
    <w:name w:val="Plain Table 5"/>
    <w:basedOn w:val="12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5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46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47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48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49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50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51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table" w:customStyle="1" w:styleId="52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53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8A3D8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54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4B2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55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56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D864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57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58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59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0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61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2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63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64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65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66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7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  <w:shd w:val="clear" w:color="68A3D8" w:themeColor="accent1" w:themeTint="EA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</w:style>
  <w:style w:type="table" w:customStyle="1" w:styleId="68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9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70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1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2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3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74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band1Horz">
      <w:tcPr>
        <w:shd w:val="clear" w:color="B3D1EB" w:themeColor="accent1" w:themeTint="75" w:fill="B3D1EB" w:themeFill="accent1" w:themeFillTint="75"/>
      </w:tcPr>
    </w:tblStylePr>
  </w:style>
  <w:style w:type="table" w:customStyle="1" w:styleId="75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band1Horz">
      <w:tcPr>
        <w:shd w:val="clear" w:color="F6C3A0" w:themeColor="accent2" w:themeTint="75" w:fill="F6C3A0" w:themeFill="accent2" w:themeFillTint="75"/>
      </w:tcPr>
    </w:tblStylePr>
  </w:style>
  <w:style w:type="table" w:customStyle="1" w:styleId="76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band1Horz">
      <w:tcPr>
        <w:shd w:val="clear" w:color="D5D5D5" w:themeColor="accent3" w:themeTint="75" w:fill="D5D5D5" w:themeFill="accent3" w:themeFillTint="75"/>
      </w:tcPr>
    </w:tblStylePr>
  </w:style>
  <w:style w:type="table" w:customStyle="1" w:styleId="77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band1Horz">
      <w:tcPr>
        <w:shd w:val="clear" w:color="FEE289" w:themeColor="accent4" w:themeTint="75" w:fill="FEE289" w:themeFill="accent4" w:themeFillTint="75"/>
      </w:tcPr>
    </w:tblStylePr>
  </w:style>
  <w:style w:type="table" w:customStyle="1" w:styleId="78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band1Horz">
      <w:tcPr>
        <w:shd w:val="clear" w:color="A9BEE3" w:themeColor="accent5" w:themeTint="75" w:fill="A9BEE3" w:themeFill="accent5" w:themeFillTint="75"/>
      </w:tcPr>
    </w:tblStylePr>
  </w:style>
  <w:style w:type="table" w:customStyle="1" w:styleId="79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band1Horz">
      <w:tcPr>
        <w:shd w:val="clear" w:color="BCDBA8" w:themeColor="accent6" w:themeTint="75" w:fill="BCDBA8" w:themeFill="accent6" w:themeFillTint="75"/>
      </w:tcPr>
    </w:tblStylePr>
  </w:style>
  <w:style w:type="table" w:customStyle="1" w:styleId="80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81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82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83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84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85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86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87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88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CCCE9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CCCE9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CCCE9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CCCE9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89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0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1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2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4" w:themeColor="accent5" w:themeShade="94"/>
        <w:sz w:val="22"/>
      </w:rPr>
      <w:tcPr>
        <w:tcBorders>
          <w:top w:val="nil"/>
          <w:left w:val="nil"/>
          <w:bottom w:val="single" w:color="95AFDD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tcBorders>
          <w:top w:val="single" w:color="95AFDD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single" w:color="95AFDD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93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4"/>
        <w:sz w:val="22"/>
      </w:rPr>
      <w:tcPr>
        <w:tcBorders>
          <w:top w:val="nil"/>
          <w:left w:val="nil"/>
          <w:bottom w:val="single" w:color="ADD394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tcBorders>
          <w:top w:val="single" w:color="ADD394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single" w:color="ADD394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</w:style>
  <w:style w:type="table" w:customStyle="1" w:styleId="94">
    <w:name w:val="List Table 1 Light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95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tcPr>
        <w:shd w:val="clear" w:color="D5E5F4" w:themeColor="accent1" w:themeTint="40" w:fill="D5E5F4" w:themeFill="accent1" w:themeFillTint="40"/>
      </w:tcPr>
    </w:tblStylePr>
  </w:style>
  <w:style w:type="table" w:customStyle="1" w:styleId="96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tcPr>
        <w:shd w:val="clear" w:color="FADECB" w:themeColor="accent2" w:themeTint="40" w:fill="FADECB" w:themeFill="accent2" w:themeFillTint="40"/>
      </w:tcPr>
    </w:tblStylePr>
  </w:style>
  <w:style w:type="table" w:customStyle="1" w:styleId="97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tcPr>
        <w:shd w:val="clear" w:color="E8E8E8" w:themeColor="accent3" w:themeTint="40" w:fill="E8E8E8" w:themeFill="accent3" w:themeFillTint="40"/>
      </w:tcPr>
    </w:tblStylePr>
  </w:style>
  <w:style w:type="table" w:customStyle="1" w:styleId="98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tcPr>
        <w:shd w:val="clear" w:color="FFEFBE" w:themeColor="accent4" w:themeTint="40" w:fill="FFEFBE" w:themeFill="accent4" w:themeFillTint="40"/>
      </w:tcPr>
    </w:tblStylePr>
  </w:style>
  <w:style w:type="table" w:customStyle="1" w:styleId="99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tcPr>
        <w:shd w:val="clear" w:color="D0DBF0" w:themeColor="accent5" w:themeTint="40" w:fill="D0DBF0" w:themeFill="accent5" w:themeFillTint="40"/>
      </w:tcPr>
    </w:tblStylePr>
  </w:style>
  <w:style w:type="table" w:customStyle="1" w:styleId="100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tcPr>
        <w:shd w:val="clear" w:color="DAEBCF" w:themeColor="accent6" w:themeTint="40" w:fill="DAEBCF" w:themeFill="accent6" w:themeFillTint="40"/>
      </w:tcPr>
    </w:tblStylePr>
  </w:style>
  <w:style w:type="table" w:customStyle="1" w:styleId="101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02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03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04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05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06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07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08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09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10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</w:style>
  <w:style w:type="table" w:customStyle="1" w:styleId="111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</w:style>
  <w:style w:type="table" w:customStyle="1" w:styleId="112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</w:style>
  <w:style w:type="table" w:customStyle="1" w:styleId="113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</w:style>
  <w:style w:type="table" w:customStyle="1" w:styleId="114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</w:style>
  <w:style w:type="table" w:customStyle="1" w:styleId="115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6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17">
    <w:name w:val="List Table 4 - Accent 2"/>
    <w:basedOn w:val="12"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18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19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20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21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22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23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</w:style>
  <w:style w:type="table" w:customStyle="1" w:styleId="124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4B285" w:themeColor="accent2" w:themeTint="97" w:sz="32" w:space="0"/>
          <w:bottom w:val="single" w:color="FFFFFF" w:themeColor="light1" w:sz="12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</w:style>
  <w:style w:type="table" w:customStyle="1" w:styleId="125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</w:style>
  <w:style w:type="table" w:customStyle="1" w:styleId="126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D864" w:themeColor="accent4" w:themeTint="9A" w:sz="32" w:space="0"/>
          <w:bottom w:val="single" w:color="FFFFFF" w:themeColor="light1" w:sz="12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</w:style>
  <w:style w:type="table" w:customStyle="1" w:styleId="127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A9DB" w:themeColor="accent5" w:themeTint="9A" w:sz="32" w:space="0"/>
          <w:bottom w:val="single" w:color="FFFFFF" w:themeColor="light1" w:sz="12" w:space="0"/>
        </w:tcBorders>
        <w:shd w:val="clear" w:color="8EA9DB" w:themeColor="accent5" w:themeTint="9A" w:fill="8E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</w:style>
  <w:style w:type="table" w:customStyle="1" w:styleId="128">
    <w:name w:val="List Table 5 Dark - Accent 6"/>
    <w:basedOn w:val="12"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</w:style>
  <w:style w:type="table" w:customStyle="1" w:styleId="129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30">
    <w:name w:val="List Table 6 Colorful - Accent 1"/>
    <w:basedOn w:val="12"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31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32">
    <w:name w:val="List Table 6 Colorful - Accent 3"/>
    <w:basedOn w:val="12"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33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34">
    <w:name w:val="List Table 6 Colorful - Accent 5"/>
    <w:basedOn w:val="12"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35">
    <w:name w:val="List Table 6 Colorful - Accent 6"/>
    <w:basedOn w:val="12"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36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37">
    <w:name w:val="List Table 7 Colorful - Accent 1"/>
    <w:basedOn w:val="12"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38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39">
    <w:name w:val="List Table 7 Colorful - Accent 3"/>
    <w:basedOn w:val="12"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9C9C9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9C9C9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0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1">
    <w:name w:val="List Table 7 Colorful - Accent 5"/>
    <w:basedOn w:val="12"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A9D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A9D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2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9D08E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9D08E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43">
    <w:name w:val="Lined - Accent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44">
    <w:name w:val="Lined - Accent 1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45">
    <w:name w:val="Lined - Accent 2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46">
    <w:name w:val="Lined - Accent 3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47">
    <w:name w:val="Lined - Accent 4"/>
    <w:basedOn w:val="12"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48">
    <w:name w:val="Lined - Accent 5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49">
    <w:name w:val="Lined - Accent 6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50">
    <w:name w:val="Bordered &amp; Lined - Accent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1">
    <w:name w:val="Bordered &amp; Lined - Accent 1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52">
    <w:name w:val="Bordered &amp; Lined - Accent 2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53">
    <w:name w:val="Bordered &amp; Lined - Accent 3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54">
    <w:name w:val="Bordered &amp; Lined - Accent 4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55">
    <w:name w:val="Bordered &amp; Lined - Accent 5"/>
    <w:basedOn w:val="12"/>
    <w:uiPriority w:val="99"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56">
    <w:name w:val="Bordered &amp; Lined - Accent 6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57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58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159">
    <w:name w:val="Bordered - Accent 2"/>
    <w:basedOn w:val="12"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160">
    <w:name w:val="Bordered - Accent 3"/>
    <w:basedOn w:val="12"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161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162">
    <w:name w:val="Bordered - Accent 5"/>
    <w:basedOn w:val="12"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163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character" w:styleId="164">
    <w:name w:val="Hyperlink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5">
    <w:name w:val="footnote text"/>
    <w:basedOn w:val="1"/>
    <w:link w:val="166"/>
    <w:semiHidden/>
    <w:unhideWhenUsed/>
    <w:qFormat/>
    <w:uiPriority w:val="99"/>
    <w:pPr>
      <w:spacing w:after="40" w:line="240" w:lineRule="auto"/>
    </w:pPr>
    <w:rPr>
      <w:sz w:val="18"/>
    </w:rPr>
  </w:style>
  <w:style w:type="character" w:customStyle="1" w:styleId="166">
    <w:name w:val="Footnote Text Char"/>
    <w:link w:val="165"/>
    <w:qFormat/>
    <w:uiPriority w:val="99"/>
    <w:rPr>
      <w:sz w:val="18"/>
    </w:rPr>
  </w:style>
  <w:style w:type="character" w:styleId="167">
    <w:name w:val="footnote reference"/>
    <w:basedOn w:val="11"/>
    <w:unhideWhenUsed/>
    <w:qFormat/>
    <w:uiPriority w:val="99"/>
    <w:rPr>
      <w:vertAlign w:val="superscript"/>
    </w:rPr>
  </w:style>
  <w:style w:type="paragraph" w:styleId="168">
    <w:name w:val="endnote text"/>
    <w:basedOn w:val="1"/>
    <w:link w:val="169"/>
    <w:semiHidden/>
    <w:unhideWhenUsed/>
    <w:qFormat/>
    <w:uiPriority w:val="99"/>
    <w:pPr>
      <w:spacing w:after="0" w:line="240" w:lineRule="auto"/>
    </w:pPr>
    <w:rPr>
      <w:sz w:val="20"/>
    </w:rPr>
  </w:style>
  <w:style w:type="character" w:customStyle="1" w:styleId="169">
    <w:name w:val="Endnote Text Char"/>
    <w:link w:val="168"/>
    <w:qFormat/>
    <w:uiPriority w:val="99"/>
    <w:rPr>
      <w:sz w:val="20"/>
    </w:rPr>
  </w:style>
  <w:style w:type="character" w:styleId="170">
    <w:name w:val="endnote reference"/>
    <w:basedOn w:val="11"/>
    <w:semiHidden/>
    <w:unhideWhenUsed/>
    <w:qFormat/>
    <w:uiPriority w:val="99"/>
    <w:rPr>
      <w:vertAlign w:val="superscript"/>
    </w:rPr>
  </w:style>
  <w:style w:type="paragraph" w:styleId="171">
    <w:name w:val="toc 1"/>
    <w:basedOn w:val="1"/>
    <w:next w:val="1"/>
    <w:unhideWhenUsed/>
    <w:qFormat/>
    <w:uiPriority w:val="39"/>
    <w:pPr>
      <w:spacing w:after="57"/>
      <w:ind w:left="0" w:right="0" w:firstLine="0"/>
    </w:pPr>
  </w:style>
  <w:style w:type="paragraph" w:styleId="172">
    <w:name w:val="toc 2"/>
    <w:basedOn w:val="1"/>
    <w:next w:val="1"/>
    <w:unhideWhenUsed/>
    <w:qFormat/>
    <w:uiPriority w:val="39"/>
    <w:pPr>
      <w:spacing w:after="57"/>
      <w:ind w:left="283" w:right="0" w:firstLine="0"/>
    </w:pPr>
  </w:style>
  <w:style w:type="paragraph" w:styleId="173">
    <w:name w:val="toc 3"/>
    <w:basedOn w:val="1"/>
    <w:next w:val="1"/>
    <w:unhideWhenUsed/>
    <w:qFormat/>
    <w:uiPriority w:val="39"/>
    <w:pPr>
      <w:spacing w:after="57"/>
      <w:ind w:left="567" w:right="0" w:firstLine="0"/>
    </w:pPr>
  </w:style>
  <w:style w:type="paragraph" w:styleId="174">
    <w:name w:val="toc 4"/>
    <w:basedOn w:val="1"/>
    <w:next w:val="1"/>
    <w:unhideWhenUsed/>
    <w:uiPriority w:val="39"/>
    <w:pPr>
      <w:spacing w:after="57"/>
      <w:ind w:left="850" w:right="0" w:firstLine="0"/>
    </w:pPr>
  </w:style>
  <w:style w:type="paragraph" w:styleId="175">
    <w:name w:val="toc 5"/>
    <w:basedOn w:val="1"/>
    <w:next w:val="1"/>
    <w:unhideWhenUsed/>
    <w:qFormat/>
    <w:uiPriority w:val="39"/>
    <w:pPr>
      <w:spacing w:after="57"/>
      <w:ind w:left="1134" w:right="0" w:firstLine="0"/>
    </w:pPr>
  </w:style>
  <w:style w:type="paragraph" w:styleId="176">
    <w:name w:val="toc 6"/>
    <w:basedOn w:val="1"/>
    <w:next w:val="1"/>
    <w:unhideWhenUsed/>
    <w:qFormat/>
    <w:uiPriority w:val="39"/>
    <w:pPr>
      <w:spacing w:after="57"/>
      <w:ind w:left="1417" w:right="0" w:firstLine="0"/>
    </w:pPr>
  </w:style>
  <w:style w:type="paragraph" w:styleId="177">
    <w:name w:val="toc 7"/>
    <w:basedOn w:val="1"/>
    <w:next w:val="1"/>
    <w:unhideWhenUsed/>
    <w:qFormat/>
    <w:uiPriority w:val="39"/>
    <w:pPr>
      <w:spacing w:after="57"/>
      <w:ind w:left="1701" w:right="0" w:firstLine="0"/>
    </w:pPr>
  </w:style>
  <w:style w:type="paragraph" w:styleId="178">
    <w:name w:val="toc 8"/>
    <w:basedOn w:val="1"/>
    <w:next w:val="1"/>
    <w:unhideWhenUsed/>
    <w:qFormat/>
    <w:uiPriority w:val="39"/>
    <w:pPr>
      <w:spacing w:after="57"/>
      <w:ind w:left="1984" w:right="0" w:firstLine="0"/>
    </w:pPr>
  </w:style>
  <w:style w:type="paragraph" w:styleId="179">
    <w:name w:val="toc 9"/>
    <w:basedOn w:val="1"/>
    <w:next w:val="1"/>
    <w:unhideWhenUsed/>
    <w:uiPriority w:val="39"/>
    <w:pPr>
      <w:spacing w:after="57"/>
      <w:ind w:left="2268" w:right="0" w:firstLine="0"/>
    </w:pPr>
  </w:style>
  <w:style w:type="paragraph" w:customStyle="1" w:styleId="180">
    <w:name w:val="TOC Heading"/>
    <w:unhideWhenUsed/>
    <w:qFormat/>
    <w:uiPriority w:val="39"/>
    <w:rPr>
      <w:rFonts w:asciiTheme="minorHAnsi" w:hAnsiTheme="minorHAnsi" w:eastAsiaTheme="minorEastAsia" w:cstheme="minorBidi"/>
      <w:sz w:val="21"/>
      <w:szCs w:val="22"/>
    </w:rPr>
  </w:style>
  <w:style w:type="paragraph" w:styleId="181">
    <w:name w:val="table of figures"/>
    <w:basedOn w:val="1"/>
    <w:next w:val="1"/>
    <w:unhideWhenUsed/>
    <w:qFormat/>
    <w:uiPriority w:val="99"/>
    <w:pPr>
      <w:spacing w:after="0" w:afterAutospacing="0"/>
    </w:pPr>
  </w:style>
</w:style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TotalTime>161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2025-12-18T19:13:00Z</dcterms:created>
  <dc:creator>Вячеслав Шебанов</dc:creator>
  <cp:lastModifiedBy>Вячеслав Шебанов</cp:lastModifiedBy>
  <dcterms:modified xsi:type="dcterms:W3CDTF">2025-12-20T13:04:00Z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8D37AD41DEA3431AAEE84EE4CE9679F5_12</vt:lpwstr>
  </property>
</Properties>
</file>