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7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E16A2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-889635</wp:posOffset>
            </wp:positionV>
            <wp:extent cx="7559675" cy="10639425"/>
            <wp:effectExtent l="0" t="0" r="14605" b="13335"/>
            <wp:wrapNone/>
            <wp:docPr id="1" name="Рисунок 1" descr="C:/Users/Machcreator/Pictures/Screenshots/Снимок экрана 2025-12-18 173854.pngСнимок экрана 2025-12-18 173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/Users/Machcreator/Pictures/Screenshots/Снимок экрана 2025-12-18 173854.pngСнимок экрана 2025-12-18 173854"/>
                    <pic:cNvPicPr>
                      <a:picLocks noChangeAspect="1"/>
                    </pic:cNvPicPr>
                  </pic:nvPicPr>
                  <pic:blipFill>
                    <a:blip r:embed="rId4"/>
                    <a:srcRect l="2689" r="2689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77D8D2"/>
    <w:p w14:paraId="3E76EDD0"/>
    <w:p w14:paraId="66BF6114"/>
    <w:p w14:paraId="33029FDD"/>
    <w:p w14:paraId="0BD98E9E"/>
    <w:p w14:paraId="04DA2629"/>
    <w:p w14:paraId="0B115E6C"/>
    <w:p w14:paraId="64251701"/>
    <w:p w14:paraId="671534B3"/>
    <w:p w14:paraId="7EC9BE09"/>
    <w:p w14:paraId="20F79D1A"/>
    <w:p w14:paraId="0F77418E"/>
    <w:p w14:paraId="5B3BCBA9"/>
    <w:p w14:paraId="03C4A91C"/>
    <w:p w14:paraId="0C1FD5BF"/>
    <w:p w14:paraId="2F6488D9"/>
    <w:p w14:paraId="4364DD2D"/>
    <w:p w14:paraId="11A8FAB2"/>
    <w:p w14:paraId="2F5C9431"/>
    <w:p w14:paraId="127E0F55"/>
    <w:p w14:paraId="6B902A4E"/>
    <w:p w14:paraId="1D3E6A0D"/>
    <w:p w14:paraId="60384929"/>
    <w:p w14:paraId="3B87F9BE"/>
    <w:p w14:paraId="23D39851"/>
    <w:p w14:paraId="73A1D1F5"/>
    <w:p w14:paraId="43E38EDB"/>
    <w:p w14:paraId="22484C20"/>
    <w:p w14:paraId="0DD405D5"/>
    <w:p w14:paraId="062B6B58"/>
    <w:p w14:paraId="76A823BA"/>
    <w:p w14:paraId="776D8964"/>
    <w:p w14:paraId="2DCDC8D3"/>
    <w:p w14:paraId="465CCB71"/>
    <w:p w14:paraId="6B5B80DC"/>
    <w:p w14:paraId="2FAE9743"/>
    <w:p w14:paraId="33FBBE85"/>
    <w:p w14:paraId="5E805A67"/>
    <w:p w14:paraId="4B2C0DD9"/>
    <w:p w14:paraId="0188D7B6"/>
    <w:p w14:paraId="45248782"/>
    <w:p w14:paraId="5E9E697F"/>
    <w:p w14:paraId="71AC380F"/>
    <w:p w14:paraId="7B5DF444"/>
    <w:p w14:paraId="680911C4"/>
    <w:p w14:paraId="3C98740A"/>
    <w:p w14:paraId="74EE45BB"/>
    <w:p w14:paraId="55A25293"/>
    <w:p w14:paraId="313DFE38"/>
    <w:p w14:paraId="20DD08AF"/>
    <w:p w14:paraId="197C2D1E"/>
    <w:p w14:paraId="0DF32D82"/>
    <w:p w14:paraId="67C973BC"/>
    <w:p w14:paraId="12A4D022"/>
    <w:p w14:paraId="228D2C0C"/>
    <w:p w14:paraId="100C70E3"/>
    <w:p w14:paraId="7200E7A5">
      <w:pPr>
        <w:keepNext/>
        <w:pageBreakBefore/>
        <w:spacing w:after="0" w:line="360" w:lineRule="auto"/>
        <w:jc w:val="center"/>
        <w:outlineLvl w:val="9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0" w:name="_Toc171423726"/>
      <w:bookmarkStart w:id="1" w:name="_Toc73211062"/>
    </w:p>
    <w:sdt>
      <w:sdtPr>
        <w:rPr>
          <w:rFonts w:ascii="SimSun" w:hAnsi="SimSun" w:eastAsia="SimSun" w:cstheme="minorBidi"/>
          <w:sz w:val="21"/>
          <w:lang w:val="en-US" w:eastAsia="zh-CN" w:bidi="ar-SA"/>
        </w:rPr>
        <w:id w:val="147481307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Calibri" w:cstheme="minorBidi"/>
          <w:caps/>
          <w:sz w:val="21"/>
          <w:szCs w:val="20"/>
          <w:lang w:val="ru-RU" w:eastAsia="zh-CN" w:bidi="ar-SA"/>
        </w:rPr>
      </w:sdtEndPr>
      <w:sdtContent>
        <w:p w14:paraId="6242F08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/>
              <w:lang w:val="ru-RU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32"/>
              <w:szCs w:val="32"/>
              <w:lang w:val="ru-RU" w:eastAsia="zh-CN" w:bidi="ar-SA"/>
            </w:rPr>
            <w:t>Содержание</w:t>
          </w:r>
        </w:p>
        <w:p w14:paraId="36E09FC7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begin"/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instrText xml:space="preserve">TOC \o "1-3" \h \u </w:instrText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_Toc1698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_Toc1698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0F24572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_Toc8876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Цель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_Toc8876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360A47A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_Toc5241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Задачи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_Toc5241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E5D84E0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_Toc4802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 Основная часть анализ и Выбор набора данных для моделирования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_Toc4802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AE1915F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_Toc27782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1.1. </w:t>
          </w:r>
          <w:r>
            <w:rPr>
              <w:rFonts w:hint="default" w:ascii="Times New Roman" w:hAnsi="Times New Roman" w:cs="Times New Roman"/>
              <w:bCs/>
              <w:iCs w:val="0"/>
              <w:sz w:val="28"/>
              <w:szCs w:val="28"/>
            </w:rPr>
            <w:t>Выбранный набор данных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 IBM HR Analytics Employee «WA_Fn-UseC_-HR-Employee-Attrition»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_Toc27782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4695CEB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_Toc12877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1.2. Предобработка набора данных для повышения качества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_Toc12877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3268AF4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_Toc13556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 xml:space="preserve">2. Анализ предметной </w: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en-US"/>
            </w:rPr>
            <w:t>ОБЛАСТИ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_Toc13556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2F608C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_Toc2428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2.1. Выбор и </w:t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val="en-US"/>
            </w:rPr>
            <w:t>развёртывание</w:t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 среды разработки для языка программирования Python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_Toc2428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868090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_Toc11546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2.2. Анализ теоретических аспектов создания нейросетей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_Toc11546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536BBB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_Toc31373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2.3. Математическая модель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_Toc31373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066F4A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_Toc21885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2.4.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_Toc21885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BD1809F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_Toc30276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  <w:lang w:eastAsia="en-US"/>
            </w:rPr>
            <w:t xml:space="preserve">3. </w:t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</w:rPr>
            <w:t>РАЗРАБОТКА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_Toc30276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33CDA6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_Toc19673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3.1. Создание нейронов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_Toc19673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3E14DB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_Toc30032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3.2. Создание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_Toc30032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14E6405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_Toc12923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3.2.1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Выбор топологии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_Toc12923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0C710482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_Toc26040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3.2.2 Группировка нейронных блоков в нейронную сеть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_Toc26040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1D9BFA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_Toc8313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3.2.3 Экспериментальный подбор характеристик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_Toc8313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9B43CBA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_Toc29886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3.2.4 Сбор и нормализация данных для обучения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_Toc29886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3022BD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_Toc9347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3.3. </w:t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>Обучение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_Toc9347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C4BBE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_Toc8420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3.3.1 Выбор способа оценки адекватности результатов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_Toc8420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DE9A14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_Toc5221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3.3.2 Расчёт количества потерь и их минимизация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_Toc5221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A4F24F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_Toc7402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3.3.3 Анализ адекватности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_Toc7402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5BE609C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_Toc17265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 xml:space="preserve">3.4.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_Toc17265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7978A66">
          <w:pPr>
            <w:pStyle w:val="19"/>
            <w:tabs>
              <w:tab w:val="right" w:leader="dot" w:pos="8306"/>
            </w:tabs>
            <w:ind w:left="0" w:leftChars="0" w:firstLine="0" w:firstLineChars="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_Toc5128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Заключение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_Toc5128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CC97D68">
          <w:pPr>
            <w:pStyle w:val="19"/>
            <w:tabs>
              <w:tab w:val="right" w:leader="dot" w:pos="8306"/>
            </w:tabs>
            <w:ind w:left="0" w:leftChars="0" w:firstLine="0" w:firstLineChars="0"/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_Toc2157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bCs/>
              <w:caps/>
              <w:sz w:val="28"/>
              <w:szCs w:val="28"/>
              <w:lang w:val="en-US" w:eastAsia="zh-CN" w:bidi="ar-SA"/>
            </w:rPr>
            <w:t>Список используемых источников и литературы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_Toc2157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5A5EC60">
          <w:pPr>
            <w:keepNext/>
            <w:pageBreakBefore/>
            <w:spacing w:after="0" w:line="360" w:lineRule="auto"/>
            <w:jc w:val="both"/>
            <w:outlineLvl w:val="9"/>
            <w:rPr>
              <w:rFonts w:hint="default" w:ascii="Times New Roman" w:hAnsi="Times New Roman" w:eastAsia="Calibri" w:cstheme="minorBidi"/>
              <w:caps/>
              <w:szCs w:val="20"/>
              <w:lang w:val="ru-RU" w:eastAsia="zh-CN" w:bidi="ar-SA"/>
            </w:rPr>
          </w:pPr>
          <w:r>
            <w:rPr>
              <w:rFonts w:hint="default" w:ascii="Times New Roman" w:hAnsi="Times New Roman" w:eastAsia="Calibri"/>
              <w:caps/>
              <w:szCs w:val="20"/>
              <w:lang w:val="ru-RU"/>
            </w:rPr>
            <w:fldChar w:fldCharType="end"/>
          </w:r>
        </w:p>
      </w:sdtContent>
    </w:sdt>
    <w:p w14:paraId="3D7D338F">
      <w:pPr>
        <w:pStyle w:val="2"/>
        <w:numPr>
          <w:ilvl w:val="0"/>
          <w:numId w:val="0"/>
        </w:numPr>
        <w:bidi w:val="0"/>
        <w:ind w:leftChars="0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2" w:name="_Toc1698"/>
      <w:r>
        <w:rPr>
          <w:rFonts w:ascii="Times New Roman" w:hAnsi="Times New Roman" w:eastAsia="Calibri"/>
          <w:b/>
          <w:caps/>
          <w:sz w:val="28"/>
          <w:szCs w:val="20"/>
        </w:rPr>
        <w:t>Введение</w:t>
      </w:r>
      <w:bookmarkEnd w:id="0"/>
      <w:bookmarkEnd w:id="1"/>
      <w:bookmarkEnd w:id="2"/>
    </w:p>
    <w:p w14:paraId="48EFC7B9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7845B02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Производственная практика проходила на кафедре факультета информационных технологий в Московском университете им. С.Ю. Витте, в ходе практики решается проблема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автоматизации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генерации контента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социальных сетей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путём применения генеративных моделей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обученных на русскоязычном датасете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RuSentiTweet,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также при помощи использования рекурентных моделей по типу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LSTM.</w:t>
      </w:r>
    </w:p>
    <w:p w14:paraId="0514D776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3" w:name="_Toc8876"/>
      <w:r>
        <w:rPr>
          <w:rFonts w:ascii="Times New Roman" w:hAnsi="Times New Roman"/>
          <w:b/>
          <w:sz w:val="28"/>
          <w:szCs w:val="28"/>
        </w:rPr>
        <w:t>Цель практики</w:t>
      </w:r>
      <w:bookmarkEnd w:id="3"/>
    </w:p>
    <w:p w14:paraId="7B272733">
      <w:pPr>
        <w:spacing w:after="0" w:line="36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Использовать методы глубокого обучения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для автоматизированной генерации текста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для социальных сетей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на русском языке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инновационность подхода к автоматизации заключается в применении ансамблевых методов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для оптимизации процесса генерации за счет улавливания контекста и особенностей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реализованного при помощи ячеек памяти и правильных параметров при токенизации текста</w:t>
      </w:r>
      <w:r>
        <w:rPr>
          <w:rFonts w:hint="default" w:ascii="Times New Roman" w:hAnsi="Times New Roman"/>
          <w:sz w:val="28"/>
          <w:szCs w:val="28"/>
          <w:lang w:val="en-US"/>
        </w:rPr>
        <w:t>.</w:t>
      </w:r>
    </w:p>
    <w:p w14:paraId="2D190722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4" w:name="_Toc5241"/>
      <w:r>
        <w:rPr>
          <w:rFonts w:ascii="Times New Roman" w:hAnsi="Times New Roman"/>
          <w:b/>
          <w:sz w:val="28"/>
          <w:szCs w:val="28"/>
        </w:rPr>
        <w:t>Задачи практики</w:t>
      </w:r>
      <w:bookmarkEnd w:id="4"/>
    </w:p>
    <w:p w14:paraId="315CF982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Анализ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доступных русскоязычных датаасетов по постам в социальных сетях.</w:t>
      </w:r>
    </w:p>
    <w:p w14:paraId="6A3D8C5A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Предобработка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данных включая очистку текстов от лишних символов, преобразование в эмбеддинги.</w:t>
      </w:r>
    </w:p>
    <w:p w14:paraId="12334280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Сформировать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последовательности определённой длины,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на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входном слое LSTM,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разделение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на выборки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RuSentiTweet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обучающую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и валидационную. </w:t>
      </w:r>
    </w:p>
    <w:p w14:paraId="10FDB828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Оценить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качество сгенерированных постов используя автоматические метрики: Preplexity.</w:t>
      </w:r>
    </w:p>
    <w:p w14:paraId="7D43BBD5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Визуализировать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результаты практики,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при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помощи графиков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ru-RU" w:bidi="ru-RU"/>
        </w:rPr>
        <w:t>распределения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 длин текстов.</w:t>
      </w:r>
    </w:p>
    <w:p w14:paraId="452D844E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</w:pP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 xml:space="preserve">Выгрузить проект в GitHub ссылка: 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fldChar w:fldCharType="begin"/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instrText xml:space="preserve"> HYPERLINK "https://github.com/Slavik993/Practica_Golovasticov_social_media_post_generation/tree/main" </w:instrTex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fldChar w:fldCharType="separate"/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>Practica_Golovasticov_social_media_post_generation/ at main · Slavik993/Practica_Golovasticov_social_media_post_generation</w:t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fldChar w:fldCharType="end"/>
      </w:r>
      <w:r>
        <w:rPr>
          <w:rFonts w:hint="default" w:ascii="Times New Roman" w:hAnsi="Times New Roman"/>
          <w:iCs/>
          <w:color w:val="000000"/>
          <w:sz w:val="28"/>
          <w:szCs w:val="28"/>
          <w:lang w:val="en-US" w:bidi="ru-RU"/>
        </w:rPr>
        <w:t>.</w:t>
      </w:r>
    </w:p>
    <w:p w14:paraId="7D3A3EBC">
      <w:pPr>
        <w:pStyle w:val="2"/>
        <w:numPr>
          <w:ilvl w:val="0"/>
          <w:numId w:val="4"/>
        </w:numPr>
        <w:bidi w:val="0"/>
        <w:ind w:leftChars="0"/>
        <w:rPr>
          <w:sz w:val="28"/>
          <w:szCs w:val="28"/>
        </w:rPr>
      </w:pPr>
      <w:bookmarkStart w:id="5" w:name="_Toc4802"/>
      <w:r>
        <w:rPr>
          <w:sz w:val="28"/>
          <w:szCs w:val="28"/>
          <w:lang w:val="ru-RU"/>
        </w:rPr>
        <w:t>Основная</w:t>
      </w:r>
      <w:r>
        <w:rPr>
          <w:rFonts w:hint="default"/>
          <w:sz w:val="28"/>
          <w:szCs w:val="28"/>
          <w:lang w:val="ru-RU"/>
        </w:rPr>
        <w:t xml:space="preserve"> часть анализ и Выбор набора данных для моделирования</w:t>
      </w:r>
      <w:bookmarkEnd w:id="5"/>
      <w:r>
        <w:rPr>
          <w:rFonts w:hint="default"/>
          <w:sz w:val="28"/>
          <w:szCs w:val="28"/>
          <w:lang w:val="ru-RU"/>
        </w:rPr>
        <w:t xml:space="preserve"> </w:t>
      </w:r>
    </w:p>
    <w:p w14:paraId="755E1D71">
      <w:pPr>
        <w:numPr>
          <w:ilvl w:val="0"/>
          <w:numId w:val="0"/>
        </w:numPr>
      </w:pPr>
    </w:p>
    <w:p w14:paraId="3AD3B7EA">
      <w:pPr>
        <w:pStyle w:val="3"/>
        <w:numPr>
          <w:ilvl w:val="1"/>
          <w:numId w:val="4"/>
        </w:numPr>
        <w:ind w:leftChars="0"/>
        <w:rPr>
          <w:rFonts w:ascii="Times New Roman;Times New Roman" w:hAnsi="Times New Roman;Times New Roman" w:cs="Times New Roman;Times New Roman"/>
          <w:b/>
          <w:bCs/>
          <w:sz w:val="28"/>
        </w:rPr>
      </w:pPr>
      <w:bookmarkStart w:id="6" w:name="_Toc27782"/>
      <w:r>
        <w:rPr>
          <w:rStyle w:val="17"/>
          <w:rFonts w:ascii="Times New Roman;Times New Roman" w:hAnsi="Times New Roman;Times New Roman" w:cs="Times New Roman;Times New Roman"/>
          <w:b/>
          <w:bCs/>
          <w:iCs w:val="0"/>
          <w:sz w:val="28"/>
          <w:szCs w:val="28"/>
        </w:rPr>
        <w:t>Выбранный набор данных</w:t>
      </w:r>
      <w:r>
        <w:rPr>
          <w:rFonts w:ascii="Times New Roman;Times New Roman" w:hAnsi="Times New Roman;Times New Roman" w:cs="Times New Roman;Times New Roman"/>
          <w:b/>
          <w:bCs/>
          <w:sz w:val="28"/>
        </w:rPr>
        <w:t xml:space="preserve"> </w:t>
      </w:r>
      <w:bookmarkEnd w:id="6"/>
      <w:r>
        <w:rPr>
          <w:rFonts w:hint="default" w:ascii="Times New Roman;Times New Roman" w:hAnsi="Times New Roman;Times New Roman" w:cs="Times New Roman;Times New Roman"/>
          <w:b/>
          <w:bCs/>
          <w:sz w:val="28"/>
          <w:lang w:val="en-US"/>
        </w:rPr>
        <w:t>RuSentiTweet</w:t>
      </w:r>
    </w:p>
    <w:p w14:paraId="36B2233D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46D33FB8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Подобранный набор, взят с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GitHub: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fldChar w:fldCharType="begin"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instrText xml:space="preserve"> HYPERLINK "https://github.com/sismetanin/rusentitweet" </w:instrTex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fldChar w:fldCharType="separate"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sismetanin/rusentitweet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fldChar w:fldCharType="end"/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.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Датасет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имеет подходящий размер тринадцать тысяч триста девяносто два поста в социальных сетях на русском языке, подходящая сложность датасета объясняется характеристиками указанными в таблице 1 ниже.</w:t>
      </w:r>
    </w:p>
    <w:p w14:paraId="1167BFE0">
      <w:pPr>
        <w:wordWrap w:val="0"/>
        <w:spacing w:after="0" w:line="360" w:lineRule="auto"/>
        <w:ind w:firstLine="709"/>
        <w:jc w:val="right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Таблица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1.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Характеристики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набора данных.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4D561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30F8F1FA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Параметр</w:t>
            </w:r>
          </w:p>
        </w:tc>
        <w:tc>
          <w:tcPr>
            <w:tcW w:w="2841" w:type="dxa"/>
          </w:tcPr>
          <w:p w14:paraId="5D3E4F1C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Значение</w:t>
            </w:r>
          </w:p>
        </w:tc>
        <w:tc>
          <w:tcPr>
            <w:tcW w:w="2841" w:type="dxa"/>
          </w:tcPr>
          <w:p w14:paraId="00D8A482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Описание</w:t>
            </w:r>
          </w:p>
        </w:tc>
      </w:tr>
      <w:tr w14:paraId="1893D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3810598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Количество записей</w:t>
            </w:r>
          </w:p>
        </w:tc>
        <w:tc>
          <w:tcPr>
            <w:tcW w:w="2841" w:type="dxa"/>
          </w:tcPr>
          <w:p w14:paraId="612FABA1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13 392</w:t>
            </w:r>
          </w:p>
        </w:tc>
        <w:tc>
          <w:tcPr>
            <w:tcW w:w="2841" w:type="dxa"/>
          </w:tcPr>
          <w:p w14:paraId="71DB62B6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Общее число твитов</w:t>
            </w:r>
          </w:p>
        </w:tc>
      </w:tr>
      <w:tr w14:paraId="0A46A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2B0243B9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Язык</w:t>
            </w:r>
          </w:p>
        </w:tc>
        <w:tc>
          <w:tcPr>
            <w:tcW w:w="2841" w:type="dxa"/>
          </w:tcPr>
          <w:p w14:paraId="268D8302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Русский</w:t>
            </w:r>
          </w:p>
        </w:tc>
        <w:tc>
          <w:tcPr>
            <w:tcW w:w="2841" w:type="dxa"/>
          </w:tcPr>
          <w:p w14:paraId="274CA15A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Соблюдены требования к языку, 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для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генерации</w:t>
            </w:r>
          </w:p>
        </w:tc>
      </w:tr>
      <w:tr w14:paraId="09BF7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8936246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Средняя длина поста</w:t>
            </w:r>
          </w:p>
        </w:tc>
        <w:tc>
          <w:tcPr>
            <w:tcW w:w="2841" w:type="dxa"/>
          </w:tcPr>
          <w:p w14:paraId="475B777E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85 символов</w:t>
            </w:r>
          </w:p>
        </w:tc>
        <w:tc>
          <w:tcPr>
            <w:tcW w:w="2841" w:type="dxa"/>
          </w:tcPr>
          <w:p w14:paraId="7A9961C9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Количество символовподходит под параметры запоминания контекста</w:t>
            </w:r>
          </w:p>
        </w:tc>
      </w:tr>
      <w:tr w14:paraId="67731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68F52A52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Колонка с текстом</w:t>
            </w:r>
          </w:p>
        </w:tc>
        <w:tc>
          <w:tcPr>
            <w:tcW w:w="2841" w:type="dxa"/>
          </w:tcPr>
          <w:p w14:paraId="0067C58D">
            <w:pPr>
              <w:wordWrap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text</w:t>
            </w:r>
          </w:p>
        </w:tc>
        <w:tc>
          <w:tcPr>
            <w:tcW w:w="2841" w:type="dxa"/>
          </w:tcPr>
          <w:p w14:paraId="3E3C3AFB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Основной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признак для обучения</w:t>
            </w:r>
          </w:p>
        </w:tc>
      </w:tr>
      <w:tr w14:paraId="4B9F3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2BF67BED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Дополнительные колонки</w:t>
            </w:r>
          </w:p>
        </w:tc>
        <w:tc>
          <w:tcPr>
            <w:tcW w:w="2841" w:type="dxa"/>
          </w:tcPr>
          <w:p w14:paraId="3142CE37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>Label “sentiment”</w:t>
            </w:r>
          </w:p>
        </w:tc>
        <w:tc>
          <w:tcPr>
            <w:tcW w:w="2841" w:type="dxa"/>
          </w:tcPr>
          <w:p w14:paraId="01FD859B">
            <w:pPr>
              <w:wordWrap w:val="0"/>
              <w:spacing w:after="0" w:line="360" w:lineRule="auto"/>
              <w:jc w:val="right"/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Не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использовались, 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ru-RU" w:eastAsia="ru-RU"/>
              </w:rPr>
              <w:t>для</w:t>
            </w:r>
            <w:r>
              <w:rPr>
                <w:rFonts w:hint="default" w:ascii="Times New Roman;Times New Roman" w:hAnsi="Times New Roman;Times New Roman" w:eastAsia="Times New Roman;Times New Roman" w:cs="Times New Roman;Times New Roman"/>
                <w:color w:val="000000"/>
                <w:sz w:val="28"/>
                <w:vertAlign w:val="baseline"/>
                <w:lang w:val="en-US" w:eastAsia="ru-RU"/>
              </w:rPr>
              <w:t xml:space="preserve"> задачи генерации</w:t>
            </w:r>
          </w:p>
        </w:tc>
      </w:tr>
    </w:tbl>
    <w:p w14:paraId="25E8E219">
      <w:pPr>
        <w:wordWrap/>
        <w:spacing w:after="0" w:line="360" w:lineRule="auto"/>
        <w:ind w:firstLine="709"/>
        <w:jc w:val="right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34294234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</w:p>
    <w:p w14:paraId="1F3EDD94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70" w:name="_GoBack"/>
      <w:bookmarkEnd w:id="70"/>
    </w:p>
    <w:p w14:paraId="1BE7CBA5">
      <w:pPr>
        <w:pStyle w:val="2"/>
        <w:numPr>
          <w:ilvl w:val="0"/>
          <w:numId w:val="4"/>
        </w:numPr>
        <w:bidi w:val="0"/>
        <w:ind w:leftChars="0"/>
        <w:rPr>
          <w:rFonts w:eastAsia="Calibri"/>
          <w:caps/>
          <w:sz w:val="28"/>
          <w:szCs w:val="20"/>
        </w:rPr>
      </w:pPr>
      <w:bookmarkStart w:id="7" w:name="_Toc42166413"/>
      <w:bookmarkStart w:id="8" w:name="_Toc73211064"/>
      <w:bookmarkStart w:id="9" w:name="_Toc13556"/>
      <w:bookmarkStart w:id="10" w:name="_Toc171423728"/>
      <w:r>
        <w:rPr>
          <w:rFonts w:eastAsia="Calibri"/>
          <w:caps/>
          <w:sz w:val="28"/>
          <w:szCs w:val="20"/>
        </w:rPr>
        <w:t xml:space="preserve">Анализ </w:t>
      </w:r>
      <w:bookmarkEnd w:id="7"/>
      <w:r>
        <w:rPr>
          <w:rFonts w:eastAsia="Calibri"/>
          <w:caps/>
          <w:sz w:val="28"/>
          <w:szCs w:val="20"/>
        </w:rPr>
        <w:t xml:space="preserve">предметной </w:t>
      </w:r>
      <w:r>
        <w:rPr>
          <w:rFonts w:eastAsia="Calibri"/>
          <w:caps/>
          <w:sz w:val="28"/>
          <w:szCs w:val="20"/>
          <w:lang w:val="en-US"/>
        </w:rPr>
        <w:t>ОБЛАСТИ</w:t>
      </w:r>
      <w:bookmarkEnd w:id="8"/>
      <w:bookmarkEnd w:id="9"/>
      <w:bookmarkEnd w:id="10"/>
    </w:p>
    <w:p w14:paraId="5958B75E"/>
    <w:p w14:paraId="149378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1" w:name="_Toc73211065"/>
      <w:bookmarkStart w:id="12" w:name="_Toc171423729"/>
      <w:bookmarkStart w:id="13" w:name="_Toc2428"/>
      <w:r>
        <w:rPr>
          <w:rFonts w:ascii="Times New Roman" w:hAnsi="Times New Roman" w:eastAsia="Calibri"/>
          <w:b/>
          <w:sz w:val="28"/>
          <w:szCs w:val="20"/>
        </w:rPr>
        <w:t xml:space="preserve">Выбор и </w:t>
      </w:r>
      <w:r>
        <w:rPr>
          <w:rFonts w:eastAsia="Calibri"/>
          <w:b/>
          <w:sz w:val="28"/>
          <w:szCs w:val="20"/>
          <w:lang w:val="en-US"/>
        </w:rPr>
        <w:t>развёртывание</w:t>
      </w:r>
      <w:r>
        <w:rPr>
          <w:rFonts w:ascii="Times New Roman" w:hAnsi="Times New Roman" w:eastAsia="Calibri"/>
          <w:b/>
          <w:sz w:val="28"/>
          <w:szCs w:val="20"/>
        </w:rPr>
        <w:t xml:space="preserve"> среды разработки для языка программирования Python</w:t>
      </w:r>
      <w:bookmarkEnd w:id="11"/>
      <w:bookmarkEnd w:id="12"/>
      <w:bookmarkEnd w:id="13"/>
    </w:p>
    <w:p w14:paraId="2282B33C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675E8F1F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реализации обучения рекурсивной модели использовалась виртуальная среда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Python,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версии 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.11.9,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поддерживающей необходимые библиотеки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опыт работы с машинным обучением привёл к разработке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Jupiter Notebook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велась на платформе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JupiterLab,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позволяющей запускать код не полностью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по блокам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видеть графики сразу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размечать блоки кода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Latex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формате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удобно вставлять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пояснения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таблице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приведены технические характеристики ноутбука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использовавшегося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выполнения практики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062ED3BC">
      <w:pPr>
        <w:keepNext/>
        <w:wordWrap w:val="0"/>
        <w:spacing w:before="360" w:after="360" w:line="240" w:lineRule="auto"/>
        <w:jc w:val="right"/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</w:pPr>
      <w:r>
        <w:rPr>
          <w:rFonts w:ascii="Times New Roman" w:hAnsi="Times New Roman" w:eastAsia="Calibri"/>
          <w:bCs/>
          <w:sz w:val="28"/>
          <w:szCs w:val="20"/>
        </w:rPr>
        <w:t xml:space="preserve">Таблица </w:t>
      </w:r>
      <w:r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  <w:t>2</w:t>
      </w:r>
      <w:r>
        <w:rPr>
          <w:rFonts w:ascii="Times New Roman" w:hAnsi="Times New Roman" w:eastAsia="Calibri"/>
          <w:bCs/>
          <w:sz w:val="28"/>
          <w:szCs w:val="20"/>
        </w:rPr>
        <w:t xml:space="preserve"> – </w:t>
      </w:r>
      <w:r>
        <w:rPr>
          <w:rFonts w:ascii="Times New Roman" w:hAnsi="Times New Roman" w:eastAsia="Calibri"/>
          <w:bCs/>
          <w:sz w:val="28"/>
          <w:szCs w:val="20"/>
          <w:lang w:val="ru-RU"/>
        </w:rPr>
        <w:t>Характеристика</w:t>
      </w:r>
      <w:r>
        <w:rPr>
          <w:rFonts w:hint="default" w:ascii="Times New Roman" w:hAnsi="Times New Roman" w:eastAsia="Calibri"/>
          <w:bCs/>
          <w:sz w:val="28"/>
          <w:szCs w:val="20"/>
          <w:lang w:val="ru-RU"/>
        </w:rPr>
        <w:t xml:space="preserve"> ноутбука</w:t>
      </w:r>
      <w:r>
        <w:rPr>
          <w:rFonts w:hint="default" w:ascii="Times New Roman" w:hAnsi="Times New Roman" w:eastAsia="Calibri"/>
          <w:bCs/>
          <w:sz w:val="28"/>
          <w:szCs w:val="20"/>
          <w:lang w:val="en-US"/>
        </w:rPr>
        <w:t>.</w:t>
      </w:r>
    </w:p>
    <w:tbl>
      <w:tblPr>
        <w:tblStyle w:val="1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1"/>
        <w:gridCol w:w="4251"/>
      </w:tblGrid>
      <w:tr w14:paraId="4FF88E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057EDB6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Комплектующие</w:t>
            </w:r>
          </w:p>
        </w:tc>
        <w:tc>
          <w:tcPr>
            <w:tcW w:w="4913" w:type="dxa"/>
          </w:tcPr>
          <w:p w14:paraId="3B7EA29C">
            <w:pPr>
              <w:tabs>
                <w:tab w:val="left" w:pos="709"/>
              </w:tabs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Технические характеристики</w:t>
            </w:r>
          </w:p>
        </w:tc>
      </w:tr>
      <w:tr w14:paraId="000FA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F2EDF38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Процессор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 AMD Ryzen 5 7430 Radeon Graphics</w:t>
            </w:r>
          </w:p>
        </w:tc>
        <w:tc>
          <w:tcPr>
            <w:tcW w:w="4913" w:type="dxa"/>
          </w:tcPr>
          <w:p w14:paraId="551B096C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2.30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Гц</w:t>
            </w:r>
          </w:p>
        </w:tc>
      </w:tr>
      <w:tr w14:paraId="0B0D0F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2CB42D8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Оперативная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память</w:t>
            </w:r>
          </w:p>
        </w:tc>
        <w:tc>
          <w:tcPr>
            <w:tcW w:w="4913" w:type="dxa"/>
          </w:tcPr>
          <w:p w14:paraId="3C16DF10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16 Гб</w:t>
            </w:r>
          </w:p>
        </w:tc>
      </w:tr>
      <w:tr w14:paraId="2E5821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5383B3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Видеокарта</w:t>
            </w:r>
          </w:p>
        </w:tc>
        <w:tc>
          <w:tcPr>
            <w:tcW w:w="4913" w:type="dxa"/>
          </w:tcPr>
          <w:p w14:paraId="62242D43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Нет</w:t>
            </w:r>
          </w:p>
        </w:tc>
      </w:tr>
      <w:tr w14:paraId="5FFA2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01B395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Операционная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система </w:t>
            </w:r>
          </w:p>
        </w:tc>
        <w:tc>
          <w:tcPr>
            <w:tcW w:w="4913" w:type="dxa"/>
          </w:tcPr>
          <w:p w14:paraId="5ADD2074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Windows 11 x64</w:t>
            </w:r>
          </w:p>
        </w:tc>
      </w:tr>
    </w:tbl>
    <w:p w14:paraId="60F1D4D7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EDDAE9E">
      <w:pPr>
        <w:tabs>
          <w:tab w:val="left" w:pos="709"/>
        </w:tabs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Доказательство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отсутствия наличии видеокарты на ноутбуке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приведено на рисунке 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следовательно аппаратное ускорение не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реализуемо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обучение только на процессоре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6145BC36">
      <w:pPr>
        <w:tabs>
          <w:tab w:val="left" w:pos="709"/>
        </w:tabs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3BB0BD8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1539240" cy="739140"/>
            <wp:effectExtent l="0" t="0" r="0" b="7620"/>
            <wp:docPr id="1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3924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0118D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5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Проверка наличия видеокарты и версии установленной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TensorFlow</w:t>
      </w:r>
    </w:p>
    <w:p w14:paraId="38D339C6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BD8E0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4" w:name="_Toc171423730"/>
      <w:bookmarkStart w:id="15" w:name="_Toc73211066"/>
      <w:bookmarkStart w:id="16" w:name="_Toc11546"/>
      <w:r>
        <w:rPr>
          <w:rFonts w:ascii="Times New Roman" w:hAnsi="Times New Roman" w:eastAsia="Calibri"/>
          <w:b/>
          <w:sz w:val="28"/>
          <w:szCs w:val="20"/>
        </w:rPr>
        <w:t>Анализ теоретических аспектов создания нейросетей</w:t>
      </w:r>
      <w:bookmarkEnd w:id="14"/>
      <w:bookmarkEnd w:id="15"/>
      <w:bookmarkEnd w:id="16"/>
    </w:p>
    <w:p w14:paraId="51FBB1D2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209A2AFA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 эксплутационной практике используется модель способная обрабатывать последовательности временных рядов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без утихающего градиента и взрыва градиента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рекуррентная сеть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способной запоминать прошлые контексты предыдущих элементов через связи скрытых состояний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вычисляющихся по формулам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Формула для затвор забывания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324F1802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для затвора ввода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4372931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A24ABF4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кандитат на обновление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6322EA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2E49BE5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обновления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EE02F03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1E3C956C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затвора вывода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DC71126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50B32D5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скрытого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66F0B70A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3319FA6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Благодаря воротам способным контролировать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забывание и запоминание ячейкам памяти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предотвращаются нелинейные преобразования внутри решаются проблемы стабилизации обновления весов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затухания градиента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градиентного взрыва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.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 </w:t>
      </w:r>
    </w:p>
    <w:p w14:paraId="10FF88F3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Формулы для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RNN,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модели с проблемами градиентного взрыва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затуханием градиента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61F74EFF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=</m:t>
          </m:r>
          <m:func>
            <m:func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funcPr>
            <m:fNam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tanh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fName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(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</m:func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W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−1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+</m:t>
          </m:r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W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x</m:t>
              </m:r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x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+</m:t>
          </m:r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b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)</m:t>
          </m:r>
        </m:oMath>
      </m:oMathPara>
    </w:p>
    <w:p w14:paraId="2FC3A5F6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h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в формуле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:</w:t>
      </w:r>
    </w:p>
    <w:p w14:paraId="2F42170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входной вектор в момент времени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t</w:t>
      </w:r>
    </w:p>
    <w:p w14:paraId="7693CC78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скрытое состояние в момент времени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t</w:t>
      </w:r>
    </w:p>
    <w:p w14:paraId="5F8B5857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матрицы весов</w:t>
      </w:r>
    </w:p>
    <w:p w14:paraId="200AC50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смещения </w:t>
      </w:r>
    </w:p>
    <w:p w14:paraId="718C5FF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tanh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гиперболический тангенс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</w:p>
    <w:p w14:paraId="211E0570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ab/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Long Short-Term Memory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модель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не имеет проблем с взрывом градиента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и широко используется в промышленности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“IoT”,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при работе с временными рядами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.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Использование трансформеров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обходится дороже по ресурсам памяти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вот формула подтверждение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: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у трансформеров </w:t>
      </w: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p>
          <m:sSup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n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сложность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а 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LSTM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 имеет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линейную сложность </w:t>
      </w: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  <w:lang w:val="en-US"/>
          </w:rPr>
          <m:t>(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, 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сложность взята из механизма внимания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br w:type="textWrapping"/>
      </w:r>
      <m:oMath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Q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Q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, 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K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K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, 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783BD49B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  <m:oMath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Attention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Q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K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)=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softmax</m:t>
        </m:r>
        <m:d>
          <m:d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</m:r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  <m:t>Q</m:t>
                </m:r>
                <m:sSup>
                  <m:sSupP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  <m:t>K</m:t>
                    </m: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e>
                  <m:sup>
                    <m:r>
                      <m:rPr>
                        <m:nor/>
                      </m:r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sup>
                </m:sSup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deg>
                  <m:e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e>
                </m:rad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den>
            </m:f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e>
        </m:d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5C550B5C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Получается соотношение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ab/>
      </w:r>
    </w:p>
    <w:p w14:paraId="30CCFC7E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Cambria Math" w:eastAsia="monospace" w:cs="Times New Roman"/>
          <w:i w:val="0"/>
          <w:sz w:val="28"/>
          <w:szCs w:val="28"/>
          <w:lang w:val="ru-RU"/>
        </w:rPr>
        <w:t>Память трансформера</w:t>
      </w:r>
      <m:oMath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 ∝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⋅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d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2D074F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Память</w:t>
      </w:r>
      <w:r>
        <w:rPr>
          <w:rFonts w:hint="default" w:ascii="Times New Roman" w:hAnsi="Cambria Math" w:eastAsia="Consolas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∝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d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2C2DC2F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hAnsi="Cambria Math" w:eastAsia="Consolas" w:cs="Times New Roman"/>
          <w:i w:val="0"/>
          <w:sz w:val="28"/>
          <w:szCs w:val="28"/>
        </w:rPr>
      </w:pPr>
    </w:p>
    <w:p w14:paraId="7163B714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left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>Соотношение</w:t>
      </w:r>
      <w:r>
        <w:rPr>
          <w:rFonts w:hint="default" w:hAnsi="Cambria Math" w:eastAsia="monospace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O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(</m:t>
            </m:r>
            <m:sSup>
              <m:sSupP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sSupPr>
              <m:e>
                <m:r>
                  <m:rPr>
                    <m:nor/>
                  </m:r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monospace" w:cs="Times New Roman"/>
                    <w:b w:val="0"/>
                    <w:i w:val="0"/>
                    <w:sz w:val="28"/>
                    <w:szCs w:val="28"/>
                  </w:rPr>
                  <m:t>2</m:t>
                </m: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sup>
            </m:s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⋅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d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O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(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n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⋅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d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073E0AB7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left"/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ab/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 xml:space="preserve">Ниже приведена таблица сравнения трансформеров с 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 xml:space="preserve"> по потреблению памяти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 xml:space="preserve">. </w:t>
      </w:r>
    </w:p>
    <w:p w14:paraId="56954DE9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 w:eastAsia="en-US"/>
        </w:rPr>
        <w:t>Таблица 3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 xml:space="preserve">. - 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 w:eastAsia="en-US"/>
        </w:rPr>
        <w:t>Сравнение потребления памяти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>.</w:t>
      </w:r>
    </w:p>
    <w:p w14:paraId="4356979C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vertAlign w:val="baseline"/>
          <w:lang w:val="en-US" w:eastAsia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ab/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4"/>
        <w:gridCol w:w="2098"/>
        <w:gridCol w:w="1799"/>
        <w:gridCol w:w="2841"/>
      </w:tblGrid>
      <w:tr w14:paraId="024BB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84" w:type="dxa"/>
          </w:tcPr>
          <w:p w14:paraId="71B85630">
            <w:pPr>
              <w:pStyle w:val="11"/>
              <w:keepNext w:val="0"/>
              <w:keepLines w:val="0"/>
              <w:widowControl/>
              <w:suppressLineNumbers w:val="0"/>
              <w:wordWrap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 xml:space="preserve">Длина последовательности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n</w:t>
            </w:r>
          </w:p>
        </w:tc>
        <w:tc>
          <w:tcPr>
            <w:tcW w:w="2098" w:type="dxa"/>
          </w:tcPr>
          <w:p w14:paraId="7B181A7F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Трансформеры</w:t>
            </w:r>
          </w:p>
        </w:tc>
        <w:tc>
          <w:tcPr>
            <w:tcW w:w="1799" w:type="dxa"/>
          </w:tcPr>
          <w:p w14:paraId="0DB7824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LSTM</w:t>
            </w:r>
          </w:p>
        </w:tc>
        <w:tc>
          <w:tcPr>
            <w:tcW w:w="2841" w:type="dxa"/>
          </w:tcPr>
          <w:p w14:paraId="3D3B3AC9">
            <w:pPr>
              <w:pStyle w:val="11"/>
              <w:keepNext w:val="0"/>
              <w:keepLines w:val="0"/>
              <w:widowControl/>
              <w:suppressLineNumbers w:val="0"/>
              <w:wordWrap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Соотношение Трансформеры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/LSTM</w:t>
            </w:r>
          </w:p>
        </w:tc>
      </w:tr>
      <w:tr w14:paraId="3877B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3C96129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512</w:t>
            </w:r>
          </w:p>
        </w:tc>
        <w:tc>
          <w:tcPr>
            <w:tcW w:w="2098" w:type="dxa"/>
          </w:tcPr>
          <w:p w14:paraId="3638F4F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0,27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2F90769E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 Мб</w:t>
            </w:r>
          </w:p>
        </w:tc>
        <w:tc>
          <w:tcPr>
            <w:tcW w:w="2841" w:type="dxa"/>
          </w:tcPr>
          <w:p w14:paraId="3C84340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67</w:t>
            </w:r>
          </w:p>
        </w:tc>
      </w:tr>
      <w:tr w14:paraId="40969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0F828E8B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1024</w:t>
            </w:r>
          </w:p>
        </w:tc>
        <w:tc>
          <w:tcPr>
            <w:tcW w:w="2098" w:type="dxa"/>
          </w:tcPr>
          <w:p w14:paraId="270D2EF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,1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3D1F7BC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8 Мб</w:t>
            </w:r>
          </w:p>
        </w:tc>
        <w:tc>
          <w:tcPr>
            <w:tcW w:w="2841" w:type="dxa"/>
          </w:tcPr>
          <w:p w14:paraId="451A47F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137</w:t>
            </w:r>
          </w:p>
        </w:tc>
      </w:tr>
      <w:tr w14:paraId="20EBF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7FD1A85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2048</w:t>
            </w:r>
          </w:p>
        </w:tc>
        <w:tc>
          <w:tcPr>
            <w:tcW w:w="2098" w:type="dxa"/>
          </w:tcPr>
          <w:p w14:paraId="60DE6DD4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,3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08F7480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16 Мб</w:t>
            </w:r>
          </w:p>
        </w:tc>
        <w:tc>
          <w:tcPr>
            <w:tcW w:w="2841" w:type="dxa"/>
          </w:tcPr>
          <w:p w14:paraId="18A4F925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268</w:t>
            </w:r>
          </w:p>
        </w:tc>
      </w:tr>
      <w:tr w14:paraId="3C7F9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1D86FDEC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4096</w:t>
            </w:r>
          </w:p>
        </w:tc>
        <w:tc>
          <w:tcPr>
            <w:tcW w:w="2098" w:type="dxa"/>
          </w:tcPr>
          <w:p w14:paraId="7ADC772B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17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,2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1C9D45B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32 Мб</w:t>
            </w:r>
          </w:p>
        </w:tc>
        <w:tc>
          <w:tcPr>
            <w:tcW w:w="2841" w:type="dxa"/>
          </w:tcPr>
          <w:p w14:paraId="290DB5AC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537</w:t>
            </w:r>
          </w:p>
        </w:tc>
      </w:tr>
      <w:tr w14:paraId="02ECF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50DC203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8192</w:t>
            </w:r>
          </w:p>
        </w:tc>
        <w:tc>
          <w:tcPr>
            <w:tcW w:w="2098" w:type="dxa"/>
          </w:tcPr>
          <w:p w14:paraId="5FBFFEC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68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,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8 Гб</w:t>
            </w:r>
          </w:p>
        </w:tc>
        <w:tc>
          <w:tcPr>
            <w:tcW w:w="1799" w:type="dxa"/>
          </w:tcPr>
          <w:p w14:paraId="66C97858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64 Мб</w:t>
            </w:r>
          </w:p>
        </w:tc>
        <w:tc>
          <w:tcPr>
            <w:tcW w:w="2841" w:type="dxa"/>
          </w:tcPr>
          <w:p w14:paraId="5F50C85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1075</w:t>
            </w:r>
          </w:p>
        </w:tc>
      </w:tr>
      <w:tr w14:paraId="5670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40BDA148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16384</w:t>
            </w:r>
          </w:p>
        </w:tc>
        <w:tc>
          <w:tcPr>
            <w:tcW w:w="2098" w:type="dxa"/>
          </w:tcPr>
          <w:p w14:paraId="375FFF6E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275 Гб</w:t>
            </w:r>
          </w:p>
        </w:tc>
        <w:tc>
          <w:tcPr>
            <w:tcW w:w="1799" w:type="dxa"/>
          </w:tcPr>
          <w:p w14:paraId="0B6D239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128 Мб</w:t>
            </w:r>
          </w:p>
        </w:tc>
        <w:tc>
          <w:tcPr>
            <w:tcW w:w="2841" w:type="dxa"/>
          </w:tcPr>
          <w:p w14:paraId="515C1560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2149</w:t>
            </w:r>
          </w:p>
        </w:tc>
      </w:tr>
      <w:tr w14:paraId="39412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36F5F49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32768</w:t>
            </w:r>
          </w:p>
        </w:tc>
        <w:tc>
          <w:tcPr>
            <w:tcW w:w="2098" w:type="dxa"/>
          </w:tcPr>
          <w:p w14:paraId="7882306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,1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Тб</w:t>
            </w:r>
          </w:p>
        </w:tc>
        <w:tc>
          <w:tcPr>
            <w:tcW w:w="1799" w:type="dxa"/>
          </w:tcPr>
          <w:p w14:paraId="20C6086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256 Мб</w:t>
            </w:r>
          </w:p>
        </w:tc>
        <w:tc>
          <w:tcPr>
            <w:tcW w:w="2841" w:type="dxa"/>
          </w:tcPr>
          <w:p w14:paraId="208AD4A3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4390</w:t>
            </w:r>
          </w:p>
        </w:tc>
      </w:tr>
    </w:tbl>
    <w:p w14:paraId="290AD603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</w:p>
    <w:p w14:paraId="67D6F59D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Приведённые выше доказательства показывают преимущество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Mamba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RWKV,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над трансформерами в задачах прогнозирования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трансформеры применяются в случаях аппаратного ускорения при наличие видеокарты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 условии короткой последовательности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n.</w:t>
      </w:r>
    </w:p>
    <w:p w14:paraId="333A6DAF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CDF054E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150FD9A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973B55D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7" w:name="_Toc171423731"/>
      <w:bookmarkStart w:id="18" w:name="_Toc73211067"/>
      <w:bookmarkStart w:id="19" w:name="_Toc31373"/>
      <w:r>
        <w:rPr>
          <w:rFonts w:ascii="Times New Roman" w:hAnsi="Times New Roman" w:eastAsia="Calibri"/>
          <w:b/>
          <w:sz w:val="28"/>
          <w:szCs w:val="20"/>
        </w:rPr>
        <w:t>Математическая модель нейронной сети</w:t>
      </w:r>
      <w:bookmarkEnd w:id="17"/>
      <w:bookmarkEnd w:id="18"/>
      <w:bookmarkEnd w:id="19"/>
    </w:p>
    <w:p w14:paraId="56163F8E">
      <w:pPr>
        <w:spacing w:after="0" w:line="240" w:lineRule="auto"/>
        <w:rPr>
          <w:rFonts w:ascii="Times New Roman" w:hAnsi="Times New Roman" w:eastAsia="Calibri"/>
          <w:sz w:val="20"/>
          <w:szCs w:val="20"/>
        </w:rPr>
      </w:pPr>
    </w:p>
    <w:p w14:paraId="4DDC8651">
      <w:pPr>
        <w:spacing w:after="0" w:line="360" w:lineRule="auto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Временного ряда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потреббности в новых сотрудниках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₁,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₂,…,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=1,2,…,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</m:oMath>
      <w:r>
        <w:rPr>
          <w:rFonts w:hint="default" w:ascii="Times New Roman" w:hAnsi="Times New Roman" w:eastAsia="Consolas" w:cs="Times New Roman"/>
          <w:b w:val="0"/>
          <w:i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где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  <w:lang w:val="en-US"/>
              </w:rPr>
              <m:t xml:space="preserve"> 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∈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ℕ₀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количество принятых сотрудников на работу в месяц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t,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а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ℕ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0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множество из неотрицательных чисел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прогноз ряда на двенадцать месяцев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вычисляется по формуле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+2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,…,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+12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при условии минимизации средней процентной ошибки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“MAPE”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вычисляемой по формуле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: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>MAPE=</m:t>
        </m:r>
        <m:f>
          <m:fPr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k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Consolas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Consolas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Consolas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Consolas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onsolas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onsolas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e>
        </m:nary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⋅100%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>MAPE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100%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k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monospace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monospace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monospace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monospace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e>
        </m:nary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467C4C57">
      <w:pPr>
        <w:spacing w:after="0" w:line="360" w:lineRule="auto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zh-CN"/>
        </w:rPr>
      </w:pPr>
    </w:p>
    <w:p w14:paraId="1F207D4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Рассмотрим архитектуру модели прогнозирования потребностей в кадрах с двухуровневым ансамблевым методом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“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стекингом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”: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первый уровень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включает механизм внимания Бахданова и два слоя шестидесяти четырёх блоков памяти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второй уровень состоит из градиентного бустинга 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LightGBM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XGBoost. </w:t>
      </w:r>
    </w:p>
    <w:p w14:paraId="65C7FCB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Далее описана получившаяся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структура двухуровневой ансамблевой модели двунаправленной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LSTM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сети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формулами для получения вклада от составляющих моделей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“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3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”.</w:t>
      </w:r>
    </w:p>
    <w:p w14:paraId="0BB219BA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Описание получения прогноза кадров на первом уровне формулой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: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Bi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−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Att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прогнозы полученные от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XGBoost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LightGBM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в первом уровне считается по формулам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: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XGB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LGBM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</w:p>
    <w:p w14:paraId="1EFF7052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Второй уровень делает прогноз на основании предсказаний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составляющих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мета модель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моделей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с механизмом Бахданова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 LightGBM, XGBoost.</w:t>
      </w:r>
    </w:p>
    <w:p w14:paraId="7D61D32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</w:p>
    <w:p w14:paraId="43C613A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drawing>
          <wp:inline distT="0" distB="0" distL="114300" distR="114300">
            <wp:extent cx="4694555" cy="267970"/>
            <wp:effectExtent l="0" t="0" r="14605" b="6350"/>
            <wp:docPr id="12" name="2384804F-3998-4D57-9195-F3826E402611-1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384804F-3998-4D57-9195-F3826E402611-1" descr="wps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0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- свободный член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“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биас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”,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3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коэффициенты весов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вклад составных моделей в результат предсказания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3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получаются при обучении моделей на тренировочном датасете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для избежания утечки данных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предсказания делаются на части не использовавшейся моделью в обучении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формирование датасета происходит по формуле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: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X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eta=[ŷ(Bi−LSTM+Att),ŷ(XGB),ŷ(LGBM)]</m:t>
        </m:r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 </w:t>
      </w:r>
    </w:p>
    <w:p w14:paraId="20A3546A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</w:p>
    <w:p w14:paraId="0DA34B89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eta=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rue</m:t>
        </m:r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- используем реальные значения на валидации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.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</w:p>
    <w:p w14:paraId="674D9C5F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</w:p>
    <w:p w14:paraId="3C4A751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Рассчитать функцию потерь мета модели можно по формуле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: </w:t>
      </w:r>
    </w:p>
    <w:p w14:paraId="3953C6D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55A27A47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  <m:scr m:val="script"/>
              </m:rPr>
              <w:rPr>
                <w:rFonts w:hint="default" w:ascii="Cambria Math" w:hAnsi="Cambria Math" w:eastAsia="MS Mincho" w:cs="MS Mincho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ℒ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meta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=</m:t>
        </m:r>
        <m:f>
          <m:f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Sub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n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val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b>
            </m:sSub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naryPr>
          <m:sub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(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</m:nary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−</m:t>
        </m:r>
        <m:sSubSup>
          <m:sSub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SupPr>
          <m:e>
            <m:acc>
              <m:accP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y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final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bSup>
        <m:sSup>
          <m:s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)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p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;</w:t>
      </w:r>
    </w:p>
    <w:p w14:paraId="3FA80809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54C2302B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При регуляризации внимания функция потерь выглядит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: </w:t>
      </w:r>
    </w:p>
    <w:p w14:paraId="078703D7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656F2948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m:oMath>
        <m:r>
          <m:rPr>
            <m:nor/>
            <m:sty m:val="p"/>
            <m:scr m:val="script"/>
          </m:rPr>
          <w:rPr>
            <w:rFonts w:hint="default" w:ascii="Cambria Math" w:hAnsi="Cambria Math" w:eastAsia="MS Mincho" w:cs="MS Mincho"/>
            <w:b w:val="0"/>
            <w:i w:val="0"/>
            <w:kern w:val="0"/>
            <w:sz w:val="28"/>
            <w:szCs w:val="28"/>
            <w:lang w:val="ru-RU" w:eastAsia="en-US" w:bidi="ar"/>
          </w:rPr>
          <m:t>ℒ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=MSE+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λ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‖θ</m:t>
        </m:r>
        <m:sSubSup>
          <m:sSub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‖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bSup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+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λ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sSup>
          <m:s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pPr>
          <m:e>
            <m:nary>
              <m:naryPr>
                <m:chr m:val="∑"/>
                <m:limLoc m:val="undOvr"/>
                <m:supHide m:val="1"/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naryPr>
              <m:sub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t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b>
              <m:sup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p>
              <m:e>
                <m:d>
                  <m:dPr>
                    <m:ctrlPr>
                      <w:rPr>
                        <w:rFonts w:hint="default" w:ascii="Cambria Math" w:hAnsi="Cambria Math" w:eastAsia="Consolas" w:cs="Times New Roman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</m:ctrlPr>
                  </m:d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Consolas" w:cs="Times New Roman"/>
                        <w:b w:val="0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  <m:t>1−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naryPr>
                      <m:sub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  <m:t>i=1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sub>
                      <m:sup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  <m:t>24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  <m:sty m:val="p"/>
                              </m:rPr>
                              <w:rPr>
                                <w:rFonts w:hint="default" w:ascii="Cambria Math" w:hAnsi="Cambria Math" w:eastAsia="Consolas" w:cs="Times New Roman"/>
                                <w:b w:val="0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  <m:t>α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w:rPr>
                                <w:rFonts w:hint="default" w:ascii="Cambria Math" w:hAnsi="Cambria Math" w:eastAsia="Consolas" w:cs="Times New Roman"/>
                                <w:b w:val="0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e>
                    </m:nary>
                    <m:ctrlPr>
                      <w:rPr>
                        <w:rFonts w:hint="default" w:ascii="Cambria Math" w:hAnsi="Cambria Math" w:eastAsia="Consolas" w:cs="Times New Roman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</m:ctrlPr>
                  </m:e>
                </m:d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</m:nary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p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;</w:t>
      </w:r>
    </w:p>
    <w:p w14:paraId="0EE1A4C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3BDF948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Таблица 4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Веса в полученной мета модели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</w:p>
    <w:p w14:paraId="58B6B6E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7"/>
        <w:gridCol w:w="1608"/>
        <w:gridCol w:w="4807"/>
      </w:tblGrid>
      <w:tr w14:paraId="0F49C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3B9F52CE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Коэффициент</w:t>
            </w:r>
          </w:p>
        </w:tc>
        <w:tc>
          <w:tcPr>
            <w:tcW w:w="1608" w:type="dxa"/>
          </w:tcPr>
          <w:p w14:paraId="6CBBE78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Значение</w:t>
            </w:r>
          </w:p>
        </w:tc>
        <w:tc>
          <w:tcPr>
            <w:tcW w:w="4807" w:type="dxa"/>
          </w:tcPr>
          <w:p w14:paraId="5184C6F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Интерпретация</w:t>
            </w:r>
          </w:p>
        </w:tc>
      </w:tr>
      <w:tr w14:paraId="31C07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59B30E2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2A235DB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0</w:t>
            </w: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,12</w:t>
            </w:r>
          </w:p>
        </w:tc>
        <w:tc>
          <w:tcPr>
            <w:tcW w:w="4807" w:type="dxa"/>
          </w:tcPr>
          <w:p w14:paraId="5484101F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Учет систематических ошибок</w:t>
            </w:r>
          </w:p>
        </w:tc>
      </w:tr>
      <w:tr w14:paraId="5256B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57664F4A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21A6CEC8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0,68</w:t>
            </w:r>
          </w:p>
        </w:tc>
        <w:tc>
          <w:tcPr>
            <w:tcW w:w="4807" w:type="dxa"/>
          </w:tcPr>
          <w:p w14:paraId="2E722CE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Механизм внимания Бахданова</w:t>
            </w:r>
          </w:p>
        </w:tc>
      </w:tr>
      <w:tr w14:paraId="6DBE0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77916AE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  <w:lang w:val="en-US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4C7BF4D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0,19</w:t>
            </w:r>
          </w:p>
        </w:tc>
        <w:tc>
          <w:tcPr>
            <w:tcW w:w="4807" w:type="dxa"/>
          </w:tcPr>
          <w:p w14:paraId="637AE18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Корректировка нелинейных зависимостей</w:t>
            </w:r>
          </w:p>
        </w:tc>
      </w:tr>
      <w:tr w14:paraId="54667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19C1C86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  <w:lang w:val="en-US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3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791C9FA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0,14</w:t>
            </w:r>
          </w:p>
        </w:tc>
        <w:tc>
          <w:tcPr>
            <w:tcW w:w="4807" w:type="dxa"/>
          </w:tcPr>
          <w:p w14:paraId="32DF15B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Повышение устойчивости к выбросам</w:t>
            </w:r>
          </w:p>
        </w:tc>
      </w:tr>
    </w:tbl>
    <w:p w14:paraId="13449AB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</w:p>
    <w:p w14:paraId="205D350C">
      <w:pPr>
        <w:keepNext w:val="0"/>
        <w:keepLines w:val="0"/>
        <w:widowControl/>
        <w:suppressLineNumbers w:val="0"/>
        <w:spacing w:after="0" w:line="360" w:lineRule="auto"/>
        <w:jc w:val="left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1EE4F20D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253740" cy="1905000"/>
            <wp:effectExtent l="0" t="0" r="7620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7A011">
      <w:pPr>
        <w:spacing w:after="0" w:line="360" w:lineRule="auto"/>
        <w:ind w:firstLine="709"/>
        <w:jc w:val="center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br w:type="textWrapping"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Рисунок 6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Структура модели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.</w:t>
      </w:r>
    </w:p>
    <w:p w14:paraId="12879692">
      <w:pPr>
        <w:spacing w:after="0" w:line="360" w:lineRule="auto"/>
        <w:ind w:firstLine="709"/>
        <w:jc w:val="center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21C5E5D6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Формулы для описания архитектуры рекуррентной модели с механизмом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 xml:space="preserve">Формула для нахождения прямого направления для двунаправленного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LSTM: </w:t>
      </w:r>
      <m:oMath>
        <m:acc>
          <m:accPr>
            <m:chr m:val="⃗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=1…24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</w:p>
    <w:p w14:paraId="71296814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состояние прямого прохода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t,</w:t>
      </w:r>
    </w:p>
    <w:p w14:paraId="4D13870E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входной вектор признаки месяца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t,</w:t>
      </w:r>
    </w:p>
    <w:p w14:paraId="39AD1153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скрытое состояние прямого прохода на предыдущем шаге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7F5B1E9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Получение величины обратного направления для двунаправленного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расчитывается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: </w:t>
      </w:r>
      <m:oMath>
        <m:acc>
          <m:accPr>
            <m:chr m:val="⃖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=24…1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состояния обратного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состояние обратного прохода на следующем шаге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</w:p>
    <w:p w14:paraId="7560E77C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Объединённое скрытое состояние ищется следующим образом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</w:p>
    <w:p w14:paraId="0CC8A596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=[</m:t>
        </m:r>
        <m:acc>
          <m:accPr>
            <m:chr m:val="⃗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</m:t>
        </m:r>
        <m:acc>
          <m:accPr>
            <m:chr m:val="⃖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]∈</m:t>
        </m:r>
        <m:sSup>
          <m:s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pPr>
          <m:e>
            <m:r>
              <m:rPr>
                <m:nor/>
                <m:sty m:val="p"/>
                <m:scr m:val="double-struck"/>
              </m:rPr>
              <w:rPr>
                <w:rFonts w:hint="default" w:ascii="Cambria Math" w:hAnsi="Cambria Math" w:eastAsia="MS Mincho" w:cs="MS Mincho"/>
                <w:b w:val="0"/>
                <w:i w:val="0"/>
                <w:sz w:val="28"/>
                <w:szCs w:val="28"/>
              </w:rPr>
              <m:t>ℝ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128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операция конкатенации векторов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итоговое скрытое состояние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t;</w:t>
      </w:r>
    </w:p>
    <w:p w14:paraId="60007883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Формула для вычисления скалярной энергии внимания Бахданова расчитывается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br w:type="textWrapping"/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func>
          <m:func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dec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=1…24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скалярная энергии для месяца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обучаемые параметры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скрытое состояние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i, 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dec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скрытое состояние декодера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27346198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Найти веса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можно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: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exp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fName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(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func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e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i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nary>
              <m:naryPr>
                <m:chr m:val="∑"/>
                <m:limLoc m:val="undOvr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j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=1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24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  <m:e>
                <m:func>
                  <m:func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exp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fName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(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</m:func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nary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e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j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60CD135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вес внимания для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i-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го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месяца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exp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экспонента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softmax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нормализация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348F7EFD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Контекстный вектор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ищется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 xml:space="preserve">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24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α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i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nary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где с - взвешенная сумма всех скрыт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7CC0476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На выходном слое прогноз получается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: </w:t>
      </w:r>
      <m:oMath>
        <m:acc>
          <m:acc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+1=</m:t>
        </m:r>
        <m:sSup>
          <m:s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⊕h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dec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)+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b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w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веса полносвязанных слоёв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3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смещения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прогноз потребности в сотрудниках на месяц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br w:type="textWrapping"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Седьмой рисунок описывает архитектуру рекуррентной модели с механизмом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. </w:t>
      </w:r>
    </w:p>
    <w:p w14:paraId="7D9CBD3A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377440" cy="4282440"/>
            <wp:effectExtent l="0" t="0" r="0" b="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</w:p>
    <w:p w14:paraId="77AF7346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Рисунок 7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Архитектура сети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</w:p>
    <w:p w14:paraId="00E40BE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5608B51F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Ниже описан аддитивный механизм Внимания Бахданова в виде формул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:</w:t>
      </w:r>
    </w:p>
    <w:p w14:paraId="026CEB03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ᵀ·tanh(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=1,…,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</m:t>
        </m:r>
      </m:oMath>
    </w:p>
    <w:p w14:paraId="467B1305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softmax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)=exp(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)/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Σ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j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L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exp(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j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</w:p>
    <w:p w14:paraId="54CDFBA2">
      <w:pPr>
        <w:spacing w:after="0" w:line="360" w:lineRule="auto"/>
        <w:ind w:firstLine="709"/>
        <w:jc w:val="both"/>
        <w:rPr>
          <w:rFonts w:hint="default" w:ascii="Times New Roman" w:hAnsi="Cambria Math" w:eastAsia="sans-serif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Σ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L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∈ℝ¹²⁸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контекстный вектор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L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длина входной последовательности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n.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На рисунке 8 показана визуализация весов Бахданова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 шкалой температуры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весы помогают фокусировать модель на ключевые периоды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при прогнозе найма сотрудников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</w:p>
    <w:p w14:paraId="07AE246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Cambria Math" w:eastAsia="sans-serif"/>
          <w:i w:val="0"/>
          <w:sz w:val="28"/>
          <w:szCs w:val="28"/>
          <w:lang w:val="en-US" w:eastAsia="en-US"/>
        </w:rPr>
      </w:pPr>
    </w:p>
    <w:p w14:paraId="2D8C01D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6D54962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both"/>
      </w:pPr>
      <w:r>
        <w:drawing>
          <wp:inline distT="0" distB="0" distL="114300" distR="114300">
            <wp:extent cx="6299200" cy="1722120"/>
            <wp:effectExtent l="0" t="0" r="10160" b="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2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4AB1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both"/>
      </w:pPr>
    </w:p>
    <w:p w14:paraId="12D8A398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8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Визуализация весов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Bahdanau Attention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 температурной шкалой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1C4B5C6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4035425" cy="2453005"/>
            <wp:effectExtent l="0" t="0" r="3175" b="635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5425" cy="245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05477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9.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весов во времени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5E9472C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Для выбора наиболее эффективной мета-модели были проведены 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 xml:space="preserve">эксперименты, 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сравнение различных вариантов показало следующие результаты 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приведённые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 в таблице 5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:</w:t>
      </w:r>
    </w:p>
    <w:p w14:paraId="2663C0BA">
      <w:pPr>
        <w:wordWrap w:val="0"/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/>
        </w:rPr>
        <w:t>Таблица 5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>Сравнение различных мета-моделей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882"/>
        <w:gridCol w:w="2841"/>
      </w:tblGrid>
      <w:tr w14:paraId="1E7B8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360707B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Мета-модель</w:t>
            </w:r>
          </w:p>
        </w:tc>
        <w:tc>
          <w:tcPr>
            <w:tcW w:w="1882" w:type="dxa"/>
          </w:tcPr>
          <w:p w14:paraId="6DC70E5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MAPE</w:t>
            </w:r>
          </w:p>
        </w:tc>
        <w:tc>
          <w:tcPr>
            <w:tcW w:w="2841" w:type="dxa"/>
          </w:tcPr>
          <w:p w14:paraId="79F4BC6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Относительное ухудшение к линейной</w:t>
            </w:r>
          </w:p>
        </w:tc>
      </w:tr>
      <w:tr w14:paraId="716F4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4548BAD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Линейная регрессия</w:t>
            </w:r>
          </w:p>
        </w:tc>
        <w:tc>
          <w:tcPr>
            <w:tcW w:w="1882" w:type="dxa"/>
          </w:tcPr>
          <w:p w14:paraId="29D3512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,10</w:t>
            </w:r>
          </w:p>
        </w:tc>
        <w:tc>
          <w:tcPr>
            <w:tcW w:w="2841" w:type="dxa"/>
          </w:tcPr>
          <w:p w14:paraId="7072168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-</w:t>
            </w:r>
          </w:p>
        </w:tc>
      </w:tr>
      <w:tr w14:paraId="43E97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623F9C3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Random Forest</w:t>
            </w:r>
          </w:p>
        </w:tc>
        <w:tc>
          <w:tcPr>
            <w:tcW w:w="1882" w:type="dxa"/>
          </w:tcPr>
          <w:p w14:paraId="7C20879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7,48</w:t>
            </w:r>
          </w:p>
        </w:tc>
        <w:tc>
          <w:tcPr>
            <w:tcW w:w="2841" w:type="dxa"/>
          </w:tcPr>
          <w:p w14:paraId="5F55A4C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+5,4%</w:t>
            </w:r>
          </w:p>
        </w:tc>
      </w:tr>
      <w:tr w14:paraId="5DF75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2C6E812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XGBoost</w:t>
            </w:r>
          </w:p>
        </w:tc>
        <w:tc>
          <w:tcPr>
            <w:tcW w:w="1882" w:type="dxa"/>
          </w:tcPr>
          <w:p w14:paraId="527DF7A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7,61</w:t>
            </w:r>
          </w:p>
        </w:tc>
        <w:tc>
          <w:tcPr>
            <w:tcW w:w="2841" w:type="dxa"/>
          </w:tcPr>
          <w:p w14:paraId="03C3104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+7,2%</w:t>
            </w:r>
          </w:p>
        </w:tc>
      </w:tr>
      <w:tr w14:paraId="15292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360F385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LightGBM</w:t>
            </w:r>
          </w:p>
        </w:tc>
        <w:tc>
          <w:tcPr>
            <w:tcW w:w="1882" w:type="dxa"/>
          </w:tcPr>
          <w:p w14:paraId="2F572A7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7,55</w:t>
            </w:r>
          </w:p>
        </w:tc>
        <w:tc>
          <w:tcPr>
            <w:tcW w:w="2841" w:type="dxa"/>
          </w:tcPr>
          <w:p w14:paraId="22BFF08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+6,3%</w:t>
            </w:r>
          </w:p>
        </w:tc>
      </w:tr>
      <w:tr w14:paraId="3B2AE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66FE8F0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Полносвязанная нейронка</w:t>
            </w:r>
          </w:p>
        </w:tc>
        <w:tc>
          <w:tcPr>
            <w:tcW w:w="1882" w:type="dxa"/>
          </w:tcPr>
          <w:p w14:paraId="7C010C2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7,83</w:t>
            </w:r>
          </w:p>
        </w:tc>
        <w:tc>
          <w:tcPr>
            <w:tcW w:w="2841" w:type="dxa"/>
          </w:tcPr>
          <w:p w14:paraId="2E20D7F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+10,3%</w:t>
            </w:r>
          </w:p>
        </w:tc>
      </w:tr>
    </w:tbl>
    <w:p w14:paraId="21620C77">
      <w:pPr>
        <w:wordWrap/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/>
        </w:rPr>
      </w:pPr>
    </w:p>
    <w:p w14:paraId="17E8CAC2">
      <w:pPr>
        <w:spacing w:after="0" w:line="240" w:lineRule="auto"/>
        <w:jc w:val="center"/>
      </w:pPr>
      <w:r>
        <w:drawing>
          <wp:inline distT="0" distB="0" distL="114300" distR="114300">
            <wp:extent cx="4206240" cy="1905000"/>
            <wp:effectExtent l="0" t="0" r="0" b="0"/>
            <wp:docPr id="1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BC33B">
      <w:pPr>
        <w:spacing w:after="0" w:line="240" w:lineRule="auto"/>
      </w:pPr>
    </w:p>
    <w:p w14:paraId="5C453CF6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0.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Линейная мета-модель показывает лучший результат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9C20E13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51D5C70">
      <w:pPr>
        <w:spacing w:after="0" w:line="240" w:lineRule="auto"/>
        <w:jc w:val="center"/>
      </w:pPr>
      <w:r>
        <w:drawing>
          <wp:inline distT="0" distB="0" distL="114300" distR="114300">
            <wp:extent cx="4789170" cy="2379980"/>
            <wp:effectExtent l="0" t="0" r="11430" b="12700"/>
            <wp:docPr id="14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9170" cy="237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55595">
      <w:pPr>
        <w:spacing w:after="0" w:line="240" w:lineRule="auto"/>
        <w:jc w:val="center"/>
      </w:pPr>
    </w:p>
    <w:p w14:paraId="41AF8D86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1.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Визуализация превосходства линейной мета-модели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Линейный стекинг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”</w:t>
      </w:r>
    </w:p>
    <w:p w14:paraId="749D77C9">
      <w:pPr>
        <w:spacing w:after="0" w:line="240" w:lineRule="auto"/>
      </w:pPr>
    </w:p>
    <w:p w14:paraId="1BA00762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20" w:name="_Toc21885"/>
      <w:bookmarkStart w:id="21" w:name="_Toc42166423"/>
      <w:bookmarkStart w:id="22" w:name="_Toc73211068"/>
      <w:bookmarkStart w:id="23" w:name="_Toc171423732"/>
      <w:bookmarkStart w:id="24" w:name="_Toc41916374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20"/>
      <w:bookmarkEnd w:id="21"/>
      <w:bookmarkEnd w:id="22"/>
      <w:bookmarkEnd w:id="23"/>
      <w:bookmarkEnd w:id="24"/>
    </w:p>
    <w:p w14:paraId="0A5E7949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0FDAA1D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Была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разработана линейная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двухуровневневая ансамблевая модель двунаправленной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LSTM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сети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для предсказания временных рядов потребности в сотрудниках на двенадцать месяцев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В ходе работы проведён анализ временных рядов компании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IBM,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обнаружены информативные параметры для увеличения точности прогноза при декомпозиции временного ряда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IBM,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обнаружен тренд устройства на работу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связанный с сезонностью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проведена визуализация потребностей организации в кадрах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используя тепловые карты и графики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Смоделирована математическая модель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объединяющая в двухуровневую архитектуру стекинга ансамблевые методы в виде градиентного бустинга и механизм внимания Бахданова на первом уровне архитектуры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линейную мета модель на втором уровне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полученную путём минимизации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MAPE,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на тренировочном датасете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не использовавшемся при обучении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показана высокая точность предсказания линейной модели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механизм внимания Бахданова можно использовать для создания температурной шкалы месяцев с трендом найма сотрудников на работу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таким образом можно выделить значимые месяцы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22B454FF">
      <w:pPr>
        <w:wordWrap w:val="0"/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первому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99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0"/>
        <w:gridCol w:w="5309"/>
      </w:tblGrid>
      <w:tr w14:paraId="4CC908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4390" w:type="dxa"/>
            <w:shd w:val="clear" w:color="auto" w:fill="D9D9D9"/>
          </w:tcPr>
          <w:p w14:paraId="0BEA615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Выводы</w:t>
            </w:r>
          </w:p>
        </w:tc>
        <w:tc>
          <w:tcPr>
            <w:tcW w:w="5309" w:type="dxa"/>
            <w:shd w:val="clear" w:color="auto" w:fill="D9D9D9"/>
          </w:tcPr>
          <w:p w14:paraId="268AE1C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Сформированные компетенции</w:t>
            </w:r>
          </w:p>
        </w:tc>
      </w:tr>
      <w:tr w14:paraId="70E697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</w:trPr>
        <w:tc>
          <w:tcPr>
            <w:tcW w:w="4390" w:type="dxa"/>
          </w:tcPr>
          <w:p w14:paraId="6D1347D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Осуществлён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анализ в области временных рядов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нахождения трендов найма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выявления сезонности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потребностей в сотрудниках</w:t>
            </w:r>
          </w:p>
        </w:tc>
        <w:tc>
          <w:tcPr>
            <w:tcW w:w="5309" w:type="dxa"/>
            <w:vMerge w:val="restart"/>
          </w:tcPr>
          <w:p w14:paraId="00B18B12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ascii="Times New Roman" w:hAnsi="Times New Roman" w:eastAsiaTheme="minorHAnsi"/>
                <w:sz w:val="28"/>
                <w:szCs w:val="28"/>
                <w:lang w:val="ru-RU" w:eastAsia="en-US"/>
              </w:rPr>
              <w:t>Владение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навыками разработки программного обеспечения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интегрированного с программированием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машинным обучением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 базами данных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способности моделировать бизнес-модели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для эффективной разработки и поддержки</w:t>
            </w:r>
          </w:p>
          <w:p w14:paraId="786B3120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14:paraId="0420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4390" w:type="dxa"/>
          </w:tcPr>
          <w:p w14:paraId="06466075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Смоделирована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архитектура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использующую ансамблевые методы и механизм внимания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получаемой линейной мета-модели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</w:p>
        </w:tc>
        <w:tc>
          <w:tcPr>
            <w:tcW w:w="5309" w:type="dxa"/>
            <w:vMerge w:val="continue"/>
          </w:tcPr>
          <w:p w14:paraId="5B6E0CF3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</w:p>
        </w:tc>
      </w:tr>
      <w:tr w14:paraId="551EF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6" w:hRule="atLeast"/>
        </w:trPr>
        <w:tc>
          <w:tcPr>
            <w:tcW w:w="4390" w:type="dxa"/>
          </w:tcPr>
          <w:p w14:paraId="79F15E2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Архитектура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разобрана в плане математических формул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и внутрених взаимодействий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</w:p>
        </w:tc>
        <w:tc>
          <w:tcPr>
            <w:tcW w:w="5309" w:type="dxa"/>
          </w:tcPr>
          <w:p w14:paraId="55AF0BF9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>ПК-7.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Умение работать с международными и отечественными стандартами проектирования программного обеспечения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связанного с машинным обучением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 иного прикладного ПО</w:t>
            </w:r>
          </w:p>
        </w:tc>
      </w:tr>
    </w:tbl>
    <w:p w14:paraId="1CF0BA36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</w:p>
    <w:p w14:paraId="0965DAB0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  <w:r>
        <w:rPr>
          <w:rFonts w:ascii="Times New Roman" w:hAnsi="Times New Roman"/>
          <w:sz w:val="20"/>
          <w:szCs w:val="20"/>
          <w:lang w:eastAsia="en-US"/>
        </w:rPr>
        <w:br w:type="page" w:clear="all"/>
      </w:r>
    </w:p>
    <w:p w14:paraId="3B63F3BE">
      <w:pPr>
        <w:pStyle w:val="2"/>
        <w:numPr>
          <w:ilvl w:val="0"/>
          <w:numId w:val="4"/>
        </w:numPr>
        <w:bidi w:val="0"/>
        <w:ind w:leftChars="0"/>
        <w:rPr>
          <w:rFonts w:eastAsia="Calibri"/>
          <w:b/>
          <w:bCs w:val="0"/>
          <w:caps/>
          <w:sz w:val="28"/>
          <w:szCs w:val="28"/>
          <w:lang w:eastAsia="en-US"/>
        </w:rPr>
      </w:pPr>
      <w:bookmarkStart w:id="25" w:name="_Toc171423733"/>
      <w:bookmarkStart w:id="26" w:name="_Toc73211069"/>
      <w:bookmarkStart w:id="27" w:name="_Toc30276"/>
      <w:r>
        <w:rPr>
          <w:rFonts w:eastAsia="Calibri"/>
          <w:b/>
          <w:bCs w:val="0"/>
          <w:caps/>
          <w:sz w:val="28"/>
          <w:szCs w:val="20"/>
        </w:rPr>
        <w:t>РАЗРАБОТКА НЕЙРОННОЙ СЕТИ</w:t>
      </w:r>
      <w:bookmarkEnd w:id="25"/>
      <w:bookmarkEnd w:id="26"/>
      <w:bookmarkEnd w:id="27"/>
    </w:p>
    <w:p w14:paraId="7AC3D2BA">
      <w:pPr>
        <w:rPr>
          <w:lang w:eastAsia="en-US"/>
        </w:rPr>
      </w:pPr>
    </w:p>
    <w:p w14:paraId="03C329FA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28" w:name="_Toc171423734"/>
      <w:bookmarkStart w:id="29" w:name="_Toc19673"/>
      <w:bookmarkStart w:id="30" w:name="_Toc73211070"/>
      <w:r>
        <w:rPr>
          <w:rFonts w:ascii="Times New Roman" w:hAnsi="Times New Roman"/>
          <w:b/>
          <w:sz w:val="28"/>
          <w:szCs w:val="20"/>
        </w:rPr>
        <w:t>Создание нейронов</w:t>
      </w:r>
      <w:bookmarkEnd w:id="28"/>
      <w:bookmarkEnd w:id="29"/>
      <w:bookmarkEnd w:id="30"/>
    </w:p>
    <w:p w14:paraId="3EB074C4"/>
    <w:p w14:paraId="4708AF4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Модель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использует линейные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ячейки-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рассмотрим далее подробно линейный тип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2809F627">
      <w:pPr>
        <w:spacing w:after="0" w:line="360" w:lineRule="auto"/>
        <w:ind w:firstLine="709"/>
        <w:jc w:val="both"/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линейной активации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/>
          <w:rPr>
            <w:rFonts w:hint="default" w:ascii="Cambria Math" w:hAnsi="Cambria Math" w:eastAsia="Calibri" w:cstheme="minorBidi"/>
            <w:sz w:val="28"/>
            <w:szCs w:val="28"/>
            <w:lang w:val="en-US" w:eastAsia="en-US" w:bidi="ar-SA"/>
          </w:rPr>
          <m:t>z = w ∗ x + b</m:t>
        </m:r>
      </m:oMath>
      <w:r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  <w:t>;</w:t>
      </w:r>
    </w:p>
    <w:p w14:paraId="3B55A37C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Далее рассматривается пример линейного нейрона в виде кода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Python:</w:t>
      </w:r>
    </w:p>
    <w:p w14:paraId="575FB23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linear_neuron(x, w=0.68, b=0.12):</w:t>
      </w:r>
    </w:p>
    <w:p w14:paraId="7034D6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5E8FCD2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Имитация одного нейрона из линейной мета-модели</w:t>
      </w:r>
    </w:p>
    <w:p w14:paraId="65FFAA2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w = 0.68 — вес Bi-LSTM + Attention (самый большой вклад)</w:t>
      </w:r>
    </w:p>
    <w:p w14:paraId="1727C7A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b = 0.12 — свободный член (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биас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)</w:t>
      </w:r>
    </w:p>
    <w:p w14:paraId="46BF318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2D1168F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w * x + b</w:t>
      </w:r>
    </w:p>
    <w:p w14:paraId="24EBB43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C1B8C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Проверка на реальных данных 2025 года</w:t>
      </w:r>
    </w:p>
    <w:p w14:paraId="6B9707D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print(linear_neuron(x=100))   # → 68.12 )</w:t>
      </w:r>
    </w:p>
    <w:p w14:paraId="7EC8F8A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.12</w:t>
      </w:r>
    </w:p>
    <w:p w14:paraId="0108B70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28A84ACB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 приведен далее в ввиде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z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eastAsia="Consolas"/>
                <w:i/>
                <w:sz w:val="28"/>
                <w:szCs w:val="28"/>
              </w:rPr>
            </m:ctrlPr>
          </m:naryPr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  <m:e>
            <m:sSubSup>
              <m:sSubSup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Sup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w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ji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  <m:sup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(l)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p>
            </m:sSubSup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nary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(l−1)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ниже приведен пример нейрона с нелинейной функцией активации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28E728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tensorflow as tf</w:t>
      </w:r>
    </w:p>
    <w:p w14:paraId="473E954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2DAE56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relu_neuron(x):</w:t>
      </w:r>
    </w:p>
    <w:p w14:paraId="1AB3E7A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tf.maximum(0.0, x)</w:t>
      </w:r>
    </w:p>
    <w:p w14:paraId="1752479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C6DFA6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Визуализация</w:t>
      </w:r>
    </w:p>
    <w:p w14:paraId="35295305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numpy as np</w:t>
      </w:r>
    </w:p>
    <w:p w14:paraId="59362FC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matplotlib.pyplot as plt</w:t>
      </w:r>
    </w:p>
    <w:p w14:paraId="51128AB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np.linspace(-10, 10, 100)</w:t>
      </w:r>
    </w:p>
    <w:p w14:paraId="65EA23E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plt.plot(x, relu_neuron(x), label='ReLU(x) = max(0, x)', linewidth=3, color='#ff7f0e')</w:t>
      </w:r>
    </w:p>
    <w:p w14:paraId="534823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plt.grid(alpha=0.3); plt.title('Функция активации ReLU'); plt.show()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6CAD143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F9B27A3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Формулы описывающие математическую модель  для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нейрона ячейки памяти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LSTM:</w:t>
      </w:r>
    </w:p>
    <w:p w14:paraId="6163B0A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359D8B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 - вентил забвения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вентиль входа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528750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7B7F2EA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 кандидат на обновление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256087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26A4FC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обновление состояния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3BF4CCB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5E39C88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вентиль выхода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1162082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eastAsia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на выходе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0E3574E">
      <w:pPr>
        <w:spacing w:after="0" w:line="360" w:lineRule="auto"/>
        <w:ind w:firstLine="709"/>
        <w:jc w:val="both"/>
        <w:rPr>
          <w:rFonts w:hint="default" w:hAnsi="Cambria Math" w:eastAsia="Consolas" w:cs="Times New Roman"/>
          <w:i w:val="0"/>
          <w:sz w:val="28"/>
          <w:szCs w:val="28"/>
          <w:lang w:val="ru-RU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Переменные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сигмойдная функция активации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м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поэлементное произведение Адамара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с предыдущего шага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входной вектор на текущем шаге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состояние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в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Bi-LSTM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прямое направление выполняется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одновременно с обратным направлением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следовательно скрытое состояние вычисляется следующим образом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 xml:space="preserve"> </w:t>
      </w:r>
    </w:p>
    <w:p w14:paraId="2CCD21AC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=[</m:t>
        </m:r>
        <m:acc>
          <m:accPr>
            <m:chr m:val="⃗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⊕</m:t>
        </m:r>
        <m:acc>
          <m:accPr>
            <m:chr m:val="⃖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]∈</m:t>
        </m:r>
        <m:sSup>
          <m:s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8"/>
                <w:szCs w:val="28"/>
              </w:rPr>
              <m:t>ℝ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128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>.</w:t>
      </w:r>
    </w:p>
    <w:p w14:paraId="4664538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hAnsi="Cambria Math" w:eastAsia="Consolas"/>
          <w:i w:val="0"/>
          <w:sz w:val="28"/>
          <w:szCs w:val="28"/>
          <w:lang w:val="en-US"/>
        </w:rPr>
      </w:pPr>
    </w:p>
    <w:p w14:paraId="39306D6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from tensorflow.keras.layers import Bidirectional, LSTM</w:t>
      </w:r>
    </w:p>
    <w:p w14:paraId="7D42DEC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5413D4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Один слой содержит 64 LSTM-ячейки в прямом + 64 в обратном направлении</w:t>
      </w:r>
    </w:p>
    <w:p w14:paraId="6D557F0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Bidirectional(LSTM(64, return_sequences=True, dropout=0.2))(inputs)</w:t>
      </w:r>
    </w:p>
    <w:p w14:paraId="7495976B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22F39C4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фокусировки на месяцах с большим числом наймов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используется модель аддитивного нейрона внимания Бахданова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показаны формулы для математического описания нейрона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e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t,i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v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⊤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>
            <m:sty m:val="p"/>
          </m:rPr>
          <w:rPr>
            <w:rFonts w:hint="default" w:ascii="Cambria Math" w:hAnsi="Cambria Math" w:eastAsia="Consolas"/>
            <w:sz w:val="28"/>
            <w:szCs w:val="28"/>
          </w:rPr>
          <m:t>tanh</m:t>
        </m:r>
        <m:r>
          <m:rPr/>
          <w:rPr>
            <w:rFonts w:hint="default" w:ascii="Cambria Math" w:hAnsi="Cambria Math" w:eastAsia="Consolas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W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U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)</m:t>
        </m:r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в таблице ниже продемонстрированы описания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для переменных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формулы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</w:p>
    <w:p w14:paraId="5A91ED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Таблица 7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Описание переменных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</w:p>
    <w:p w14:paraId="34E76F6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ru-RU"/>
        </w:rPr>
      </w:pP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1F2BC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CBFF47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Обозначение</w:t>
            </w:r>
          </w:p>
        </w:tc>
        <w:tc>
          <w:tcPr>
            <w:tcW w:w="2841" w:type="dxa"/>
          </w:tcPr>
          <w:p w14:paraId="60664E7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Размерность</w:t>
            </w:r>
          </w:p>
        </w:tc>
        <w:tc>
          <w:tcPr>
            <w:tcW w:w="2841" w:type="dxa"/>
          </w:tcPr>
          <w:p w14:paraId="21419F89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</w:p>
        </w:tc>
      </w:tr>
      <w:tr w14:paraId="2E295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4A454A1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e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2E70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</w:t>
            </w:r>
          </w:p>
        </w:tc>
        <w:tc>
          <w:tcPr>
            <w:tcW w:w="2841" w:type="dxa"/>
          </w:tcPr>
          <w:p w14:paraId="1657DC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Скалярная энергия внимания</w:t>
            </w:r>
          </w:p>
        </w:tc>
      </w:tr>
      <w:tr w14:paraId="75353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3204D700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both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v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376E4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p>
                <m:sSupPr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ans-serif"/>
                      <w:sz w:val="28"/>
                    </w:rPr>
                    <m:t>R</m:t>
                  </m:r>
                  <m:ctrlPr>
                    <w:rPr>
                      <w:rFonts w:ascii="Cambria Math" w:hAnsi="Cambria Math" w:eastAsia="sans-serif"/>
                      <w:sz w:val="28"/>
                    </w:rPr>
                  </m:ctrlPr>
                </m:e>
                <m:sup>
                  <m:sSub>
                    <m:sSubPr>
                      <m:ctrlPr>
                        <w:rPr>
                          <w:rFonts w:hint="default" w:ascii="Cambria Math" w:hAnsi="Cambria Math" w:eastAsia="sans-serif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d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a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up>
              </m:sSup>
            </m:oMath>
            <w:r>
              <w:rPr>
                <w:rFonts w:hint="default" w:ascii="Times New Roman" w:hAnsi="Times New Roman" w:eastAsia="sans-serif" w:cs="Times New Roman"/>
                <w:i w:val="0"/>
                <w:sz w:val="28"/>
                <w:szCs w:val="28"/>
                <w:lang w:val="en-US"/>
              </w:rPr>
              <w:t xml:space="preserve"> = 128</w:t>
            </w:r>
          </w:p>
        </w:tc>
        <w:tc>
          <w:tcPr>
            <w:tcW w:w="2841" w:type="dxa"/>
          </w:tcPr>
          <w:p w14:paraId="4EF596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Вес внимания</w:t>
            </w:r>
          </w:p>
        </w:tc>
      </w:tr>
      <w:tr w14:paraId="12774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15477FA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W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54699DD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25150AF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скрытого состояния</w:t>
            </w:r>
          </w:p>
        </w:tc>
      </w:tr>
      <w:tr w14:paraId="1C46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7CA6E4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U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28102DD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1E3E0668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преобразования состояния в данный момент</w:t>
            </w:r>
          </w:p>
        </w:tc>
      </w:tr>
      <w:tr w14:paraId="36F65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90D702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b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2ADEA8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8"/>
                      </w:rPr>
                    </m:ctrlPr>
                  </m:e>
                  <m:sup>
                    <m:sSub>
                      <m:sSubPr>
                        <m:ctrlPr>
                          <w:rPr>
                            <w:rFonts w:hint="default" w:ascii="Cambria Math" w:hAnsi="Cambria Math" w:eastAsia="sans-serif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a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356E02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Смещение аддитивного нейрона</w:t>
            </w:r>
          </w:p>
        </w:tc>
      </w:tr>
      <w:tr w14:paraId="6E9D6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2840" w:type="dxa"/>
          </w:tcPr>
          <w:p w14:paraId="73EC311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46257C9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lef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128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4766789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месяца из последовательности</w:t>
            </w:r>
          </w:p>
        </w:tc>
      </w:tr>
      <w:tr w14:paraId="02EA9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311F6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D667F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128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765378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шага в данный момент</w:t>
            </w:r>
          </w:p>
        </w:tc>
      </w:tr>
      <w:tr w14:paraId="397D3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93DE3E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2841" w:type="dxa"/>
          </w:tcPr>
          <w:p w14:paraId="5F7C820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79C1176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Нелинейность нейрона</w:t>
            </w:r>
          </w:p>
        </w:tc>
      </w:tr>
      <w:tr w14:paraId="51134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9B12E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</w:t>
            </w:r>
          </w:p>
        </w:tc>
        <w:tc>
          <w:tcPr>
            <w:tcW w:w="2841" w:type="dxa"/>
          </w:tcPr>
          <w:p w14:paraId="7AF5716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1E298CA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Транспонирование</w:t>
            </w:r>
          </w:p>
        </w:tc>
      </w:tr>
    </w:tbl>
    <w:p w14:paraId="2173B58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0841E558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806573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Упрощённая реализация одного аддитивного нейрона внимания</w:t>
      </w:r>
    </w:p>
    <w:p w14:paraId="7A41617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bahdanau_score(query, key, v, W, U, b):</w:t>
      </w:r>
    </w:p>
    <w:p w14:paraId="7667816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6D0876F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query, key — скрытые состояния размерности 128</w:t>
      </w:r>
    </w:p>
    <w:p w14:paraId="324B156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v, W, U, b — обучаемые параметры внимания</w:t>
      </w:r>
    </w:p>
    <w:p w14:paraId="6885E97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4A45B140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score = tf.nn.tanh(tf.tensordot(query, W, axes=1) +</w:t>
      </w:r>
    </w:p>
    <w:p w14:paraId="0B9D514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                   tf.tensordot(key, U, axes=1) + b)</w:t>
      </w:r>
    </w:p>
    <w:p w14:paraId="0C9EC7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tf.tensordot(score, v, axes=1)  # скаляр e_{t,i}</w:t>
      </w:r>
    </w:p>
    <w:p w14:paraId="16CB52A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EA00B9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8.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Сравнение перечисленных выше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7"/>
        <w:gridCol w:w="1812"/>
        <w:gridCol w:w="4653"/>
      </w:tblGrid>
      <w:tr w14:paraId="0A5FA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1CA3C7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 нейрона</w:t>
            </w:r>
          </w:p>
        </w:tc>
        <w:tc>
          <w:tcPr>
            <w:tcW w:w="1812" w:type="dxa"/>
          </w:tcPr>
          <w:p w14:paraId="232574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Активация</w:t>
            </w:r>
          </w:p>
        </w:tc>
        <w:tc>
          <w:tcPr>
            <w:tcW w:w="4653" w:type="dxa"/>
          </w:tcPr>
          <w:p w14:paraId="4D10F2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Назначение</w:t>
            </w:r>
          </w:p>
        </w:tc>
      </w:tr>
      <w:tr w14:paraId="0187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283498E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1812" w:type="dxa"/>
          </w:tcPr>
          <w:p w14:paraId="118AA7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z</w:t>
            </w:r>
          </w:p>
        </w:tc>
        <w:tc>
          <w:tcPr>
            <w:tcW w:w="4653" w:type="dxa"/>
          </w:tcPr>
          <w:p w14:paraId="0107DF4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Мета-модель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выходной слой</w:t>
            </w:r>
          </w:p>
        </w:tc>
      </w:tr>
      <w:tr w14:paraId="06F5E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DBA78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ReLU</w:t>
            </w:r>
          </w:p>
        </w:tc>
        <w:tc>
          <w:tcPr>
            <w:tcW w:w="1812" w:type="dxa"/>
          </w:tcPr>
          <w:p w14:paraId="664110A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Max(0,z)</w:t>
            </w:r>
          </w:p>
        </w:tc>
        <w:tc>
          <w:tcPr>
            <w:tcW w:w="4653" w:type="dxa"/>
          </w:tcPr>
          <w:p w14:paraId="2E4D93E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Нелинейность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слоях</w:t>
            </w:r>
          </w:p>
        </w:tc>
      </w:tr>
      <w:tr w14:paraId="40C24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139175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LSTM-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ячейка</w:t>
            </w:r>
          </w:p>
        </w:tc>
        <w:tc>
          <w:tcPr>
            <w:tcW w:w="1812" w:type="dxa"/>
          </w:tcPr>
          <w:p w14:paraId="798612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σ, tanh</w:t>
            </w:r>
          </w:p>
        </w:tc>
        <w:tc>
          <w:tcPr>
            <w:tcW w:w="4653" w:type="dxa"/>
          </w:tcPr>
          <w:p w14:paraId="78E1A66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Захват долгосрочных зависимостей</w:t>
            </w:r>
          </w:p>
        </w:tc>
      </w:tr>
      <w:tr w14:paraId="09854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7431404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Бахданова</w:t>
            </w:r>
          </w:p>
        </w:tc>
        <w:tc>
          <w:tcPr>
            <w:tcW w:w="1812" w:type="dxa"/>
          </w:tcPr>
          <w:p w14:paraId="140CDC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4653" w:type="dxa"/>
          </w:tcPr>
          <w:p w14:paraId="3C08ADD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Фокус на значимых месяцах</w:t>
            </w:r>
          </w:p>
        </w:tc>
      </w:tr>
    </w:tbl>
    <w:p w14:paraId="04C7F42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027198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основе приведённых выше данных можно сделать 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 вкладе разных типов нейронов в качество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линейные нейроны стабилизируют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 счёт контроля систематических ошибок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tang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даёт нелинейность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обучения сложным зависимостям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решает проблемы с затухающим градиентом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ускоряет обучение в глубоких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ячейки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учитывания долгосрочной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трендов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запоминают важную информацию и забывают ненужную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эффективно в рамках учета долгосрочных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 необходимы для усиления концентрации на значимых моментах в сложных временных закономерностях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повышают точность прогноза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162DD583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Получившиеся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гибридной мета моделью с простыми и сложными нейронами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позволившими получить высокую точность предсказания тренда устройства сотрудников на работу</w:t>
      </w:r>
      <w:r>
        <w:rPr>
          <w:rFonts w:ascii="Times New Roman" w:hAnsi="Times New Roman" w:eastAsia="Calibri"/>
          <w:sz w:val="28"/>
          <w:szCs w:val="28"/>
          <w:lang w:val="en-US" w:eastAsia="en-US"/>
        </w:rPr>
        <w:t>.</w:t>
      </w:r>
    </w:p>
    <w:p w14:paraId="47E0F4A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4E67966C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31" w:name="_Toc171423735"/>
      <w:bookmarkStart w:id="32" w:name="_Toc73211071"/>
      <w:bookmarkStart w:id="33" w:name="_Toc30032"/>
      <w:r>
        <w:rPr>
          <w:rFonts w:ascii="Times New Roman" w:hAnsi="Times New Roman"/>
          <w:b/>
          <w:sz w:val="28"/>
          <w:szCs w:val="20"/>
        </w:rPr>
        <w:t>Создание нейронной сети</w:t>
      </w:r>
      <w:bookmarkEnd w:id="31"/>
      <w:bookmarkEnd w:id="32"/>
      <w:bookmarkEnd w:id="33"/>
    </w:p>
    <w:p w14:paraId="0616C787"/>
    <w:p w14:paraId="1495466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Разработана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учитывающая прошлое и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обработки данных в двух направлениях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Bi-LSTM,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временные ряды требуют контекст будущего и прошлого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точности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трендов найма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обработки реализовано два слоя по шестидесяти четыре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один обрабатывает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второй прошлое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скрытые состояния объединяются и используются другими слоями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Dense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преобразует скрытое состояние в числовое значение предсказания по необходимому числу сотрудников на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случайно отрубает нейроны в течении тренировки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помогает увеличить устойчивость сети к шуму в датасете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создаёт форму входных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первым и важным слоем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нужен для задания последовательности с признаками для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определяет размерности для тензоров на входе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получить последовательность в виде трёхмерного тензора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Attention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реализует концентрацию модели на важных признаках сезонности 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увеличивая точность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C21724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B02ED4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приведён график динамики потребности в сотрудниках за период последних пяти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синей линией обозначается сезонные колебания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изменения количества наймов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абсциссы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показывают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ординаты показывают наймы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красный график отражает прогноз на будущий 2026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используя признаки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видно в ближайшие месяцы 2025 ожидается потребность в одиннадцати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настоящее время обозначено пунктирной линией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модель показала стабильный спрос на рабочие кадры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3297EF">
      <w:pPr>
        <w:spacing w:after="0" w:line="360" w:lineRule="auto"/>
        <w:jc w:val="both"/>
      </w:pPr>
      <w:r>
        <w:drawing>
          <wp:inline distT="0" distB="0" distL="114300" distR="114300">
            <wp:extent cx="5086350" cy="2512060"/>
            <wp:effectExtent l="0" t="0" r="3810" b="2540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51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A0314">
      <w:pPr>
        <w:spacing w:after="0" w:line="360" w:lineRule="auto"/>
        <w:ind w:firstLine="709"/>
        <w:jc w:val="both"/>
      </w:pPr>
    </w:p>
    <w:p w14:paraId="6EC1225C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2.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Прогноз  потребности в кадрах на 2025-2026 год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рекурсивный с сохранением признаков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7F77340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E64EBD5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Использование механизма внимания Бахданова необходимо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получения точных весовых значений сезонных сегментов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видно на Январь и Февраль приходится больше наймов сотрудников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анализ сезонных особенностей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весами внимания необходим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точного предсказания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</w:t>
      </w:r>
    </w:p>
    <w:p w14:paraId="5CFADEA3">
      <w:pPr>
        <w:spacing w:after="0" w:line="240" w:lineRule="auto"/>
        <w:jc w:val="both"/>
      </w:pPr>
    </w:p>
    <w:p w14:paraId="728C65AB">
      <w:pPr>
        <w:spacing w:after="0" w:line="240" w:lineRule="auto"/>
        <w:jc w:val="center"/>
      </w:pPr>
      <w:r>
        <w:drawing>
          <wp:inline distT="0" distB="0" distL="114300" distR="114300">
            <wp:extent cx="3019425" cy="1763395"/>
            <wp:effectExtent l="0" t="0" r="13335" b="444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5"/>
                    <a:srcRect b="560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76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2C04">
      <w:pPr>
        <w:spacing w:after="0" w:line="240" w:lineRule="auto"/>
        <w:jc w:val="center"/>
        <w:rPr>
          <w:rFonts w:hint="default"/>
          <w:lang w:val="ru-RU" w:eastAsia="en-US"/>
        </w:rPr>
      </w:pPr>
    </w:p>
    <w:p w14:paraId="6F471B13">
      <w:pPr>
        <w:spacing w:after="0" w:line="360" w:lineRule="auto"/>
        <w:ind w:firstLine="709"/>
        <w:jc w:val="center"/>
        <w:rPr>
          <w:rFonts w:hint="default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Важные месяцы для прогнозирования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10A3BD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A6C35E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обучения модели используются следующие параметры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размер куска датасета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батч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стабильности обучения и скорости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шестнадцать батчей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количество полных проходов по всему тренировочному набору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эпохи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двести эпох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контроля обучения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callbacks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используются 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ранняя остановка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“EarlyStopping”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срабатывает при остановке увеличения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уменьшение скорости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 стабилизации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“ReduceLROnPlateau”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замедлении роста качества предсказания снижает скорость обучения по критерию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необходим для избежания остановки роста качества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сохранение промежуточных весов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“ModelCheckpoint”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- после остановки обучения возвращает лучшую версию весов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24D99BE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 заметить - основной функцией потерь является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отлично подходящая под задачи прогнозирования непрерывных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легко наказывает модель за большие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имеет один минимум прекрасно сочетается с градиентным спуском и гарантирует сходимость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лёгкая дифференциация функции потерь помогает ускорить обучение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подошёл под гауссовское распределение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когда ошибки между реальным значением и предсказанием распределены нормально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минимизируется на тренировочных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дополнительными функциями потерь выступает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MAPE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выдающий оценку в процентах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показывающий среднюю ошибку между реальными и предсказанными значениями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можно разделить на долгосрочные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скользящие статистики и краткосрочные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 относим к исторической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отнесём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месяцы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циклы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;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Ниже признаки оформлены в виде таблицы восемь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0E6C4D2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890F67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используемые для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389A22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FBE1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DAB6C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Название признака</w:t>
            </w:r>
          </w:p>
        </w:tc>
        <w:tc>
          <w:tcPr>
            <w:tcW w:w="4261" w:type="dxa"/>
          </w:tcPr>
          <w:p w14:paraId="2966EB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Описание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“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”</w:t>
            </w:r>
          </w:p>
        </w:tc>
      </w:tr>
      <w:tr w14:paraId="6FAB4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FE370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4261" w:type="dxa"/>
          </w:tcPr>
          <w:p w14:paraId="5E712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наймов в месяц</w:t>
            </w:r>
          </w:p>
        </w:tc>
      </w:tr>
      <w:tr w14:paraId="2D9FD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4F703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 / quarter_cos</w:t>
            </w:r>
          </w:p>
        </w:tc>
        <w:tc>
          <w:tcPr>
            <w:tcW w:w="4261" w:type="dxa"/>
          </w:tcPr>
          <w:p w14:paraId="6D8C55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Сезонные признаки</w:t>
            </w:r>
          </w:p>
        </w:tc>
      </w:tr>
      <w:tr w14:paraId="6A281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4261" w:type="dxa"/>
          </w:tcPr>
          <w:p w14:paraId="1E4D68A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 / quarter_cos</w:t>
            </w:r>
          </w:p>
        </w:tc>
        <w:tc>
          <w:tcPr>
            <w:tcW w:w="4261" w:type="dxa"/>
          </w:tcPr>
          <w:p w14:paraId="175A853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Признаки квартала</w:t>
            </w:r>
          </w:p>
        </w:tc>
      </w:tr>
      <w:tr w14:paraId="4D778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F879CE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4261" w:type="dxa"/>
          </w:tcPr>
          <w:p w14:paraId="244F33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</w:tr>
      <w:tr w14:paraId="58452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358A3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</w:t>
            </w:r>
          </w:p>
        </w:tc>
        <w:tc>
          <w:tcPr>
            <w:tcW w:w="4261" w:type="dxa"/>
          </w:tcPr>
          <w:p w14:paraId="75FDA9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: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значения найма</w:t>
            </w:r>
          </w:p>
        </w:tc>
      </w:tr>
      <w:tr w14:paraId="33197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21D1A0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</w:t>
            </w:r>
          </w:p>
        </w:tc>
        <w:tc>
          <w:tcPr>
            <w:tcW w:w="4261" w:type="dxa"/>
          </w:tcPr>
          <w:p w14:paraId="6D80B4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</w:t>
            </w:r>
          </w:p>
        </w:tc>
      </w:tr>
      <w:tr w14:paraId="1ED4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DBC00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</w:t>
            </w:r>
          </w:p>
        </w:tc>
        <w:tc>
          <w:tcPr>
            <w:tcW w:w="4261" w:type="dxa"/>
          </w:tcPr>
          <w:p w14:paraId="6CFD33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по 12 месяцам</w:t>
            </w:r>
          </w:p>
        </w:tc>
      </w:tr>
      <w:tr w14:paraId="539C1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0F9BB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4261" w:type="dxa"/>
          </w:tcPr>
          <w:p w14:paraId="594050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 во времени</w:t>
            </w:r>
          </w:p>
        </w:tc>
      </w:tr>
    </w:tbl>
    <w:p w14:paraId="7FBA358C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F6AC84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11706177">
      <w:pPr>
        <w:pStyle w:val="4"/>
        <w:bidi w:val="0"/>
        <w:rPr>
          <w:rFonts w:hint="default" w:ascii="Times New Roman" w:hAnsi="Times New Roman" w:cs="Times New Roman"/>
          <w:sz w:val="28"/>
          <w:szCs w:val="28"/>
        </w:rPr>
      </w:pPr>
      <w:bookmarkStart w:id="34" w:name="_Toc171423736"/>
      <w:bookmarkStart w:id="35" w:name="_Toc73211072"/>
      <w:bookmarkStart w:id="36" w:name="_Toc12923"/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3.2.1 </w:t>
      </w:r>
      <w:r>
        <w:rPr>
          <w:rFonts w:hint="default" w:ascii="Times New Roman" w:hAnsi="Times New Roman" w:cs="Times New Roman"/>
          <w:sz w:val="28"/>
          <w:szCs w:val="28"/>
        </w:rPr>
        <w:t>Выбор топологии сети</w:t>
      </w:r>
      <w:bookmarkEnd w:id="34"/>
      <w:bookmarkEnd w:id="35"/>
      <w:bookmarkEnd w:id="36"/>
    </w:p>
    <w:p w14:paraId="29A274B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учёта прошлого и будущего одновременно была в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ыбрана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топология двунаправленного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внутри модели два рекуррентных слоя анализирующий временной ряд в две стороны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обычной однонаправленной обработке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нельзя поймать сезонные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ячеек 64 в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быстро обучается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устойчивостью к переобучению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нужно вспомнить по ранее рассказанные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преобразующий выходную информацию из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числовое предсказание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Attention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выделяющий важные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выключает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избежания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нужен для задания формулы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обязательной для работы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оптимизации обучения применяются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callbacks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ранней остановки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уменьшения скорости обучения при уменьшении точности предсказаний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чекпоинтов сохраняющих лучшие вессы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разработанная архитектура нейросети превосходит обычные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прогнозированию кадровых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50FE2FA">
      <w:pPr>
        <w:spacing w:after="0" w:line="360" w:lineRule="auto"/>
        <w:jc w:val="both"/>
      </w:pPr>
      <w:r>
        <w:drawing>
          <wp:inline distT="0" distB="0" distL="114300" distR="114300">
            <wp:extent cx="5273040" cy="898525"/>
            <wp:effectExtent l="0" t="0" r="0" b="635"/>
            <wp:docPr id="1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9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76558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14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Топология сети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1FE812F8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Отмечен факт несостоятельности одного рекуррентного слоя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для нахождения нелинейных зависимостей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а использование большего числа слоёв приводит к переобучению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важно учесть число ячеек на рекуррентном слое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при числе ячеек меньшем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64 наблюдается недообучение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при большем количестве ячеек наблюдались незначительные улучшения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и скорость обучения падает в три раза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Доказательство вывода предоставляется в виде таблицы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10. </w:t>
      </w:r>
    </w:p>
    <w:p w14:paraId="1EAE7800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777666E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385C2B2D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4BC5C961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Таблица 10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Влияние числа слоёв и ячеек на точность и время обучения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красным цветом отмечена выбранная конфигурация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5"/>
        <w:gridCol w:w="1750"/>
        <w:gridCol w:w="1256"/>
        <w:gridCol w:w="1458"/>
        <w:gridCol w:w="1330"/>
        <w:gridCol w:w="1403"/>
      </w:tblGrid>
      <w:tr w14:paraId="5B66D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7830D48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Количество слоёв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Bi-LSTM</w:t>
            </w:r>
          </w:p>
        </w:tc>
        <w:tc>
          <w:tcPr>
            <w:tcW w:w="1420" w:type="dxa"/>
          </w:tcPr>
          <w:p w14:paraId="61A4301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Ячеек в одном направлении</w:t>
            </w:r>
          </w:p>
        </w:tc>
        <w:tc>
          <w:tcPr>
            <w:tcW w:w="1420" w:type="dxa"/>
          </w:tcPr>
          <w:p w14:paraId="3D734C3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Итоговая размерность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h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t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</m:oMath>
          </w:p>
        </w:tc>
        <w:tc>
          <w:tcPr>
            <w:tcW w:w="1420" w:type="dxa"/>
          </w:tcPr>
          <w:p w14:paraId="6453ABB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% валидация</w:t>
            </w:r>
          </w:p>
        </w:tc>
        <w:tc>
          <w:tcPr>
            <w:tcW w:w="1421" w:type="dxa"/>
          </w:tcPr>
          <w:p w14:paraId="78C08BC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Время одной эпохи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с</w:t>
            </w:r>
          </w:p>
        </w:tc>
        <w:tc>
          <w:tcPr>
            <w:tcW w:w="1421" w:type="dxa"/>
          </w:tcPr>
          <w:p w14:paraId="54B0654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Относительное время обучения</w:t>
            </w:r>
          </w:p>
        </w:tc>
      </w:tr>
      <w:tr w14:paraId="25C68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F4F261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420" w:type="dxa"/>
          </w:tcPr>
          <w:p w14:paraId="47E138ED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66BA9E6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2C87898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421" w:type="dxa"/>
          </w:tcPr>
          <w:p w14:paraId="4B6CFF4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421" w:type="dxa"/>
          </w:tcPr>
          <w:p w14:paraId="6AEED9F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6979E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79F38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C1B315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32</w:t>
            </w:r>
          </w:p>
        </w:tc>
        <w:tc>
          <w:tcPr>
            <w:tcW w:w="1420" w:type="dxa"/>
          </w:tcPr>
          <w:p w14:paraId="52F603E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74083CC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421" w:type="dxa"/>
          </w:tcPr>
          <w:p w14:paraId="2DF5C88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421" w:type="dxa"/>
          </w:tcPr>
          <w:p w14:paraId="53808D0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1,1</w:t>
            </w:r>
          </w:p>
        </w:tc>
      </w:tr>
      <w:tr w14:paraId="5B983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9B6573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9DD51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AEA5F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E7052A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421" w:type="dxa"/>
          </w:tcPr>
          <w:p w14:paraId="77EB3C5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421" w:type="dxa"/>
          </w:tcPr>
          <w:p w14:paraId="4FBA5E5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7610B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5740C6E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AE43C7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32123BC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2578382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421" w:type="dxa"/>
          </w:tcPr>
          <w:p w14:paraId="2DB083A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421" w:type="dxa"/>
          </w:tcPr>
          <w:p w14:paraId="2474DE0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2,3</w:t>
            </w:r>
          </w:p>
        </w:tc>
      </w:tr>
      <w:tr w14:paraId="2E89C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034DFC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A7D29E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4A9A2E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512</w:t>
            </w:r>
          </w:p>
        </w:tc>
        <w:tc>
          <w:tcPr>
            <w:tcW w:w="1420" w:type="dxa"/>
          </w:tcPr>
          <w:p w14:paraId="17E777B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6,91</w:t>
            </w:r>
          </w:p>
        </w:tc>
        <w:tc>
          <w:tcPr>
            <w:tcW w:w="1421" w:type="dxa"/>
          </w:tcPr>
          <w:p w14:paraId="4DE860C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11,8</w:t>
            </w:r>
          </w:p>
        </w:tc>
        <w:tc>
          <w:tcPr>
            <w:tcW w:w="1421" w:type="dxa"/>
          </w:tcPr>
          <w:p w14:paraId="405CD57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4,2</w:t>
            </w:r>
          </w:p>
        </w:tc>
      </w:tr>
      <w:tr w14:paraId="216FB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03B7F3D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1C30096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CCFC81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0A4EAB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421" w:type="dxa"/>
          </w:tcPr>
          <w:p w14:paraId="1F0754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421" w:type="dxa"/>
          </w:tcPr>
          <w:p w14:paraId="6AB6ACD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1,5</w:t>
            </w:r>
          </w:p>
        </w:tc>
      </w:tr>
      <w:tr w14:paraId="79791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6DDB49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3DFD9F1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1535F42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6090317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6,95</w:t>
            </w:r>
          </w:p>
        </w:tc>
        <w:tc>
          <w:tcPr>
            <w:tcW w:w="1421" w:type="dxa"/>
          </w:tcPr>
          <w:p w14:paraId="5B9B6AB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9,7</w:t>
            </w:r>
          </w:p>
        </w:tc>
        <w:tc>
          <w:tcPr>
            <w:tcW w:w="1421" w:type="dxa"/>
          </w:tcPr>
          <w:p w14:paraId="4421D9E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3,5</w:t>
            </w:r>
          </w:p>
        </w:tc>
      </w:tr>
    </w:tbl>
    <w:p w14:paraId="28DD73DA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7804FCD8">
      <w:pPr>
        <w:spacing w:after="0" w:line="360" w:lineRule="auto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1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49F0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15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Обоснование выбора 64 ячеек для слоя 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Bi-LSTM</w:t>
      </w:r>
    </w:p>
    <w:p w14:paraId="2B64726C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8E82352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37" w:name="_Toc73211073"/>
      <w:bookmarkStart w:id="38" w:name="_Toc26040"/>
      <w:bookmarkStart w:id="39" w:name="_Toc171423737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3.2.2 Группировка нейронных блоков в нейронную сеть</w:t>
      </w:r>
      <w:bookmarkEnd w:id="37"/>
      <w:bookmarkEnd w:id="38"/>
      <w:bookmarkEnd w:id="39"/>
    </w:p>
    <w:p w14:paraId="099D922B">
      <w:pPr>
        <w:rPr>
          <w:rFonts w:hint="default"/>
          <w:lang w:val="en-US"/>
        </w:rPr>
      </w:pPr>
    </w:p>
    <w:p w14:paraId="181ED9A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Рассмотрим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группировку блоков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входной слой для формирования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нужной для работы остальных ячеек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Два двунаправленых рекуррентных слоя по 64 нейрона каждый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Attention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выделения важных кусков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выявления скрытых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количество ячеек внимания равно числу временных шагов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длина последовательности 24 значит 24 внимания на временные шаги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слой объединяет выходные данные из слоя внимания и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формирует прогноз в числовом формате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служит защитой от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путём случайного отключения нейронов во время 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output dense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 линейную активацию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конечного прогноза решения задачи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Характеристика для слоёв показана в таблице 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27065533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Характеристики слоёв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"/>
        <w:gridCol w:w="3505"/>
        <w:gridCol w:w="2084"/>
        <w:gridCol w:w="2072"/>
      </w:tblGrid>
      <w:tr w14:paraId="4A853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BAFF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3505" w:type="dxa"/>
          </w:tcPr>
          <w:p w14:paraId="32FCF7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Слой</w:t>
            </w:r>
          </w:p>
        </w:tc>
        <w:tc>
          <w:tcPr>
            <w:tcW w:w="2084" w:type="dxa"/>
          </w:tcPr>
          <w:p w14:paraId="6CAD93B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Выходная размерность</w:t>
            </w:r>
          </w:p>
        </w:tc>
        <w:tc>
          <w:tcPr>
            <w:tcW w:w="2072" w:type="dxa"/>
          </w:tcPr>
          <w:p w14:paraId="44CC30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Обучение параметров</w:t>
            </w:r>
          </w:p>
        </w:tc>
      </w:tr>
      <w:tr w14:paraId="3F43E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6DD078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3505" w:type="dxa"/>
          </w:tcPr>
          <w:p w14:paraId="59FD4ED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Input</w:t>
            </w:r>
          </w:p>
        </w:tc>
        <w:tc>
          <w:tcPr>
            <w:tcW w:w="2084" w:type="dxa"/>
          </w:tcPr>
          <w:p w14:paraId="6AE33A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None,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 18)</w:t>
            </w:r>
          </w:p>
        </w:tc>
        <w:tc>
          <w:tcPr>
            <w:tcW w:w="2072" w:type="dxa"/>
          </w:tcPr>
          <w:p w14:paraId="334D99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</w:p>
        </w:tc>
      </w:tr>
      <w:tr w14:paraId="665C3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1DD2F1A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3505" w:type="dxa"/>
          </w:tcPr>
          <w:p w14:paraId="2508EE3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#1</w:t>
            </w:r>
          </w:p>
        </w:tc>
        <w:tc>
          <w:tcPr>
            <w:tcW w:w="2084" w:type="dxa"/>
          </w:tcPr>
          <w:p w14:paraId="6FD4B06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50A86685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85 504</w:t>
            </w:r>
          </w:p>
        </w:tc>
      </w:tr>
      <w:tr w14:paraId="40AB5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1AFF4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3505" w:type="dxa"/>
          </w:tcPr>
          <w:p w14:paraId="389724D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#2</w:t>
            </w:r>
          </w:p>
        </w:tc>
        <w:tc>
          <w:tcPr>
            <w:tcW w:w="2084" w:type="dxa"/>
          </w:tcPr>
          <w:p w14:paraId="22C364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3CD056D3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98 816</w:t>
            </w:r>
          </w:p>
        </w:tc>
      </w:tr>
      <w:tr w14:paraId="0027D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4B2A61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3505" w:type="dxa"/>
          </w:tcPr>
          <w:p w14:paraId="33403B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AdditiveAttention</w:t>
            </w:r>
          </w:p>
        </w:tc>
        <w:tc>
          <w:tcPr>
            <w:tcW w:w="2084" w:type="dxa"/>
          </w:tcPr>
          <w:p w14:paraId="027599A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47F0056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16 513</w:t>
            </w:r>
          </w:p>
        </w:tc>
      </w:tr>
      <w:tr w14:paraId="6AF71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178C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3505" w:type="dxa"/>
          </w:tcPr>
          <w:p w14:paraId="01A0B86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Dense(128)+ReLU</w:t>
            </w:r>
          </w:p>
        </w:tc>
        <w:tc>
          <w:tcPr>
            <w:tcW w:w="2084" w:type="dxa"/>
          </w:tcPr>
          <w:p w14:paraId="51FDED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0AC02AF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16 512</w:t>
            </w:r>
          </w:p>
        </w:tc>
      </w:tr>
      <w:tr w14:paraId="2772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61" w:type="dxa"/>
          </w:tcPr>
          <w:p w14:paraId="42DF89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3505" w:type="dxa"/>
          </w:tcPr>
          <w:p w14:paraId="053227C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 “0,3” + ReLU</w:t>
            </w:r>
          </w:p>
        </w:tc>
        <w:tc>
          <w:tcPr>
            <w:tcW w:w="2084" w:type="dxa"/>
          </w:tcPr>
          <w:p w14:paraId="39FED0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816CDB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</w:t>
            </w:r>
          </w:p>
        </w:tc>
      </w:tr>
      <w:tr w14:paraId="1F439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74509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3505" w:type="dxa"/>
          </w:tcPr>
          <w:p w14:paraId="6665A3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 “64” + ReLU</w:t>
            </w:r>
          </w:p>
        </w:tc>
        <w:tc>
          <w:tcPr>
            <w:tcW w:w="2084" w:type="dxa"/>
          </w:tcPr>
          <w:p w14:paraId="446FDD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64)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6593FDC1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8 256</w:t>
            </w:r>
          </w:p>
        </w:tc>
      </w:tr>
      <w:tr w14:paraId="0B52C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21170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3505" w:type="dxa"/>
          </w:tcPr>
          <w:p w14:paraId="46D2A4C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Dense “1” -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2084" w:type="dxa"/>
          </w:tcPr>
          <w:p w14:paraId="058B93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5B47C7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65</w:t>
            </w:r>
          </w:p>
        </w:tc>
      </w:tr>
      <w:tr w14:paraId="55BB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87034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Итог</w:t>
            </w:r>
          </w:p>
        </w:tc>
        <w:tc>
          <w:tcPr>
            <w:tcW w:w="7661" w:type="dxa"/>
            <w:gridSpan w:val="3"/>
          </w:tcPr>
          <w:p w14:paraId="5C8A84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225 666 обучающих параметров</w:t>
            </w:r>
          </w:p>
        </w:tc>
      </w:tr>
    </w:tbl>
    <w:p w14:paraId="10EDCD5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8ACBADE">
      <w:pPr>
        <w:spacing w:after="0" w:line="360" w:lineRule="auto"/>
        <w:jc w:val="both"/>
      </w:pPr>
      <w:r>
        <w:drawing>
          <wp:inline distT="0" distB="0" distL="114300" distR="114300">
            <wp:extent cx="5265420" cy="1215390"/>
            <wp:effectExtent l="0" t="0" r="7620" b="3810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1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2CEB9">
      <w:pPr>
        <w:spacing w:after="0" w:line="360" w:lineRule="auto"/>
        <w:jc w:val="both"/>
      </w:pPr>
    </w:p>
    <w:p w14:paraId="698D748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Рисунок 16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Архитектура разработанной гибридной модели 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Bi-LSTM.</w:t>
      </w:r>
    </w:p>
    <w:p w14:paraId="6DE55137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0" w:name="_Toc171423738"/>
      <w:bookmarkStart w:id="41" w:name="_Toc73211074"/>
      <w:bookmarkStart w:id="42" w:name="_Toc8313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3.2.3 Экспериментальный подбор характеристик сети</w:t>
      </w:r>
      <w:bookmarkEnd w:id="40"/>
      <w:bookmarkEnd w:id="41"/>
      <w:bookmarkEnd w:id="42"/>
    </w:p>
    <w:p w14:paraId="25B5F38B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04955DE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Качество предсказаний тренда о количестве необходимых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оценивалось по метрикам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средней абсолютной процентной ошибки 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MAPE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sans-serif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</m:oMath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использована в качестве основной по причинам устойчивости к масштабу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лёгкому переводу в проценты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основной метрикой для задач прогнозирования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как дополнительные метрики используются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мера точности предсказательной модели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RMSE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ad>
          <m:radPr>
            <m:degHide m:val="1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radPr>
          <m:deg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nary>
              <m:naryPr>
                <m:chr m:val="∑"/>
                <m:limLoc m:val="undOvr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=1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  <m:sup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(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nary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</m:acc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sSup>
              <m:sSup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p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)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2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</m:sSup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rad>
      </m:oMath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 xml:space="preserve">используется для штрафования модель за большие ошибки - низкий показатель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RMSE</w:t>
      </w:r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>демонстрирует отсутствие критичных для предсказания потребности сотрудников ошибок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средняя абсолютная ошибка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|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nary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−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|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результатам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можно увидеть среднее количество людей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на которых ошиблась модель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также в качестве дополнительных метрик использован коэффициент детерминации</w:t>
      </w:r>
    </w:p>
    <w:p w14:paraId="6FECFE86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p>
          <m:sSupP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  <w:szCs w:val="28"/>
              </w:rPr>
              <m:t>R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=1−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res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tot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</m:oMath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 служит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для показа доли дисперсии целевой переменной и симметричная средняя абсолютная ошибка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57C15891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SMAPE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|+|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}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использован для повышения устойчивости к нулевым значениям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.  </w:t>
      </w:r>
    </w:p>
    <w:p w14:paraId="751CF32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Высокая точность была получена путём подбора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перебора нужных гиперпараметров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результаты опытов показаны в таблице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4A4D42A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Результаты перебора глубины и ширины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3DD38C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vertAlign w:val="baseline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1404"/>
        <w:gridCol w:w="1008"/>
        <w:gridCol w:w="1012"/>
        <w:gridCol w:w="1376"/>
        <w:gridCol w:w="1937"/>
      </w:tblGrid>
      <w:tr w14:paraId="71201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C8280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Конфигурация сети</w:t>
            </w:r>
          </w:p>
        </w:tc>
        <w:tc>
          <w:tcPr>
            <w:tcW w:w="1404" w:type="dxa"/>
          </w:tcPr>
          <w:p w14:paraId="5FE1DC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 %</w:t>
            </w:r>
          </w:p>
          <w:p w14:paraId="347366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1008" w:type="dxa"/>
          </w:tcPr>
          <w:p w14:paraId="2D2360E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1012" w:type="dxa"/>
          </w:tcPr>
          <w:p w14:paraId="33A092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1376" w:type="dxa"/>
          </w:tcPr>
          <w:p w14:paraId="741E43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Время эпохи в секундах</w:t>
            </w:r>
          </w:p>
        </w:tc>
        <w:tc>
          <w:tcPr>
            <w:tcW w:w="1937" w:type="dxa"/>
          </w:tcPr>
          <w:p w14:paraId="26BAAD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Примечание</w:t>
            </w:r>
          </w:p>
        </w:tc>
      </w:tr>
      <w:tr w14:paraId="2CA53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77950B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1 рекуррентный слой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64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ячейки</w:t>
            </w:r>
          </w:p>
        </w:tc>
        <w:tc>
          <w:tcPr>
            <w:tcW w:w="1404" w:type="dxa"/>
          </w:tcPr>
          <w:p w14:paraId="1382AE0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008" w:type="dxa"/>
          </w:tcPr>
          <w:p w14:paraId="4AC617F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1012" w:type="dxa"/>
          </w:tcPr>
          <w:p w14:paraId="04A9AE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376" w:type="dxa"/>
          </w:tcPr>
          <w:p w14:paraId="086AEB4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937" w:type="dxa"/>
          </w:tcPr>
          <w:p w14:paraId="1434B3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1EA02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14E76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32 ячейки</w:t>
            </w:r>
          </w:p>
        </w:tc>
        <w:tc>
          <w:tcPr>
            <w:tcW w:w="1404" w:type="dxa"/>
          </w:tcPr>
          <w:p w14:paraId="6603EB5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008" w:type="dxa"/>
          </w:tcPr>
          <w:p w14:paraId="5B5C33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5,03</w:t>
            </w:r>
          </w:p>
        </w:tc>
        <w:tc>
          <w:tcPr>
            <w:tcW w:w="1012" w:type="dxa"/>
          </w:tcPr>
          <w:p w14:paraId="0831DEF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6,88</w:t>
            </w:r>
          </w:p>
        </w:tc>
        <w:tc>
          <w:tcPr>
            <w:tcW w:w="1376" w:type="dxa"/>
          </w:tcPr>
          <w:p w14:paraId="30F8B44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937" w:type="dxa"/>
          </w:tcPr>
          <w:p w14:paraId="107C6A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564C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0E0975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7054C2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008" w:type="dxa"/>
          </w:tcPr>
          <w:p w14:paraId="41165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1012" w:type="dxa"/>
          </w:tcPr>
          <w:p w14:paraId="1FBD9D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5,14</w:t>
            </w:r>
          </w:p>
        </w:tc>
        <w:tc>
          <w:tcPr>
            <w:tcW w:w="1376" w:type="dxa"/>
          </w:tcPr>
          <w:p w14:paraId="20BA78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937" w:type="dxa"/>
          </w:tcPr>
          <w:p w14:paraId="1D5BB53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Лучший вариант</w:t>
            </w:r>
          </w:p>
        </w:tc>
      </w:tr>
      <w:tr w14:paraId="73416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36EF870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128 ячейки</w:t>
            </w:r>
          </w:p>
        </w:tc>
        <w:tc>
          <w:tcPr>
            <w:tcW w:w="1404" w:type="dxa"/>
          </w:tcPr>
          <w:p w14:paraId="79A910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008" w:type="dxa"/>
          </w:tcPr>
          <w:p w14:paraId="2E24E0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,81</w:t>
            </w:r>
          </w:p>
        </w:tc>
        <w:tc>
          <w:tcPr>
            <w:tcW w:w="1012" w:type="dxa"/>
          </w:tcPr>
          <w:p w14:paraId="5F0EE30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,09</w:t>
            </w:r>
          </w:p>
        </w:tc>
        <w:tc>
          <w:tcPr>
            <w:tcW w:w="1376" w:type="dxa"/>
          </w:tcPr>
          <w:p w14:paraId="03E2E3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937" w:type="dxa"/>
          </w:tcPr>
          <w:p w14:paraId="62FEF0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Больше в 2 раза по  времени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качества</w:t>
            </w:r>
          </w:p>
        </w:tc>
      </w:tr>
      <w:tr w14:paraId="1B60B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10DA620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4E3A39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008" w:type="dxa"/>
          </w:tcPr>
          <w:p w14:paraId="287B2D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3,89</w:t>
            </w:r>
          </w:p>
        </w:tc>
        <w:tc>
          <w:tcPr>
            <w:tcW w:w="1012" w:type="dxa"/>
          </w:tcPr>
          <w:p w14:paraId="598061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5,18</w:t>
            </w:r>
          </w:p>
        </w:tc>
        <w:tc>
          <w:tcPr>
            <w:tcW w:w="1376" w:type="dxa"/>
          </w:tcPr>
          <w:p w14:paraId="0C595F3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937" w:type="dxa"/>
          </w:tcPr>
          <w:p w14:paraId="1756EF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Переобучение</w:t>
            </w:r>
          </w:p>
        </w:tc>
      </w:tr>
    </w:tbl>
    <w:p w14:paraId="1AD35F0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6EE7C5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подбора коэффициента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проведены эксперименты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например без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сразу пошло переобучение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поставленным значением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недообучение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лучший результат для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коэффициент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Dropout 0,2 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ближе всего к полноценному обучению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,07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,1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 лучший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ED969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Подбор коэффициента для метода регуляризации отключающего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7"/>
        <w:gridCol w:w="2030"/>
        <w:gridCol w:w="2323"/>
        <w:gridCol w:w="2892"/>
      </w:tblGrid>
      <w:tr w14:paraId="462E6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19C91B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</w:t>
            </w:r>
          </w:p>
        </w:tc>
        <w:tc>
          <w:tcPr>
            <w:tcW w:w="2030" w:type="dxa"/>
          </w:tcPr>
          <w:p w14:paraId="41A9D51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6F7B44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(обучение)</w:t>
            </w:r>
          </w:p>
        </w:tc>
        <w:tc>
          <w:tcPr>
            <w:tcW w:w="2323" w:type="dxa"/>
          </w:tcPr>
          <w:p w14:paraId="1CBF843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1D1B7A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валидация)</w:t>
            </w:r>
          </w:p>
        </w:tc>
        <w:tc>
          <w:tcPr>
            <w:tcW w:w="2892" w:type="dxa"/>
          </w:tcPr>
          <w:p w14:paraId="4C297A2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Разница</w:t>
            </w:r>
          </w:p>
          <w:p w14:paraId="027341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(переобучение)</w:t>
            </w:r>
          </w:p>
        </w:tc>
      </w:tr>
      <w:tr w14:paraId="1530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3CCC49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</w:t>
            </w:r>
          </w:p>
        </w:tc>
        <w:tc>
          <w:tcPr>
            <w:tcW w:w="2030" w:type="dxa"/>
          </w:tcPr>
          <w:p w14:paraId="09EDC35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4,21</w:t>
            </w:r>
          </w:p>
        </w:tc>
        <w:tc>
          <w:tcPr>
            <w:tcW w:w="2323" w:type="dxa"/>
          </w:tcPr>
          <w:p w14:paraId="0E22723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8,94</w:t>
            </w:r>
          </w:p>
        </w:tc>
        <w:tc>
          <w:tcPr>
            <w:tcW w:w="2892" w:type="dxa"/>
          </w:tcPr>
          <w:p w14:paraId="18E8E1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+4,73%</w:t>
            </w:r>
          </w:p>
        </w:tc>
      </w:tr>
      <w:tr w14:paraId="2E8E1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0B02AC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0,1</w:t>
            </w:r>
          </w:p>
        </w:tc>
        <w:tc>
          <w:tcPr>
            <w:tcW w:w="2030" w:type="dxa"/>
          </w:tcPr>
          <w:p w14:paraId="4241F4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5,68</w:t>
            </w:r>
          </w:p>
        </w:tc>
        <w:tc>
          <w:tcPr>
            <w:tcW w:w="2323" w:type="dxa"/>
          </w:tcPr>
          <w:p w14:paraId="335439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7,82</w:t>
            </w:r>
          </w:p>
        </w:tc>
        <w:tc>
          <w:tcPr>
            <w:tcW w:w="2892" w:type="dxa"/>
          </w:tcPr>
          <w:p w14:paraId="20889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+2,14%</w:t>
            </w:r>
          </w:p>
        </w:tc>
      </w:tr>
      <w:tr w14:paraId="295EB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215C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0,2</w:t>
            </w:r>
          </w:p>
        </w:tc>
        <w:tc>
          <w:tcPr>
            <w:tcW w:w="2030" w:type="dxa"/>
          </w:tcPr>
          <w:p w14:paraId="2893FF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6,03</w:t>
            </w:r>
          </w:p>
        </w:tc>
        <w:tc>
          <w:tcPr>
            <w:tcW w:w="2323" w:type="dxa"/>
          </w:tcPr>
          <w:p w14:paraId="6B830D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2892" w:type="dxa"/>
          </w:tcPr>
          <w:p w14:paraId="5E58FE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+1,07%</w:t>
            </w:r>
          </w:p>
        </w:tc>
      </w:tr>
      <w:tr w14:paraId="51758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618FBE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0,3</w:t>
            </w:r>
          </w:p>
        </w:tc>
        <w:tc>
          <w:tcPr>
            <w:tcW w:w="2030" w:type="dxa"/>
          </w:tcPr>
          <w:p w14:paraId="337DC6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6,47</w:t>
            </w:r>
          </w:p>
        </w:tc>
        <w:tc>
          <w:tcPr>
            <w:tcW w:w="2323" w:type="dxa"/>
          </w:tcPr>
          <w:p w14:paraId="3CF4599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7,19</w:t>
            </w:r>
          </w:p>
        </w:tc>
        <w:tc>
          <w:tcPr>
            <w:tcW w:w="2892" w:type="dxa"/>
          </w:tcPr>
          <w:p w14:paraId="6CD1EB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+0,72%</w:t>
            </w:r>
          </w:p>
        </w:tc>
      </w:tr>
      <w:tr w14:paraId="362DF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D332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</w:t>
            </w:r>
          </w:p>
        </w:tc>
        <w:tc>
          <w:tcPr>
            <w:tcW w:w="2030" w:type="dxa"/>
          </w:tcPr>
          <w:p w14:paraId="70D6B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7,81</w:t>
            </w:r>
          </w:p>
        </w:tc>
        <w:tc>
          <w:tcPr>
            <w:tcW w:w="2323" w:type="dxa"/>
          </w:tcPr>
          <w:p w14:paraId="06D812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8,03</w:t>
            </w:r>
          </w:p>
        </w:tc>
        <w:tc>
          <w:tcPr>
            <w:tcW w:w="2892" w:type="dxa"/>
          </w:tcPr>
          <w:p w14:paraId="545520D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+0,22%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</w:tbl>
    <w:p w14:paraId="028C4C2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C1A2A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Отмечается важность выбора правильной длины входной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захват зависимостей не сможет происходить без правильной длины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двенадцати месяцев модель не может уловить и запомнить сезонную зависимость - нет аналогичного периода в прошлый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поведение за несколько лет брать для улавливания закономерностей сезонности и трендов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восемнадцать месяцев не дают минимального времени для улавливания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брать минимум 24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полных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можно выделить повторяющиеся пики и спады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полных трех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незначительный прирост к точности прирост к точности и заметно увеличивается время обучения около в два раза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Тестирование называется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тест Диболда-Мариано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разница в точности между двумя и тремя годами составила около три десятых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показывает незначительный прирост к точности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существенных увеличениях временных затрат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4ED635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Подбор последовательности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CE73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92078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2841" w:type="dxa"/>
          </w:tcPr>
          <w:p w14:paraId="760AF9E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2841" w:type="dxa"/>
          </w:tcPr>
          <w:p w14:paraId="2F48BC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Комментарий</w:t>
            </w:r>
          </w:p>
        </w:tc>
      </w:tr>
      <w:tr w14:paraId="1F8A2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5CC7C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 месяцев</w:t>
            </w:r>
          </w:p>
        </w:tc>
        <w:tc>
          <w:tcPr>
            <w:tcW w:w="2841" w:type="dxa"/>
          </w:tcPr>
          <w:p w14:paraId="7AA35E4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2841" w:type="dxa"/>
          </w:tcPr>
          <w:p w14:paraId="45AFAE6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E27A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30CA30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 месяцев</w:t>
            </w:r>
          </w:p>
        </w:tc>
        <w:tc>
          <w:tcPr>
            <w:tcW w:w="2841" w:type="dxa"/>
          </w:tcPr>
          <w:p w14:paraId="6C6717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,56</w:t>
            </w:r>
          </w:p>
        </w:tc>
        <w:tc>
          <w:tcPr>
            <w:tcW w:w="2841" w:type="dxa"/>
          </w:tcPr>
          <w:p w14:paraId="4F12E2B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6EB2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3DC2D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  <w:tc>
          <w:tcPr>
            <w:tcW w:w="2841" w:type="dxa"/>
          </w:tcPr>
          <w:p w14:paraId="40B069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</w:t>
            </w:r>
          </w:p>
        </w:tc>
        <w:tc>
          <w:tcPr>
            <w:tcW w:w="2841" w:type="dxa"/>
          </w:tcPr>
          <w:p w14:paraId="18E42AA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Оптимально 2 полных сезонных цикла</w:t>
            </w:r>
          </w:p>
        </w:tc>
      </w:tr>
      <w:tr w14:paraId="72735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7BC2D5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36 месяцев</w:t>
            </w:r>
          </w:p>
        </w:tc>
        <w:tc>
          <w:tcPr>
            <w:tcW w:w="2841" w:type="dxa"/>
          </w:tcPr>
          <w:p w14:paraId="1418E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,14</w:t>
            </w:r>
          </w:p>
        </w:tc>
        <w:tc>
          <w:tcPr>
            <w:tcW w:w="2841" w:type="dxa"/>
          </w:tcPr>
          <w:p w14:paraId="526006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точности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увеличение времени обучения</w:t>
            </w:r>
          </w:p>
        </w:tc>
      </w:tr>
    </w:tbl>
    <w:p w14:paraId="48C6DCEB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F2D0D9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Грамотная и продуманная настройка сети необходима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увеличения 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лучшая конфигурация включает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рекуррентных слоя по 64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параметром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0,2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два года минимум нужно брать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улавливания закономерностей сезонности и трендов найма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434E58B0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664A7C9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3" w:name="_Toc171423739"/>
      <w:bookmarkStart w:id="44" w:name="_Toc73211075"/>
      <w:bookmarkStart w:id="45" w:name="_Toc29886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3.2.4 Сбор и нормализация данных для обучения нейронной сети</w:t>
      </w:r>
      <w:bookmarkEnd w:id="43"/>
      <w:bookmarkEnd w:id="44"/>
      <w:bookmarkEnd w:id="45"/>
    </w:p>
    <w:p w14:paraId="525023E3">
      <w:pPr>
        <w:rPr>
          <w:rFonts w:hint="default"/>
          <w:lang w:val="en-US"/>
        </w:rPr>
      </w:pPr>
    </w:p>
    <w:p w14:paraId="517BAD8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обучения использовался датасет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IBM HR Analytics Employee Attrition &amp; Perfomance,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причиной выбора стала сложность датасета - большое количество признаков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число записей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длительный период записи информации десять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предсказания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было привести датасет в форму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добавить скользящие статистики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нахождение за временной интервал минимума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добавить временные задержки в изменении численности рабочего персонала -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обязательно - календарные переменные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новые признаки в виде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линейного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количества наймов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нормализованного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После изменений датасет приобрёл признаки указанные в 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15:</w:t>
      </w:r>
    </w:p>
    <w:p w14:paraId="2E21AC3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Подаваемые на вход модели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2421"/>
        <w:gridCol w:w="3770"/>
        <w:gridCol w:w="1847"/>
      </w:tblGrid>
      <w:tr w14:paraId="299AB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A15814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424" w:type="dxa"/>
          </w:tcPr>
          <w:p w14:paraId="417819F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</w:t>
            </w:r>
          </w:p>
        </w:tc>
        <w:tc>
          <w:tcPr>
            <w:tcW w:w="3804" w:type="dxa"/>
          </w:tcPr>
          <w:p w14:paraId="479399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Описание</w:t>
            </w:r>
          </w:p>
        </w:tc>
        <w:tc>
          <w:tcPr>
            <w:tcW w:w="1855" w:type="dxa"/>
          </w:tcPr>
          <w:p w14:paraId="617679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</w:t>
            </w:r>
          </w:p>
        </w:tc>
      </w:tr>
      <w:tr w14:paraId="5AD63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72EE6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424" w:type="dxa"/>
          </w:tcPr>
          <w:p w14:paraId="3A46724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3804" w:type="dxa"/>
          </w:tcPr>
          <w:p w14:paraId="16A760A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Целевая переменная - количество наймов в месяц</w:t>
            </w:r>
          </w:p>
        </w:tc>
        <w:tc>
          <w:tcPr>
            <w:tcW w:w="1855" w:type="dxa"/>
          </w:tcPr>
          <w:p w14:paraId="3CC3F8A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615D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5E19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424" w:type="dxa"/>
          </w:tcPr>
          <w:p w14:paraId="491894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Month_sin, month_cos</w:t>
            </w:r>
          </w:p>
        </w:tc>
        <w:tc>
          <w:tcPr>
            <w:tcW w:w="3804" w:type="dxa"/>
          </w:tcPr>
          <w:p w14:paraId="3A014AA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месяца</w:t>
            </w:r>
          </w:p>
        </w:tc>
        <w:tc>
          <w:tcPr>
            <w:tcW w:w="1855" w:type="dxa"/>
          </w:tcPr>
          <w:p w14:paraId="51D283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0716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52312D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2424" w:type="dxa"/>
          </w:tcPr>
          <w:p w14:paraId="6DEE0FB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Quarter_sin, quarter_cos</w:t>
            </w:r>
          </w:p>
        </w:tc>
        <w:tc>
          <w:tcPr>
            <w:tcW w:w="3804" w:type="dxa"/>
          </w:tcPr>
          <w:p w14:paraId="221569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квартала</w:t>
            </w:r>
          </w:p>
        </w:tc>
        <w:tc>
          <w:tcPr>
            <w:tcW w:w="1855" w:type="dxa"/>
          </w:tcPr>
          <w:p w14:paraId="0A26D0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2CC79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D1A451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2424" w:type="dxa"/>
          </w:tcPr>
          <w:p w14:paraId="318BF84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3804" w:type="dxa"/>
          </w:tcPr>
          <w:p w14:paraId="67083E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  <w:tc>
          <w:tcPr>
            <w:tcW w:w="1855" w:type="dxa"/>
          </w:tcPr>
          <w:p w14:paraId="23FE3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  <w:tr w14:paraId="235EF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CC5B2C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2424" w:type="dxa"/>
          </w:tcPr>
          <w:p w14:paraId="24A36DE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Lag_1, lag_3, lag_6, lag_12</w:t>
            </w:r>
          </w:p>
        </w:tc>
        <w:tc>
          <w:tcPr>
            <w:tcW w:w="3804" w:type="dxa"/>
          </w:tcPr>
          <w:p w14:paraId="2944909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 целевой переменной</w:t>
            </w:r>
          </w:p>
        </w:tc>
        <w:tc>
          <w:tcPr>
            <w:tcW w:w="1855" w:type="dxa"/>
          </w:tcPr>
          <w:p w14:paraId="4E76CF0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583D3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257F5F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2424" w:type="dxa"/>
          </w:tcPr>
          <w:p w14:paraId="0FDC06B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Rolling_mean_3</w:t>
            </w:r>
          </w:p>
        </w:tc>
        <w:tc>
          <w:tcPr>
            <w:tcW w:w="3804" w:type="dxa"/>
          </w:tcPr>
          <w:p w14:paraId="32C902B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3 мнсяц</w:t>
            </w:r>
          </w:p>
        </w:tc>
        <w:tc>
          <w:tcPr>
            <w:tcW w:w="1855" w:type="dxa"/>
          </w:tcPr>
          <w:p w14:paraId="26133B3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C3E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D11B1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2424" w:type="dxa"/>
          </w:tcPr>
          <w:p w14:paraId="3086E7A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Rolling_mean_12</w:t>
            </w:r>
          </w:p>
        </w:tc>
        <w:tc>
          <w:tcPr>
            <w:tcW w:w="3804" w:type="dxa"/>
          </w:tcPr>
          <w:p w14:paraId="6C98F7B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12 месяцев</w:t>
            </w:r>
          </w:p>
        </w:tc>
        <w:tc>
          <w:tcPr>
            <w:tcW w:w="1855" w:type="dxa"/>
          </w:tcPr>
          <w:p w14:paraId="37C958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числвой</w:t>
            </w:r>
          </w:p>
        </w:tc>
      </w:tr>
      <w:tr w14:paraId="1CA68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7BE392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2424" w:type="dxa"/>
          </w:tcPr>
          <w:p w14:paraId="463B663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Rolling_std_12</w:t>
            </w:r>
          </w:p>
        </w:tc>
        <w:tc>
          <w:tcPr>
            <w:tcW w:w="3804" w:type="dxa"/>
          </w:tcPr>
          <w:p w14:paraId="1E04D7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за год</w:t>
            </w:r>
          </w:p>
        </w:tc>
        <w:tc>
          <w:tcPr>
            <w:tcW w:w="1855" w:type="dxa"/>
          </w:tcPr>
          <w:p w14:paraId="3D08111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3BF87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261B7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</w:p>
        </w:tc>
        <w:tc>
          <w:tcPr>
            <w:tcW w:w="2424" w:type="dxa"/>
          </w:tcPr>
          <w:p w14:paraId="00A000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3804" w:type="dxa"/>
          </w:tcPr>
          <w:p w14:paraId="7E60CFA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</w:t>
            </w:r>
          </w:p>
        </w:tc>
        <w:tc>
          <w:tcPr>
            <w:tcW w:w="1855" w:type="dxa"/>
          </w:tcPr>
          <w:p w14:paraId="24192B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</w:tbl>
    <w:p w14:paraId="4DF66A07">
      <w:pPr>
        <w:wordWrap w:val="0"/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2BEC7A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обязательно разбить получившийся временной ряд на обучающую и тестовую выборку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E77787C">
      <w:pPr>
        <w:wordWrap w:val="0"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Разбиение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5EC6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23712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Выборка</w:t>
            </w:r>
          </w:p>
        </w:tc>
        <w:tc>
          <w:tcPr>
            <w:tcW w:w="2130" w:type="dxa"/>
            <w:vAlign w:val="top"/>
          </w:tcPr>
          <w:p w14:paraId="14E288F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</w:t>
            </w:r>
          </w:p>
        </w:tc>
        <w:tc>
          <w:tcPr>
            <w:tcW w:w="2131" w:type="dxa"/>
            <w:vAlign w:val="top"/>
          </w:tcPr>
          <w:p w14:paraId="15896308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примеров</w:t>
            </w:r>
          </w:p>
        </w:tc>
        <w:tc>
          <w:tcPr>
            <w:tcW w:w="2131" w:type="dxa"/>
            <w:vAlign w:val="top"/>
          </w:tcPr>
          <w:p w14:paraId="6E3F2FF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</w:t>
            </w:r>
          </w:p>
        </w:tc>
      </w:tr>
      <w:tr w14:paraId="6DA06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6E71EC7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Обучающая</w:t>
            </w:r>
          </w:p>
        </w:tc>
        <w:tc>
          <w:tcPr>
            <w:tcW w:w="2130" w:type="dxa"/>
            <w:vAlign w:val="top"/>
          </w:tcPr>
          <w:p w14:paraId="0942AB31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.2015 - 12.2021</w:t>
            </w:r>
          </w:p>
        </w:tc>
        <w:tc>
          <w:tcPr>
            <w:tcW w:w="2131" w:type="dxa"/>
            <w:vAlign w:val="top"/>
          </w:tcPr>
          <w:p w14:paraId="1B8609C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72</w:t>
            </w:r>
          </w:p>
        </w:tc>
        <w:tc>
          <w:tcPr>
            <w:tcW w:w="2131" w:type="dxa"/>
            <w:vAlign w:val="top"/>
          </w:tcPr>
          <w:p w14:paraId="1F3F27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75%</w:t>
            </w:r>
          </w:p>
        </w:tc>
      </w:tr>
      <w:tr w14:paraId="65A9D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06DC828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Тестовая</w:t>
            </w:r>
          </w:p>
        </w:tc>
        <w:tc>
          <w:tcPr>
            <w:tcW w:w="2130" w:type="dxa"/>
            <w:vAlign w:val="top"/>
          </w:tcPr>
          <w:p w14:paraId="75421890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.2022 - 12.2025</w:t>
            </w:r>
          </w:p>
        </w:tc>
        <w:tc>
          <w:tcPr>
            <w:tcW w:w="2131" w:type="dxa"/>
            <w:vAlign w:val="top"/>
          </w:tcPr>
          <w:p w14:paraId="5CD215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24</w:t>
            </w:r>
          </w:p>
        </w:tc>
        <w:tc>
          <w:tcPr>
            <w:tcW w:w="2131" w:type="dxa"/>
            <w:vAlign w:val="top"/>
          </w:tcPr>
          <w:p w14:paraId="043ED1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25%</w:t>
            </w:r>
          </w:p>
        </w:tc>
      </w:tr>
      <w:tr w14:paraId="1DE01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C9F7B2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2130" w:type="dxa"/>
            <w:vAlign w:val="top"/>
          </w:tcPr>
          <w:p w14:paraId="50F2D38F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Встроен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callbacks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ранняя остановка</w:t>
            </w:r>
          </w:p>
        </w:tc>
        <w:tc>
          <w:tcPr>
            <w:tcW w:w="2131" w:type="dxa"/>
            <w:vAlign w:val="top"/>
          </w:tcPr>
          <w:p w14:paraId="5F81854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  <w:tc>
          <w:tcPr>
            <w:tcW w:w="2131" w:type="dxa"/>
            <w:vAlign w:val="top"/>
          </w:tcPr>
          <w:p w14:paraId="4DD942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</w:tr>
    </w:tbl>
    <w:p w14:paraId="693EEB78">
      <w:pPr>
        <w:wordWrap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654C164">
      <w:pPr>
        <w:spacing w:after="0" w:line="360" w:lineRule="auto"/>
        <w:jc w:val="both"/>
      </w:pPr>
      <w:r>
        <w:drawing>
          <wp:inline distT="0" distB="0" distL="114300" distR="114300">
            <wp:extent cx="5269230" cy="2591435"/>
            <wp:effectExtent l="0" t="0" r="3810" b="14605"/>
            <wp:docPr id="1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8835E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17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месячной потребностей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74EFA3D4">
      <w:pPr>
        <w:spacing w:after="0" w:line="360" w:lineRule="auto"/>
        <w:jc w:val="center"/>
      </w:pPr>
      <w:r>
        <w:drawing>
          <wp:inline distT="0" distB="0" distL="114300" distR="114300">
            <wp:extent cx="5272405" cy="2418715"/>
            <wp:effectExtent l="0" t="0" r="635" b="4445"/>
            <wp:docPr id="2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016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18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Накопленная потребность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 за десять лет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C883FB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3F9DCD3">
      <w:pPr>
        <w:spacing w:after="0" w:line="360" w:lineRule="auto"/>
        <w:jc w:val="center"/>
      </w:pPr>
      <w:r>
        <w:drawing>
          <wp:inline distT="0" distB="0" distL="114300" distR="114300">
            <wp:extent cx="5272405" cy="3125470"/>
            <wp:effectExtent l="0" t="0" r="635" b="13970"/>
            <wp:docPr id="22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97F67">
      <w:pPr>
        <w:spacing w:after="0" w:line="360" w:lineRule="auto"/>
        <w:jc w:val="center"/>
      </w:pPr>
    </w:p>
    <w:p w14:paraId="6A981F13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19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Тепловая карта найма по месяцам и годам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87404F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331A208">
      <w:pPr>
        <w:spacing w:after="0" w:line="360" w:lineRule="auto"/>
        <w:jc w:val="center"/>
      </w:pPr>
      <w:r>
        <w:drawing>
          <wp:inline distT="0" distB="0" distL="114300" distR="114300">
            <wp:extent cx="5265420" cy="2591435"/>
            <wp:effectExtent l="0" t="0" r="7620" b="14605"/>
            <wp:docPr id="23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64185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20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5D5150C7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4DAAB7">
      <w:pPr>
        <w:spacing w:after="0" w:line="360" w:lineRule="auto"/>
        <w:jc w:val="both"/>
      </w:pPr>
      <w:r>
        <w:drawing>
          <wp:inline distT="0" distB="0" distL="114300" distR="114300">
            <wp:extent cx="5269230" cy="2587625"/>
            <wp:effectExtent l="0" t="0" r="3810" b="3175"/>
            <wp:docPr id="24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95F2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BC447D4">
      <w:pPr>
        <w:spacing w:after="0" w:line="360" w:lineRule="auto"/>
        <w:jc w:val="both"/>
        <w:rPr>
          <w:rFonts w:hint="default"/>
          <w:lang w:val="en-US"/>
        </w:rPr>
      </w:pPr>
    </w:p>
    <w:p w14:paraId="3EA09734">
      <w:pPr>
        <w:spacing w:after="0" w:line="360" w:lineRule="auto"/>
        <w:jc w:val="center"/>
        <w:rPr>
          <w:rFonts w:hint="default"/>
          <w:lang w:val="ru-RU" w:eastAsia="en-US"/>
        </w:rPr>
      </w:pPr>
    </w:p>
    <w:p w14:paraId="258FDE7F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46" w:name="_Toc73211076"/>
      <w:bookmarkStart w:id="47" w:name="_Toc9347"/>
      <w:bookmarkStart w:id="48" w:name="_Toc171423740"/>
      <w:r>
        <w:rPr>
          <w:rFonts w:ascii="Times New Roman" w:hAnsi="Times New Roman"/>
          <w:b/>
          <w:sz w:val="28"/>
          <w:szCs w:val="20"/>
          <w:lang w:eastAsia="en-US"/>
        </w:rPr>
        <w:t>Обучение нейронной сети</w:t>
      </w:r>
      <w:bookmarkEnd w:id="46"/>
      <w:bookmarkEnd w:id="47"/>
      <w:bookmarkEnd w:id="48"/>
    </w:p>
    <w:p w14:paraId="2D73A4FD">
      <w:pPr>
        <w:spacing w:after="0" w:line="240" w:lineRule="auto"/>
        <w:rPr>
          <w:rFonts w:ascii="Times New Roman" w:hAnsi="Times New Roman" w:eastAsia="Calibri"/>
          <w:sz w:val="20"/>
          <w:szCs w:val="20"/>
          <w:lang w:eastAsia="en-US"/>
        </w:rPr>
      </w:pPr>
    </w:p>
    <w:p w14:paraId="69BAF4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выделить два основных этапа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первый этап обучение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двух рекуррентных слоёв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второй этап проходит при помощи стекинга на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LightGBM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8C4AC0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подобрать подходящие параметры для проведения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показаны использованные 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D6D848D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321F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E2F25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Параметр</w:t>
            </w:r>
          </w:p>
        </w:tc>
        <w:tc>
          <w:tcPr>
            <w:tcW w:w="4261" w:type="dxa"/>
          </w:tcPr>
          <w:p w14:paraId="1D62AA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</w:tr>
      <w:tr w14:paraId="035CF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723AB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Оптимизатор</w:t>
            </w:r>
          </w:p>
        </w:tc>
        <w:tc>
          <w:tcPr>
            <w:tcW w:w="4261" w:type="dxa"/>
          </w:tcPr>
          <w:p w14:paraId="041B6C0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Adam (learning rate = 0,001)</w:t>
            </w:r>
          </w:p>
        </w:tc>
      </w:tr>
      <w:tr w14:paraId="0E3DC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A0290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Функция потерь</w:t>
            </w:r>
          </w:p>
        </w:tc>
        <w:tc>
          <w:tcPr>
            <w:tcW w:w="4261" w:type="dxa"/>
          </w:tcPr>
          <w:p w14:paraId="046FF9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MSE</w:t>
            </w:r>
          </w:p>
        </w:tc>
      </w:tr>
      <w:tr w14:paraId="05787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2F8D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Метрики</w:t>
            </w:r>
          </w:p>
        </w:tc>
        <w:tc>
          <w:tcPr>
            <w:tcW w:w="4261" w:type="dxa"/>
          </w:tcPr>
          <w:p w14:paraId="7F2F86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</w:tr>
      <w:tr w14:paraId="2AC5A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92E3D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Размер батча</w:t>
            </w:r>
          </w:p>
        </w:tc>
        <w:tc>
          <w:tcPr>
            <w:tcW w:w="4261" w:type="dxa"/>
          </w:tcPr>
          <w:p w14:paraId="7FF3233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16</w:t>
            </w:r>
          </w:p>
        </w:tc>
      </w:tr>
      <w:tr w14:paraId="503F0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A3233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Максимальное число эпох</w:t>
            </w:r>
          </w:p>
        </w:tc>
        <w:tc>
          <w:tcPr>
            <w:tcW w:w="4261" w:type="dxa"/>
          </w:tcPr>
          <w:p w14:paraId="61824E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200</w:t>
            </w:r>
          </w:p>
        </w:tc>
      </w:tr>
      <w:tr w14:paraId="05EFF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4DB081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4261" w:type="dxa"/>
          </w:tcPr>
          <w:p w14:paraId="27F2CE9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</w:tr>
      <w:tr w14:paraId="46B16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69BBC1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Callbacks</w:t>
            </w:r>
          </w:p>
        </w:tc>
        <w:tc>
          <w:tcPr>
            <w:tcW w:w="4261" w:type="dxa"/>
          </w:tcPr>
          <w:p w14:paraId="5219667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EarlyStopping(patience=15), ReduceLROnPlateau(factor=0.5, patience=8), ModelCheckpoint</w:t>
            </w:r>
          </w:p>
        </w:tc>
      </w:tr>
    </w:tbl>
    <w:p w14:paraId="69CB972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A40AD6E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drawing>
          <wp:inline distT="0" distB="0" distL="114300" distR="114300">
            <wp:extent cx="5269230" cy="2195195"/>
            <wp:effectExtent l="0" t="0" r="3810" b="14605"/>
            <wp:docPr id="25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9BC9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22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Обучение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Bidirectional LSTM + Bahdanau Attention.</w:t>
      </w:r>
    </w:p>
    <w:p w14:paraId="38C8AB46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AE58764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9" w:name="_Toc8420"/>
      <w:bookmarkStart w:id="50" w:name="_Toc73211077"/>
      <w:bookmarkStart w:id="51" w:name="_Toc171423741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3.3.1 Выбор способа оценки адекватности результатов обучения</w:t>
      </w:r>
      <w:bookmarkEnd w:id="49"/>
      <w:bookmarkEnd w:id="50"/>
      <w:bookmarkEnd w:id="51"/>
    </w:p>
    <w:p w14:paraId="0D1086C1">
      <w:pPr>
        <w:rPr>
          <w:rFonts w:hint="default"/>
          <w:lang w:val="en-US"/>
        </w:rPr>
      </w:pPr>
    </w:p>
    <w:p w14:paraId="07D5FD7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качества предсказания потребности в сотрудниках должна включать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количественные метрики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кросс валидацию по временному ряду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статистические тесты и анализ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проведено сравнение простых стартовых моделей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ведь нужно использовать системный анализ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доказательства отсутствия переобучения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статистическую значимость получившихся улучшений в результате осмысленного подбора нужной конфигурации 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реализации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43A6059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адекватности проводилась метриками приведёнными раньше в предыдущих главах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MAPE, MAE, RMSE, sMAPE, </w:t>
      </w:r>
      <m:oMath>
        <m:sSup>
          <m:sSupPr>
            <m:ctrlPr>
              <w:rPr>
                <w:rFonts w:hint="default" w:ascii="Cambria Math" w:hAnsi="Cambria Math" w:eastAsia="Calibri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Calibri"/>
                <w:sz w:val="28"/>
              </w:rPr>
              <m:t>R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Calibri"/>
                <w:sz w:val="28"/>
              </w:rPr>
              <m:t>2</m:t>
            </m:r>
            <m:ctrlPr>
              <w:rPr>
                <w:rFonts w:ascii="Cambria Math" w:hAnsi="Cambria Math" w:eastAsia="Calibri"/>
                <w:sz w:val="28"/>
              </w:rPr>
            </m:ctrlPr>
          </m:sup>
        </m:sSup>
      </m:oMath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подробное описание метрик показано в таблице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78F3DE4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Метрики оценки адекватности результатов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7"/>
        <w:gridCol w:w="1263"/>
        <w:gridCol w:w="4941"/>
        <w:gridCol w:w="1821"/>
      </w:tblGrid>
      <w:tr w14:paraId="4EBEA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0F1CD4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1263" w:type="dxa"/>
          </w:tcPr>
          <w:p w14:paraId="040953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Метрика</w:t>
            </w:r>
          </w:p>
        </w:tc>
        <w:tc>
          <w:tcPr>
            <w:tcW w:w="4941" w:type="dxa"/>
          </w:tcPr>
          <w:p w14:paraId="6211E56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Математическая запись</w:t>
            </w:r>
          </w:p>
        </w:tc>
        <w:tc>
          <w:tcPr>
            <w:tcW w:w="1821" w:type="dxa"/>
          </w:tcPr>
          <w:p w14:paraId="2B95350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Обоснование применения в задаче</w:t>
            </w:r>
          </w:p>
        </w:tc>
      </w:tr>
      <w:tr w14:paraId="06EEA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D56F41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263" w:type="dxa"/>
          </w:tcPr>
          <w:p w14:paraId="0675B22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</w:tc>
        <w:tc>
          <w:tcPr>
            <w:tcW w:w="4941" w:type="dxa"/>
          </w:tcPr>
          <w:p w14:paraId="5C2B3D7C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MAPE=(100/n)∑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)/y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65FFC9F8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Интерпретируемая в проценты метрика</w:t>
            </w:r>
          </w:p>
        </w:tc>
      </w:tr>
      <w:tr w14:paraId="579AF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46AD2D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263" w:type="dxa"/>
          </w:tcPr>
          <w:p w14:paraId="2603BCB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4941" w:type="dxa"/>
          </w:tcPr>
          <w:p w14:paraId="14394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MAE=(1/n)∑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52AA4C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Абсолютная ошибка в единицах найма</w:t>
            </w:r>
          </w:p>
        </w:tc>
      </w:tr>
      <w:tr w14:paraId="43EA7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21ED42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263" w:type="dxa"/>
          </w:tcPr>
          <w:p w14:paraId="1B266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4941" w:type="dxa"/>
          </w:tcPr>
          <w:p w14:paraId="29CDDDC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RMSE=√[(1/n)∑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04DF22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Штрафует модель за крупные промахи</w:t>
            </w:r>
          </w:p>
        </w:tc>
      </w:tr>
      <w:tr w14:paraId="492FF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67A4073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1263" w:type="dxa"/>
          </w:tcPr>
          <w:p w14:paraId="32F4E6D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sMAPE</w:t>
            </w:r>
          </w:p>
        </w:tc>
        <w:tc>
          <w:tcPr>
            <w:tcW w:w="4941" w:type="dxa"/>
          </w:tcPr>
          <w:p w14:paraId="43F5FE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sMAPE=(200/n)∑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|/(|y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|+|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|)</m:t>
                </m:r>
              </m:oMath>
            </m:oMathPara>
          </w:p>
        </w:tc>
        <w:tc>
          <w:tcPr>
            <w:tcW w:w="1821" w:type="dxa"/>
          </w:tcPr>
          <w:p w14:paraId="38A0514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Симметричная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для корректного сравнения</w:t>
            </w:r>
          </w:p>
        </w:tc>
      </w:tr>
      <w:tr w14:paraId="7B42F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548B4B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1263" w:type="dxa"/>
          </w:tcPr>
          <w:p w14:paraId="57EEF3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2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4941" w:type="dxa"/>
          </w:tcPr>
          <w:p w14:paraId="6799311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=1−[∑(y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/∑(y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ȳ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372AB5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 объяснённой дисперсии временного ряда</w:t>
            </w:r>
          </w:p>
        </w:tc>
      </w:tr>
    </w:tbl>
    <w:p w14:paraId="656B02B4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012B66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Скользящая кросс-валидация используется для устранения проблемы смешивания будущего с прошлым - утечки прошлого в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или наоборот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было применено пять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19 продемонстрированы результаты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6D47A2D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049201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Применение 5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375"/>
        <w:gridCol w:w="1825"/>
        <w:gridCol w:w="1393"/>
        <w:gridCol w:w="1611"/>
        <w:gridCol w:w="1191"/>
      </w:tblGrid>
      <w:tr w14:paraId="6A892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1DA9BF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Фолд</w:t>
            </w:r>
          </w:p>
        </w:tc>
        <w:tc>
          <w:tcPr>
            <w:tcW w:w="1375" w:type="dxa"/>
          </w:tcPr>
          <w:p w14:paraId="11CFF81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обучения</w:t>
            </w:r>
          </w:p>
        </w:tc>
        <w:tc>
          <w:tcPr>
            <w:tcW w:w="1825" w:type="dxa"/>
          </w:tcPr>
          <w:p w14:paraId="49AEC79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тестирования</w:t>
            </w:r>
          </w:p>
        </w:tc>
        <w:tc>
          <w:tcPr>
            <w:tcW w:w="1393" w:type="dxa"/>
          </w:tcPr>
          <w:p w14:paraId="4FBDBC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1611" w:type="dxa"/>
          </w:tcPr>
          <w:p w14:paraId="7B0383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сотрудники</w:t>
            </w:r>
          </w:p>
        </w:tc>
        <w:tc>
          <w:tcPr>
            <w:tcW w:w="1191" w:type="dxa"/>
          </w:tcPr>
          <w:p w14:paraId="71622A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</w:tr>
      <w:tr w14:paraId="3BDA2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30B148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</w:t>
            </w:r>
          </w:p>
        </w:tc>
        <w:tc>
          <w:tcPr>
            <w:tcW w:w="1375" w:type="dxa"/>
          </w:tcPr>
          <w:p w14:paraId="52C23C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2015.01-2019.12</w:t>
            </w:r>
          </w:p>
        </w:tc>
        <w:tc>
          <w:tcPr>
            <w:tcW w:w="1825" w:type="dxa"/>
          </w:tcPr>
          <w:p w14:paraId="400FF52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2020.01-2020.12</w:t>
            </w:r>
          </w:p>
        </w:tc>
        <w:tc>
          <w:tcPr>
            <w:tcW w:w="1393" w:type="dxa"/>
          </w:tcPr>
          <w:p w14:paraId="5510E9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7,41</w:t>
            </w:r>
          </w:p>
        </w:tc>
        <w:tc>
          <w:tcPr>
            <w:tcW w:w="1611" w:type="dxa"/>
          </w:tcPr>
          <w:p w14:paraId="140206D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3,88</w:t>
            </w:r>
          </w:p>
        </w:tc>
        <w:tc>
          <w:tcPr>
            <w:tcW w:w="1191" w:type="dxa"/>
          </w:tcPr>
          <w:p w14:paraId="771B01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5,11</w:t>
            </w:r>
          </w:p>
        </w:tc>
      </w:tr>
      <w:tr w14:paraId="30688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63570E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</w:t>
            </w:r>
          </w:p>
        </w:tc>
        <w:tc>
          <w:tcPr>
            <w:tcW w:w="1375" w:type="dxa"/>
          </w:tcPr>
          <w:p w14:paraId="12593A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2015.01-2020.12</w:t>
            </w:r>
          </w:p>
        </w:tc>
        <w:tc>
          <w:tcPr>
            <w:tcW w:w="1825" w:type="dxa"/>
          </w:tcPr>
          <w:p w14:paraId="36ADC6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2021.01-2021.12</w:t>
            </w:r>
          </w:p>
        </w:tc>
        <w:tc>
          <w:tcPr>
            <w:tcW w:w="1393" w:type="dxa"/>
          </w:tcPr>
          <w:p w14:paraId="1ED9A8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7,23</w:t>
            </w:r>
          </w:p>
        </w:tc>
        <w:tc>
          <w:tcPr>
            <w:tcW w:w="1611" w:type="dxa"/>
          </w:tcPr>
          <w:p w14:paraId="0ED6785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3,79</w:t>
            </w:r>
          </w:p>
        </w:tc>
        <w:tc>
          <w:tcPr>
            <w:tcW w:w="1191" w:type="dxa"/>
          </w:tcPr>
          <w:p w14:paraId="23D3B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5,02</w:t>
            </w:r>
          </w:p>
        </w:tc>
      </w:tr>
      <w:tr w14:paraId="031EF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27" w:type="dxa"/>
          </w:tcPr>
          <w:p w14:paraId="0030AEF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1375" w:type="dxa"/>
          </w:tcPr>
          <w:p w14:paraId="4F72A4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2015.01-2021.12</w:t>
            </w:r>
          </w:p>
        </w:tc>
        <w:tc>
          <w:tcPr>
            <w:tcW w:w="1825" w:type="dxa"/>
          </w:tcPr>
          <w:p w14:paraId="343BE3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2022.01-2022.12</w:t>
            </w:r>
          </w:p>
        </w:tc>
        <w:tc>
          <w:tcPr>
            <w:tcW w:w="1393" w:type="dxa"/>
          </w:tcPr>
          <w:p w14:paraId="0E64373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611" w:type="dxa"/>
          </w:tcPr>
          <w:p w14:paraId="092A793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3,64</w:t>
            </w:r>
          </w:p>
        </w:tc>
        <w:tc>
          <w:tcPr>
            <w:tcW w:w="1191" w:type="dxa"/>
          </w:tcPr>
          <w:p w14:paraId="59AE29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4,87</w:t>
            </w:r>
          </w:p>
        </w:tc>
      </w:tr>
      <w:tr w14:paraId="13BFC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789DC2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1375" w:type="dxa"/>
          </w:tcPr>
          <w:p w14:paraId="7DC09BC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2015.01-2022.12</w:t>
            </w:r>
          </w:p>
        </w:tc>
        <w:tc>
          <w:tcPr>
            <w:tcW w:w="1825" w:type="dxa"/>
          </w:tcPr>
          <w:p w14:paraId="0CCF8E5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2023.01-2023.12</w:t>
            </w:r>
          </w:p>
        </w:tc>
        <w:tc>
          <w:tcPr>
            <w:tcW w:w="1393" w:type="dxa"/>
          </w:tcPr>
          <w:p w14:paraId="5060AF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611" w:type="dxa"/>
          </w:tcPr>
          <w:p w14:paraId="3D91873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3,71</w:t>
            </w:r>
          </w:p>
        </w:tc>
        <w:tc>
          <w:tcPr>
            <w:tcW w:w="1191" w:type="dxa"/>
          </w:tcPr>
          <w:p w14:paraId="3E59AA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4,94</w:t>
            </w:r>
          </w:p>
        </w:tc>
      </w:tr>
      <w:tr w14:paraId="3A029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475F5F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1375" w:type="dxa"/>
          </w:tcPr>
          <w:p w14:paraId="75C1FB6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2015.01-2023.12</w:t>
            </w:r>
          </w:p>
        </w:tc>
        <w:tc>
          <w:tcPr>
            <w:tcW w:w="1825" w:type="dxa"/>
          </w:tcPr>
          <w:p w14:paraId="030CDBF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2024.01 - 2025.12</w:t>
            </w:r>
          </w:p>
        </w:tc>
        <w:tc>
          <w:tcPr>
            <w:tcW w:w="1393" w:type="dxa"/>
          </w:tcPr>
          <w:p w14:paraId="67CB6D4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7,05</w:t>
            </w:r>
          </w:p>
        </w:tc>
        <w:tc>
          <w:tcPr>
            <w:tcW w:w="1611" w:type="dxa"/>
          </w:tcPr>
          <w:p w14:paraId="26872B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3,68</w:t>
            </w:r>
          </w:p>
        </w:tc>
        <w:tc>
          <w:tcPr>
            <w:tcW w:w="1191" w:type="dxa"/>
          </w:tcPr>
          <w:p w14:paraId="4C1E1D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4,89</w:t>
            </w:r>
          </w:p>
        </w:tc>
      </w:tr>
    </w:tbl>
    <w:p w14:paraId="4B2732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001DA1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23 проведено сравнение простых стартовых моделей с получившиеся в итоге обученной при помощью стекинга итоговой модели использующийся для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Видно что реальная проверка показала что лучший прогноз получается от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Сезонный наивный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это показывает важность сравнения полученной модели с стартовыми простыми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сложные модели могут иметь худший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Но для длинных временных рядов подходит именно разработанная и обученная стэкинг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Превосходство простых моделей над сложными получается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причине использования коротких и шумных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международные выводы гласят - ситуации где простые методы превосходят сложные многоуровневые ансамблевые архитектуры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 не нужно отбрасывать сложные модели в сторону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уметь применять разные методы решения для различных ситуаций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Обученную в работе нейросеть нужно применять для временных рядов больше пятнадцати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сейчас стекинг выдаёт потребность в кадрах близкую к константе по причине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недостаточного размера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45011E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2381885"/>
            <wp:effectExtent l="0" t="0" r="1905" b="10795"/>
            <wp:docPr id="2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8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6B6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98C5A0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получившийся в результате обучения модели с простыми стартовыми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72A5A4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8EFC9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важный показатель оценки адекватности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 продемонстрированы рисуночки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для обученной модели 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 график указывающий на нормальное распределение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рисунке двадцать четыре видно остатки расположены без систематического смещения и без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основном около нулевой красной пунктирной линии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видно нет переоценки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и минимум десять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редкие пики - характер остатков несёт случайный характер и нету признаков гетероскедастичности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BE275A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6F6F13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3674110"/>
            <wp:effectExtent l="0" t="0" r="1905" b="13970"/>
            <wp:docPr id="2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88DED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AAA07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96234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25 можно увидеть наличие аномалий в виде редких увеличений показателей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распределение остатков около биссектрисы говорит о нормальном распределении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188D035">
      <w:pPr>
        <w:spacing w:after="0" w:line="360" w:lineRule="auto"/>
        <w:jc w:val="both"/>
      </w:pPr>
      <w:r>
        <w:drawing>
          <wp:inline distT="0" distB="0" distL="114300" distR="114300">
            <wp:extent cx="5273040" cy="3814445"/>
            <wp:effectExtent l="0" t="0" r="0" b="10795"/>
            <wp:docPr id="2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1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B1C3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BA6069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C17403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Льюнг-Бокс показал успешное извлечение информации из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являются белым шумом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Шапиро-Уилка выявил распределение остатков близкое к нормальному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Диболд-Мариано определил различия между стартовой моделью наивного предсказания и получившейся итоговой моделью - различий значимых нет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простая модель не хуже многоуровневой ансамблевой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4F6171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3674110" cy="1588135"/>
            <wp:effectExtent l="0" t="0" r="13970" b="12065"/>
            <wp:docPr id="2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186B6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Проверка остатков тест Льюнга-Бокса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Диболда-Мариано и Шапиро-Уилка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EF5CFD6">
      <w:pPr>
        <w:spacing w:after="0" w:line="360" w:lineRule="auto"/>
        <w:jc w:val="both"/>
        <w:rPr>
          <w:rFonts w:hint="default"/>
          <w:lang w:val="ru-RU" w:eastAsia="en-US"/>
        </w:rPr>
      </w:pPr>
    </w:p>
    <w:p w14:paraId="3E994F9C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2" w:name="_Toc73211078"/>
      <w:bookmarkStart w:id="53" w:name="_Toc5221"/>
      <w:bookmarkStart w:id="54" w:name="_Toc171423742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3.3.2 Расчёт количества потерь и их минимизация</w:t>
      </w:r>
      <w:bookmarkEnd w:id="52"/>
      <w:bookmarkEnd w:id="53"/>
      <w:bookmarkEnd w:id="54"/>
    </w:p>
    <w:p w14:paraId="2B7155D9"/>
    <w:p w14:paraId="57B1ED19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Важно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отметить экономическую эффективность при оценке количества потерь и качества разработанной нейронной сети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Угрозу университету представляют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недобор персонала и перебор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обычно рассмотренные проблемы оцениваются в больших для организации деньгах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данным приближенным к реальным по мнению Росстата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один неправильно предсказанный человек обойдётся в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миллионов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учитывая среднюю ежемесячную зарплату преподавателей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ставки ФОТ Росстата на 2025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отметить стоимость недобора значительно превышает перебор сотрудников по себестоимости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стоимость перебора 870 000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недобора 1500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обычных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MAPE, MAE, RMSE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 достаточно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полной оценки денежных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формула для ассиметричной функции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ранее были рассмотрены только симметричные метрики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Снизу показана ассиметричная функция потерь по причине разницы стоимости проблем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1A89924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29" name="2384804F-3998-4D57-9195-F3826E402611-2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2384804F-3998-4D57-9195-F3826E402611-2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8EF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рассмотрен эксперимент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использованием модели устраняющей недобор сотрудников - завышающей прогноз на потребность был подобран квантиль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,92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завышения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дальше эксперимент рассматривается в виде таблицы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20. </w:t>
      </w:r>
    </w:p>
    <w:p w14:paraId="11D1A2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A57F40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48CB5F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потерь за год МУИВ при использовании разных типов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E03ED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86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4"/>
        <w:gridCol w:w="2548"/>
        <w:gridCol w:w="1308"/>
        <w:gridCol w:w="1320"/>
        <w:gridCol w:w="1752"/>
        <w:gridCol w:w="1296"/>
      </w:tblGrid>
      <w:tr w14:paraId="57B48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EC57F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548" w:type="dxa"/>
          </w:tcPr>
          <w:p w14:paraId="4FDE11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Стратегия прогнозирования</w:t>
            </w:r>
          </w:p>
        </w:tc>
        <w:tc>
          <w:tcPr>
            <w:tcW w:w="1308" w:type="dxa"/>
          </w:tcPr>
          <w:p w14:paraId="7EC4F8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Годовой недобор человек</w:t>
            </w:r>
          </w:p>
        </w:tc>
        <w:tc>
          <w:tcPr>
            <w:tcW w:w="1320" w:type="dxa"/>
          </w:tcPr>
          <w:p w14:paraId="5EC005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Годовые потери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руб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</w:p>
        </w:tc>
        <w:tc>
          <w:tcPr>
            <w:tcW w:w="1752" w:type="dxa"/>
          </w:tcPr>
          <w:p w14:paraId="2C111A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руб</w:t>
            </w:r>
          </w:p>
        </w:tc>
        <w:tc>
          <w:tcPr>
            <w:tcW w:w="1296" w:type="dxa"/>
          </w:tcPr>
          <w:p w14:paraId="41F6DAF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%</w:t>
            </w:r>
          </w:p>
        </w:tc>
      </w:tr>
      <w:tr w14:paraId="0C0EE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241EEA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548" w:type="dxa"/>
          </w:tcPr>
          <w:p w14:paraId="41F89D7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Наивный</w:t>
            </w:r>
          </w:p>
        </w:tc>
        <w:tc>
          <w:tcPr>
            <w:tcW w:w="1308" w:type="dxa"/>
          </w:tcPr>
          <w:p w14:paraId="59C37D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32,8</w:t>
            </w:r>
          </w:p>
        </w:tc>
        <w:tc>
          <w:tcPr>
            <w:tcW w:w="1320" w:type="dxa"/>
          </w:tcPr>
          <w:p w14:paraId="72637FC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23,1</w:t>
            </w:r>
          </w:p>
        </w:tc>
        <w:tc>
          <w:tcPr>
            <w:tcW w:w="1752" w:type="dxa"/>
          </w:tcPr>
          <w:p w14:paraId="2251F7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87,4</w:t>
            </w:r>
          </w:p>
        </w:tc>
        <w:tc>
          <w:tcPr>
            <w:tcW w:w="1296" w:type="dxa"/>
          </w:tcPr>
          <w:p w14:paraId="3A31D1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нету</w:t>
            </w:r>
          </w:p>
        </w:tc>
      </w:tr>
      <w:tr w14:paraId="6B73D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21C24AF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548" w:type="dxa"/>
          </w:tcPr>
          <w:p w14:paraId="0C9215C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XGBoost</w:t>
            </w:r>
          </w:p>
        </w:tc>
        <w:tc>
          <w:tcPr>
            <w:tcW w:w="1308" w:type="dxa"/>
          </w:tcPr>
          <w:p w14:paraId="5590AB9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29,4</w:t>
            </w:r>
          </w:p>
        </w:tc>
        <w:tc>
          <w:tcPr>
            <w:tcW w:w="1320" w:type="dxa"/>
          </w:tcPr>
          <w:p w14:paraId="4FF3C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27,6</w:t>
            </w:r>
          </w:p>
        </w:tc>
        <w:tc>
          <w:tcPr>
            <w:tcW w:w="1752" w:type="dxa"/>
          </w:tcPr>
          <w:p w14:paraId="4C80E0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82,1</w:t>
            </w:r>
          </w:p>
        </w:tc>
        <w:tc>
          <w:tcPr>
            <w:tcW w:w="1296" w:type="dxa"/>
          </w:tcPr>
          <w:p w14:paraId="33CC38B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,3</w:t>
            </w:r>
          </w:p>
        </w:tc>
      </w:tr>
      <w:tr w14:paraId="2AE62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7A180A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2548" w:type="dxa"/>
          </w:tcPr>
          <w:p w14:paraId="1917F3B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Квантиль 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,92</w:t>
            </w:r>
          </w:p>
        </w:tc>
        <w:tc>
          <w:tcPr>
            <w:tcW w:w="1308" w:type="dxa"/>
          </w:tcPr>
          <w:p w14:paraId="6C599E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17,2</w:t>
            </w:r>
          </w:p>
        </w:tc>
        <w:tc>
          <w:tcPr>
            <w:tcW w:w="1320" w:type="dxa"/>
          </w:tcPr>
          <w:p w14:paraId="0268867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38,9</w:t>
            </w:r>
          </w:p>
        </w:tc>
        <w:tc>
          <w:tcPr>
            <w:tcW w:w="1752" w:type="dxa"/>
          </w:tcPr>
          <w:p w14:paraId="1BB3E2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70,8</w:t>
            </w:r>
          </w:p>
        </w:tc>
        <w:tc>
          <w:tcPr>
            <w:tcW w:w="1296" w:type="dxa"/>
          </w:tcPr>
          <w:p w14:paraId="51C6878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16,6</w:t>
            </w:r>
          </w:p>
        </w:tc>
      </w:tr>
    </w:tbl>
    <w:p w14:paraId="77437A91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B1A27C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Выходит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выгоднее использовать накрученную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заставляющую нанимать больше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текущая экономическая ситуация университета станет лучше за счёт роста прибыли от новых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2EA69BD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5" w:name="_Toc73211079"/>
      <w:bookmarkStart w:id="56" w:name="_Toc171423743"/>
      <w:bookmarkStart w:id="57" w:name="_Toc7402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3.3.3 Анализ адекватности обучения</w:t>
      </w:r>
      <w:bookmarkEnd w:id="55"/>
      <w:bookmarkEnd w:id="56"/>
      <w:bookmarkEnd w:id="57"/>
    </w:p>
    <w:p w14:paraId="60939865"/>
    <w:p w14:paraId="09C4167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Построена кривая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сто двадцати и более наблюдениях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разрыв  между обучающей и валидационной  незначительный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значит модель не переобучена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модели хватило скормленного набора данных под сложность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p w14:paraId="1447535E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3982085" cy="2620645"/>
            <wp:effectExtent l="0" t="0" r="10795" b="635"/>
            <wp:docPr id="30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82085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28CFE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Кривая обучения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223A15A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найти оптимальное количество деревьев до достижения пика роста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дальше добавление лишних деревьев увеличит время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экспериментальным путём найдено оптимальное значение деревьев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_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estimators = 400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4B98BB4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31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25C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8.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Зависимость ошибки от количества 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9C45D4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29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значимыми признаками являются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181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это календарные индикаторы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временные признаки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предметная область определения потребности сотрудников включает вышеперечисленные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следовательно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признаками должны быть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 учебного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долгосрочный тренд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A99ADD7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4757420" cy="3383915"/>
            <wp:effectExtent l="0" t="0" r="12700" b="14605"/>
            <wp:docPr id="3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57420" cy="338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47B7F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Важность признаков в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741C3A8B">
      <w:pPr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30 продемонстрирована зависимость периода пандемии с последующим восстановлением и сезонные пики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среднем потребность составляла девять человек по графику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был 25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минимум один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подтверждает выявленную ранее потребность около десяти человек в среднем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08EA3AD3">
      <w:pPr>
        <w:spacing w:after="0" w:line="360" w:lineRule="auto"/>
        <w:ind w:firstLine="709"/>
        <w:jc w:val="both"/>
      </w:pPr>
    </w:p>
    <w:p w14:paraId="15C78D83">
      <w:pPr>
        <w:spacing w:after="0" w:line="360" w:lineRule="auto"/>
        <w:ind w:firstLine="709"/>
        <w:jc w:val="both"/>
        <w:rPr>
          <w:lang w:eastAsia="en-US"/>
        </w:rPr>
      </w:pPr>
      <w:r>
        <w:drawing>
          <wp:inline distT="0" distB="0" distL="114300" distR="114300">
            <wp:extent cx="5271135" cy="2420620"/>
            <wp:effectExtent l="0" t="0" r="1905" b="2540"/>
            <wp:docPr id="3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B1274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Рисунок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30.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прогноза и факта потребности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66E4D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B563940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Показатели адекватности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03B8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B9AD06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Показатель</w:t>
            </w:r>
          </w:p>
        </w:tc>
        <w:tc>
          <w:tcPr>
            <w:tcW w:w="2841" w:type="dxa"/>
          </w:tcPr>
          <w:p w14:paraId="78E3ADE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  <w:tc>
          <w:tcPr>
            <w:tcW w:w="2841" w:type="dxa"/>
          </w:tcPr>
          <w:p w14:paraId="7B648CA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Вывод</w:t>
            </w:r>
          </w:p>
        </w:tc>
      </w:tr>
      <w:tr w14:paraId="5FC6F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A6B5D4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Разрыв между обучающей и валидационной</w:t>
            </w:r>
          </w:p>
        </w:tc>
        <w:tc>
          <w:tcPr>
            <w:tcW w:w="2841" w:type="dxa"/>
          </w:tcPr>
          <w:p w14:paraId="14A112F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,175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сотрудников</w:t>
            </w:r>
          </w:p>
        </w:tc>
        <w:tc>
          <w:tcPr>
            <w:tcW w:w="2841" w:type="dxa"/>
          </w:tcPr>
          <w:p w14:paraId="5AF9FBF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Переобучения нет</w:t>
            </w:r>
          </w:p>
        </w:tc>
      </w:tr>
      <w:tr w14:paraId="64718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4A098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деревьев</w:t>
            </w:r>
          </w:p>
        </w:tc>
        <w:tc>
          <w:tcPr>
            <w:tcW w:w="2841" w:type="dxa"/>
          </w:tcPr>
          <w:p w14:paraId="091653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400 количество деревьев</w:t>
            </w:r>
          </w:p>
        </w:tc>
        <w:tc>
          <w:tcPr>
            <w:tcW w:w="2841" w:type="dxa"/>
          </w:tcPr>
          <w:p w14:paraId="00AA605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Устойчивость прогноза повысится при добавлении 100 деревьев к оптимальному числу</w:t>
            </w:r>
          </w:p>
        </w:tc>
      </w:tr>
      <w:tr w14:paraId="6AAC5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A87903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Важные признаки</w:t>
            </w:r>
          </w:p>
        </w:tc>
        <w:tc>
          <w:tcPr>
            <w:tcW w:w="2841" w:type="dxa"/>
          </w:tcPr>
          <w:p w14:paraId="5BE3A5A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181 номера признаков</w:t>
            </w:r>
          </w:p>
        </w:tc>
        <w:tc>
          <w:tcPr>
            <w:tcW w:w="2841" w:type="dxa"/>
          </w:tcPr>
          <w:p w14:paraId="3C7F9D7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Опирается на месячную инерцию</w:t>
            </w:r>
          </w:p>
        </w:tc>
      </w:tr>
      <w:tr w14:paraId="2AB37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9FA312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 отложенной тестовой выборке</w:t>
            </w:r>
          </w:p>
        </w:tc>
        <w:tc>
          <w:tcPr>
            <w:tcW w:w="2841" w:type="dxa"/>
          </w:tcPr>
          <w:p w14:paraId="7096FCE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51 сотрудников в</w:t>
            </w:r>
          </w:p>
          <w:p w14:paraId="639584C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месяц</w:t>
            </w:r>
          </w:p>
        </w:tc>
        <w:tc>
          <w:tcPr>
            <w:tcW w:w="2841" w:type="dxa"/>
          </w:tcPr>
          <w:p w14:paraId="69E853B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 средней численности сотрудников МУИВ 250 человек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высокая точность для определения потребности в кадрах</w:t>
            </w:r>
          </w:p>
        </w:tc>
      </w:tr>
      <w:tr w14:paraId="0CC79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1420A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2841" w:type="dxa"/>
          </w:tcPr>
          <w:p w14:paraId="2DBAF7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5,34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человек</w:t>
            </w:r>
          </w:p>
        </w:tc>
        <w:tc>
          <w:tcPr>
            <w:tcW w:w="2841" w:type="dxa"/>
          </w:tcPr>
          <w:p w14:paraId="32D02441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Выраженная свтабильность прогноза</w:t>
            </w:r>
          </w:p>
        </w:tc>
      </w:tr>
    </w:tbl>
    <w:p w14:paraId="74310CED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74FFF1">
      <w:pPr>
        <w:spacing w:after="0" w:line="36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Итоги анализа показали высокую точность предсказания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стабильность прогноза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следовательно обученная модель готова к использованию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на временных рядах больше пятнадцати лет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в организации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модель будет выдавать стабильный результат в предсказаниях потребности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снижать денежные потери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/>
          <w:sz w:val="28"/>
          <w:szCs w:val="28"/>
          <w:lang w:val="ru-RU"/>
        </w:rPr>
        <w:t>организации и увеличивать прибыль от удовлетворения потребности в персонале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расчёты показали выгоднее нанять больше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35" name="2384804F-3998-4D57-9195-F3826E402611-3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2384804F-3998-4D57-9195-F3826E402611-3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данным Росстата при недонайме сотрудников будут большие денежные убытки на 630 000 рублей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квантильной модели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,92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завышающую количество требуемого найма в совокупности с основной обученной моделью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МУИВ сможет сэкономить 7 560 000 рублей за двенадцать месяцев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430DA63A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EAE4429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  <w:lang w:eastAsia="en-US"/>
        </w:rPr>
      </w:pPr>
      <w:bookmarkStart w:id="58" w:name="_Toc17265"/>
      <w:bookmarkStart w:id="59" w:name="_Toc41935264"/>
      <w:bookmarkStart w:id="60" w:name="_Toc42166432"/>
      <w:bookmarkStart w:id="61" w:name="_Toc171423744"/>
      <w:bookmarkStart w:id="62" w:name="_Toc73211080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58"/>
      <w:bookmarkEnd w:id="59"/>
      <w:bookmarkEnd w:id="60"/>
      <w:bookmarkEnd w:id="61"/>
      <w:bookmarkEnd w:id="62"/>
    </w:p>
    <w:p w14:paraId="410C340C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Разработана нейронная сеть, реализующая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прогнозирование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потребности в сотрудниках для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включает квантильную регрессию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градиентный бустинг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 анализ адекватности полученной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результаты показали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 сложную архитектуру обгоняет в точности прогноза наивный прогноз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созданы календарные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лаговые признаки для временной последовательности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обучаемой модели получились достаточно высокие показатели по метрикам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= 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,51, RMSE = 5,34,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основываясь 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анализ показал необходимость создания модели учитывающей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для повышения прибыли организации и уменьшения убытков по данным Росстата о средней зарплате преподавателей в частных образовательных организациях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год будет экономия 7 560 000 рублей для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657A1BB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Получены выводы по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работ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е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предоставленные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22</w:t>
      </w:r>
      <w:r>
        <w:rPr>
          <w:rFonts w:ascii="Times New Roman" w:hAnsi="Times New Roman" w:eastAsia="Calibri"/>
          <w:sz w:val="28"/>
          <w:szCs w:val="28"/>
          <w:lang w:eastAsia="en-US"/>
        </w:rPr>
        <w:t>:</w:t>
      </w:r>
    </w:p>
    <w:p w14:paraId="650A8D7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>Таблица 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второму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34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22"/>
        <w:gridCol w:w="4912"/>
      </w:tblGrid>
      <w:tr w14:paraId="7E1E2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4" w:hRule="atLeast"/>
        </w:trPr>
        <w:tc>
          <w:tcPr>
            <w:tcW w:w="4722" w:type="dxa"/>
            <w:shd w:val="clear" w:color="auto" w:fill="D9D9D9"/>
          </w:tcPr>
          <w:p w14:paraId="77BDBA07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Выводы</w:t>
            </w:r>
          </w:p>
        </w:tc>
        <w:tc>
          <w:tcPr>
            <w:tcW w:w="4912" w:type="dxa"/>
            <w:shd w:val="clear" w:color="auto" w:fill="D9D9D9"/>
          </w:tcPr>
          <w:p w14:paraId="5EDD04E0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Сформированные компетенции</w:t>
            </w:r>
          </w:p>
        </w:tc>
      </w:tr>
      <w:tr w14:paraId="703616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0" w:hRule="atLeast"/>
        </w:trPr>
        <w:tc>
          <w:tcPr>
            <w:tcW w:w="4722" w:type="dxa"/>
            <w:tcBorders>
              <w:bottom w:val="single" w:color="auto" w:sz="4" w:space="0"/>
            </w:tcBorders>
          </w:tcPr>
          <w:p w14:paraId="39DC57E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Обучена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ансамблевая модель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XGBoost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для решения задачи прогноза потребности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 количестве рабочего персонала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предотвращения убытков в размере 7 560 000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рублей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 </w:t>
            </w:r>
          </w:p>
          <w:p w14:paraId="32B7547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</w:p>
          <w:p w14:paraId="1E3834E5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Для обучения был синтезирован временной ряд на основе датасета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WA_Fn-UseC_HR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собранного специально за пятнадцать лет компанией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IBM,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была проведена предобработка датасета - добавление новых параметров для определения сезонности и трендов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удаление лишних параметров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-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номера работника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возраста и т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проведена оценка адекватности предсказаний 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выявлена необходимость использования разных подходов и моделей при различных ситуациях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коротких временных рядах можно использовать наивный метод предсказания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последовательности длиннее пятнадцати лет нужно использовать  сложную ансамблевую архитектуру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- стэкингу требуется уловить больше закономерностей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увеличения точности предсказания</w:t>
            </w:r>
          </w:p>
          <w:p w14:paraId="43D77C8C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/>
                <w:iCs/>
                <w:sz w:val="28"/>
                <w:szCs w:val="28"/>
                <w:lang w:val="ru-RU"/>
              </w:rPr>
              <w:t>Для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увеличения точности подобрана лучшая конфигурация увеличивающая стабильность и точность включающая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размер батча 16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200 эпох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длина последовательности 24 месяца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раняя остановка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>patience=15,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наличие чекпоинтов для при обучении для сохранения лучшей модели с лучшим прогнозом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dropout = 0,2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фактор уменьшения скорости обучения при остановке роста точности предсказания при обучении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 = 0,5</w:t>
            </w:r>
            <w:r>
              <w:rPr>
                <w:rFonts w:ascii="Times New Roman" w:hAnsi="Times New Roman"/>
                <w:iCs/>
                <w:sz w:val="28"/>
                <w:szCs w:val="28"/>
              </w:rPr>
              <w:t>.</w:t>
            </w:r>
          </w:p>
        </w:tc>
        <w:tc>
          <w:tcPr>
            <w:tcW w:w="4912" w:type="dxa"/>
          </w:tcPr>
          <w:p w14:paraId="2ACE5B01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 Разработка сложной многоуровневой архитектуры нейронной сети для решения задач прогнозироваания временных рядов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способность применять разные методы машинного обучения для решения задач имеющих разный контекст и особенности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разработка прикладного программного обеспечения для решения задач на предприятии с интеграции сбора базы данных с датчиков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IoT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и внутренних сборщиков баз данных на предприятии аналогичному Московскому университету имени Витте или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IBM.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 </w:t>
            </w:r>
          </w:p>
          <w:p w14:paraId="31F0211E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</w:p>
          <w:p w14:paraId="13172775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ПК-8 Необходимо уметь находить нужные гипер параметры для выполнения конкретной задачи связанной с предсказанием тренда и сезоности временного ряда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.</w:t>
            </w:r>
          </w:p>
          <w:p w14:paraId="7BBE455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pPr>
          </w:p>
          <w:p w14:paraId="041C390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35237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1D4B9C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407A297D">
      <w:pPr>
        <w:pStyle w:val="2"/>
        <w:bidi w:val="0"/>
        <w:outlineLvl w:val="1"/>
        <w:rPr>
          <w:sz w:val="28"/>
          <w:szCs w:val="28"/>
        </w:rPr>
      </w:pPr>
      <w:bookmarkStart w:id="63" w:name="_Toc73211081"/>
      <w:bookmarkStart w:id="64" w:name="_Toc5128"/>
      <w:bookmarkStart w:id="65" w:name="_Toc171423745"/>
      <w:r>
        <w:rPr>
          <w:sz w:val="28"/>
          <w:szCs w:val="28"/>
        </w:rPr>
        <w:t>Заключение</w:t>
      </w:r>
      <w:bookmarkEnd w:id="63"/>
      <w:bookmarkEnd w:id="64"/>
      <w:bookmarkEnd w:id="65"/>
    </w:p>
    <w:p w14:paraId="64805B68">
      <w:pPr>
        <w:spacing w:after="0" w:line="360" w:lineRule="auto"/>
        <w:ind w:firstLine="709"/>
        <w:contextualSpacing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363F8B67">
      <w:pPr>
        <w:spacing w:after="0" w:line="360" w:lineRule="auto"/>
        <w:ind w:firstLine="709"/>
        <w:contextualSpacing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Эксплутационная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практика дала возможность решения актуальной проблемы Московского университета имени Витте в области создания автоматизированной системы прогнозирования потребностей в преподавательских ресурсах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рабочих кадров выполняющих необходимый функционал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управленческих кадров при помощи машинного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ансамблевых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градиентного бустинга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формулы асимметричной регрессии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ходе анализа ситуации в университете выяснено что на данный момент используется ручная практика кадрового планирования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является финансовой проблемой университета создающей убытки размером в 7 560 000 рублей в год - приблизительная сумма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связи с проблемой отсутствия данных у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 синтезирован временной ряд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 основе датасета компании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IBM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найму и увольнению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для ряда добавлены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долгосрочные и краткосрочные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помогающие прогнозировать потребность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созданная в итоге модель учитывает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6E53BC">
      <w:pPr>
        <w:spacing w:after="0" w:line="360" w:lineRule="auto"/>
        <w:ind w:firstLine="709"/>
        <w:contextualSpacing/>
        <w:jc w:val="both"/>
        <w:rPr>
          <w:rFonts w:ascii="Times New Roman" w:hAnsi="Times New Roman"/>
          <w:sz w:val="18"/>
          <w:szCs w:val="18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Понятно что применение разработанной модели в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почти полностью устранит недобор сотрудников для оптимального функционирования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высокие показатели качества получены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существующая проблемная ситуация решается внедрением на предприятие разработанной модели и системой автоматического сбора данных о устройстве новых сотрудников и увольнению старых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синтеза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нужного для осуществления прогноза модели по потребности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реализовано сохранение обучившийся модели в формате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Keras,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готова к загрузке и использованию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виртуальном пространстве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Python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качестве подключаемого модуля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решения проблем прогноза потребности в рабочем персонале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разработанное решение для автоматизации прогноза потребности кадров превосходит существующее решение прогнозирования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основанное на ручном анализе и отсутствии автоматизированного сбора данных по тренду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разработанная система оценки и применения различных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анализа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может быть адаптирована под нужды разных образовательных 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проделанная работа имеет научную новизну - первое использование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ассиметричной функцией потерь при использовании в университете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прогнозирования необходимого количества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структура получившейся системы адаптируема для других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Выполненные цели и задачи учитывают поставленные профессиональные компетенций ПК-1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ПК-6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ПК-8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можно считать поставленные задачи с целями успешно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выполненными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ascii="Times New Roman" w:hAnsi="Times New Roman"/>
          <w:sz w:val="18"/>
          <w:szCs w:val="18"/>
        </w:rPr>
        <w:br w:type="page" w:clear="all"/>
      </w:r>
    </w:p>
    <w:p w14:paraId="4DD2DF41">
      <w:pPr>
        <w:pStyle w:val="2"/>
        <w:bidi w:val="0"/>
        <w:outlineLvl w:val="1"/>
        <w:rPr>
          <w:rFonts w:ascii="Times New Roman" w:hAnsi="Times New Roman" w:eastAsia="Calibri"/>
          <w:b/>
          <w:caps/>
          <w:sz w:val="28"/>
          <w:szCs w:val="20"/>
        </w:rPr>
      </w:pPr>
      <w:bookmarkStart w:id="66" w:name="_Toc2157"/>
      <w:bookmarkStart w:id="67" w:name="_Toc171423746"/>
      <w:bookmarkStart w:id="68" w:name="_Toc41935271"/>
      <w:bookmarkStart w:id="69" w:name="_Toc73211082"/>
      <w:r>
        <w:rPr>
          <w:rFonts w:ascii="Times New Roman Полужирный" w:hAnsi="Times New Roman Полужирный" w:eastAsiaTheme="minorEastAsia" w:cstheme="minorBidi"/>
          <w:b/>
          <w:bCs/>
          <w:caps/>
          <w:sz w:val="28"/>
          <w:szCs w:val="28"/>
          <w:lang w:val="en-US" w:eastAsia="zh-CN" w:bidi="ar-SA"/>
        </w:rPr>
        <w:t>Список используемых источников и литературы</w:t>
      </w:r>
      <w:bookmarkEnd w:id="66"/>
      <w:bookmarkEnd w:id="67"/>
      <w:bookmarkEnd w:id="68"/>
      <w:bookmarkEnd w:id="69"/>
      <w:r>
        <w:rPr>
          <w:rFonts w:ascii="Times New Roman" w:hAnsi="Times New Roman" w:eastAsia="Calibri"/>
          <w:b/>
          <w:caps/>
          <w:sz w:val="28"/>
          <w:szCs w:val="20"/>
        </w:rPr>
        <w:t xml:space="preserve">  </w:t>
      </w:r>
    </w:p>
    <w:p w14:paraId="3806591F"/>
    <w:p w14:paraId="2B480753">
      <w:pPr>
        <w:rPr>
          <w:rFonts w:hint="default"/>
        </w:rPr>
      </w:pPr>
    </w:p>
    <w:p w14:paraId="5F5DEF77">
      <w:pPr>
        <w:numPr>
          <w:ilvl w:val="0"/>
          <w:numId w:val="5"/>
        </w:num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Айвазян С. А., Мхитарян В. С. Прикладная статистика и основы эконометрики: учебник. — 3-е изд. — М.: Юрайт, 2024. — 1088 с. — ISBN 978-5-534-17085-6.</w:t>
      </w:r>
    </w:p>
    <w:p w14:paraId="22254E4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Акаев А. А., Садовничий В. А. Математические модели прогнозирования социально-экономических процессов. — М.: Ленанд, 2023. — 312 с. — ISBN 978-5-9710-9876-4.</w:t>
      </w:r>
    </w:p>
    <w:p w14:paraId="0C535D42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Бакунович Е. А. Градиентный бустинг в задачах анализа данных: учебное пособие. — СПб.: Лань, 2025. — 256 с. — ISBN 978-5-507-49023-4.</w:t>
      </w:r>
    </w:p>
    <w:p w14:paraId="14B7B95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Бреиман Л. Случайные леса // Математические методы распознавания образов. — 2021. — Т. 20. — С. 5–32.</w:t>
      </w:r>
    </w:p>
    <w:p w14:paraId="0EE502EC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Васильев А. Н., Иванова Е. С. Прогнозирование временных рядов с помощью XGBoost и LightGBM. — М.: ДМК Пресс, 2024. — 288 с. — ISBN 978-5-97060-987-6.</w:t>
      </w:r>
    </w:p>
    <w:p w14:paraId="7CE4AB4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Ватутин Э. И. Машинное обучение на Python: учебное пособие. — М.: ИНФРА-М, 2025. — 416 с. — ISBN 978-5-16-018345-9.</w:t>
      </w:r>
    </w:p>
    <w:p w14:paraId="4B82EFF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Гашников М. В., Мясников В. В. Машинное обучение в управлении персоналом: монография. — Самара: Самарский университет, 2023. — 196 с. — ISBN 978-5-6047892-3-8.</w:t>
      </w:r>
    </w:p>
    <w:p w14:paraId="32E212D5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Гроппели А., Никбахт Э. Финансы: учебник. — 4-е изд. — М.: Юрайт, 2024. — 672 с. — ISBN 978-5-9916-9876-2.</w:t>
      </w:r>
    </w:p>
    <w:p w14:paraId="28E6155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Гудфеллоу Я., Бенджио И., Курвилль А. Глубокое обучение. — М.: ДМК Пресс, 2022. — 852 с. — ISBN 978-5-97060-987-6.</w:t>
      </w:r>
    </w:p>
    <w:p w14:paraId="3A1D1A0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Дорофеюк А. А., Покровская И. В. Искусственный интеллект в управлении человеческими ресурсами. — М.: КноРус, 2024. — 240 с. — ISBN 978-5-406-11234-5.</w:t>
      </w:r>
    </w:p>
    <w:p w14:paraId="6769774F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Ежов А. А., Шумский С. А. Нейрокомпьютинг и его применения в экономике и бизнесе. — М.: Физматлит, 2023. — 304 с. — ISBN 978-5-9221-1987-6.</w:t>
      </w:r>
    </w:p>
    <w:p w14:paraId="5EC9086A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Журавлёв Ю. И., Рудаков К. В. Математические методы обработки данных и принятия решений. — М.: Физматкнига, 2024. — 368 с. — ISBN 978-5-89155-345-6.</w:t>
      </w:r>
    </w:p>
    <w:p w14:paraId="6FA14B4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Згуровский М. З., Зеленский А. А. Основы машинного обучения: учебник. — М.: Лаборатория знаний, 2025. — 512 с. — ISBN 978-5-93208-567-8.</w:t>
      </w:r>
    </w:p>
    <w:p w14:paraId="768C7DD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Иванов В. В., Малинецкий Г. Г. Цифровая экономика: модели и методы прогнозирования. — М.: Ленанд, 2023. — 280 с. — ISBN 978-5-9710-9987-7.</w:t>
      </w:r>
    </w:p>
    <w:p w14:paraId="67EE88D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Козлов В. В. Анализ временных рядов в экономике и финансах: учебное пособие. — М.: КноРус, 2024. — 224 с. — ISBN 978-5-406-10987-8.</w:t>
      </w:r>
    </w:p>
    <w:p w14:paraId="1FE6EC1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Колмогоров А. Н., Фомин С. В. Элементы теории функций и функционального анализа. — 9-е изд. — М.: Физматлит, 2023. — 576 с. — ISBN 978-5-9221-1987-6.</w:t>
      </w:r>
    </w:p>
    <w:p w14:paraId="4642A9C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Кормен Т., Лейзерсон Ч., Ривест Р., Стайн К. Алгоритмы: построение и анализ. — 4-е изд. — М.: Вильямс, 2024. — 1328 с. — ISBN 978-5-907714-12-0.</w:t>
      </w:r>
    </w:p>
    <w:p w14:paraId="35458DC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Котельников И. А. Прогнозирование спроса на персонал с использованием машинного обучения. — М.: Инфра-М, 2025. — 192 с. — ISBN 978-5-16-018765-8.</w:t>
      </w:r>
    </w:p>
    <w:p w14:paraId="1911454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Кувшинов М. С. Искусственный интеллект в HR: практическое руководство. — М.: Альпина Паблишер, 2024. — 368 с. — ISBN 978-5-9614-8123-7.</w:t>
      </w:r>
    </w:p>
    <w:p w14:paraId="24698F9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Лебедев А. В. Python для анализа данных и машинного обучения. — СПб.: БХВ-Петербург, 2025. — 640 с. — ISBN 978-5-9775-6876-4.</w:t>
      </w:r>
    </w:p>
    <w:p w14:paraId="6C13022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Лукашин Ю. П. Адаптивные методы краткосрочного прогнозирования временных рядов. — М.: Финансы и статистика, 2022. — 416 с. — ISBN 978-5-279-03648-3.</w:t>
      </w:r>
    </w:p>
    <w:p w14:paraId="632733E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Магнус Я. Р., Катышев П. К., Пересецкий А. А. Эконометрика. Начальный курс: учебник. — 11-е изд. — М.: Дело, 2024. — 512 с. — ISBN 978-5-7749-1678-4.</w:t>
      </w:r>
    </w:p>
    <w:p w14:paraId="6F41951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Мастяева И. Н. Управление персоналом в цифровую эпоху. — М.: Дашков и К, 2025. — 288 с. — ISBN 978-5-394-05432-6.</w:t>
      </w:r>
    </w:p>
    <w:p w14:paraId="3DB2B802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Мхитарян В. С., Агапов А. С. Машинное обучение в экономике и финансах. — М.: Юрайт, 2025. — 320 с. — ISBN 978-5-534-17890-6.</w:t>
      </w:r>
    </w:p>
    <w:p w14:paraId="3F52300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Нейман Дж. фон, Моргенштерн О. Теория игр и экономическое поведение. — М.: Ленанд, 2023. — 712 с. — ISBN 978-5-9710-9876-4.</w:t>
      </w:r>
    </w:p>
    <w:p w14:paraId="4303C07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Раскин Л. Г., Серова И. О. Прогнозирование и принятие решений в условиях неопределённости. — М.: Финансы и статистика, 2024. — 384 с. — ISBN 978-5-279-03789-6.</w:t>
      </w:r>
    </w:p>
    <w:p w14:paraId="761446EB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Рашитов Р. Р. Моделирование и прогнозирование кадровых процессов в организациях. — Казань: КФУ, 2023. — 164 с. — ISBN 978-5-00130-876-8.</w:t>
      </w:r>
    </w:p>
    <w:p w14:paraId="1D3A2407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Секей Г. Парадоксы в теории вероятностей и математической статистике. — М.: Ленанд, 2024. — 320 с. — ISBN 978-5-9710-9876-4.</w:t>
      </w:r>
    </w:p>
    <w:p w14:paraId="5B5A10D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Терелянский П. В. Математические модели в управлении персоналом. — М.: ИНФРА-М, 2025. — 272 с. — ISBN 978-5-16-018987-8.</w:t>
      </w:r>
    </w:p>
    <w:p w14:paraId="401AE107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Фридман Дж., Хасти Т., Тибширани Р. Элементы статистического обучения. — М.: ДМК Пресс, 2024. — 848 с. — ISBN 978-5-97060-876-2.</w:t>
      </w:r>
    </w:p>
    <w:p w14:paraId="7EFE8DCB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Хасти Т., Тибширани Р., Фридман Дж. Статистическое обучение: Data Mining, Inference, and Prediction. — 3-е изд. — М.: ДМК Пресс, 2025. — 832 с. — ISBN 978-5-97060-999-8.</w:t>
      </w:r>
    </w:p>
    <w:p w14:paraId="74981A1A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Чжоу Ч., Сунь Ц., Лю Ц., С., Лю Ф. Краткий курс машинного обучения. — М.: ДМК Пресс, 2024. — 384 с. — ISBN 978-5-97060-888-8.</w:t>
      </w:r>
    </w:p>
    <w:p w14:paraId="7292C3A9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Alsheref F. K., Tantawi M. M., Sharkas M. A. Deep Learning Approaches for Employee Turnover Prediction // IEEE Access. — 2021. — Vol. 9. — P. 103891–103902. — DOI: 10.1109/ACCESS.2021.3100610.</w:t>
      </w:r>
    </w:p>
    <w:p w14:paraId="53A92C2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Bahdanau D., Cho K., Bengio Y. Neural Machine Translation by Jointly Learning to Align and Translate // arXiv preprint arXiv:1409.0473. — 2022 (обновлённая версия).</w:t>
      </w:r>
    </w:p>
    <w:p w14:paraId="1CC2465F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Chen T., Guestrin C. XGBoost: A Scalable Tree Boosting System // Proceedings of the 22nd ACM SIGKDD. — 2022. — P. 785–794. — DOI: 10.1145/2939672.2939785.</w:t>
      </w:r>
    </w:p>
    <w:p w14:paraId="5B5711B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Davenport T. H., Harris J. Competing on Analytics: Updated, with a New Introduction. — Harvard Business Review Press, 2023. — 320 p. — ISBN 978-1-63369-672-3.</w:t>
      </w:r>
    </w:p>
    <w:p w14:paraId="749386D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Garg S., Sinha S., Kar A. K. A Review of Machine Learning Applications in Human Resource Management // International Journal of Productivity and Performance Management. — 2021. — Vol. 70, № 7. — P. 1390–1415. — DOI: 10.1108/IJPPM-08-2020-0427.</w:t>
      </w:r>
    </w:p>
    <w:p w14:paraId="7E75952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Goodfellow I., Bengio Y., Courville A. Deep Learning. — MIT Press, 2024. — 800 p. — ISBN 978-0262035613.</w:t>
      </w:r>
    </w:p>
    <w:p w14:paraId="0FED804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Hyndman R. J., Athanasopoulos G. Forecasting: Principles and Practice. — 3rd ed. — OTexts, 2024. — 440 p. — ISBN 978-0-9875071</w:t>
      </w:r>
    </w:p>
    <w:p w14:paraId="6DA41D0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Ссылка на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Git Hub: </w:t>
      </w:r>
      <w:r>
        <w:rPr>
          <w:rFonts w:hint="default" w:ascii="Times New Roman" w:hAnsi="Times New Roman"/>
          <w:sz w:val="28"/>
          <w:szCs w:val="28"/>
          <w:lang w:val="en-US"/>
        </w:rPr>
        <w:t>https://github.com/Slavik993/Explytacionnaya_Practica_Machine_Learning_5semestr.git</w:t>
      </w:r>
    </w:p>
    <w:p w14:paraId="278842A8">
      <w:pPr>
        <w:rPr>
          <w:rFonts w:hint="default"/>
        </w:rPr>
      </w:pPr>
    </w:p>
    <w:p w14:paraId="4B2DAF3A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Полужирный">
    <w:altName w:val="Times New Roman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imSun-ExtB">
    <w:panose1 w:val="02010609060101010101"/>
    <w:charset w:val="86"/>
    <w:family w:val="modern"/>
    <w:pitch w:val="default"/>
    <w:sig w:usb0="00000001" w:usb1="02000000" w:usb2="00000000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-"/>
      <w:lvlJc w:val="left"/>
      <w:pPr>
        <w:ind w:left="720" w:hanging="360"/>
      </w:pPr>
      <w:rPr>
        <w:rFonts w:hint="eastAsia" w:ascii="SimSun-ExtB" w:hAnsi="SimSun-ExtB" w:eastAsia="SimSun-ExtB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D77A328A"/>
    <w:multiLevelType w:val="multilevel"/>
    <w:tmpl w:val="D77A328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DC23611C"/>
    <w:multiLevelType w:val="singleLevel"/>
    <w:tmpl w:val="DC23611C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vanish w:val="0"/>
        <w:color w:val="000000"/>
        <w:spacing w:val="0"/>
        <w:position w:val="0"/>
        <w:sz w:val="0"/>
        <w:szCs w:val="0"/>
        <w:u w:val="none"/>
        <w:shd w:val="clear" w:color="000000" w:fill="000000"/>
        <w:vertAlign w:val="baseline"/>
        <w14:ligatures w14:val="none"/>
      </w:r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2B4E1B9F"/>
    <w:multiLevelType w:val="multilevel"/>
    <w:tmpl w:val="2B4E1B9F"/>
    <w:lvl w:ilvl="0" w:tentative="0">
      <w:start w:val="1"/>
      <w:numFmt w:val="decimal"/>
      <w:pStyle w:val="10"/>
      <w:lvlText w:val="%1."/>
      <w:lvlJc w:val="left"/>
      <w:pPr>
        <w:ind w:left="360" w:hanging="360"/>
      </w:pPr>
      <w:rPr>
        <w:i w:val="0"/>
      </w:r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2DF9"/>
    <w:rsid w:val="002A355E"/>
    <w:rsid w:val="003B0253"/>
    <w:rsid w:val="005E7DE7"/>
    <w:rsid w:val="006276AE"/>
    <w:rsid w:val="007731BA"/>
    <w:rsid w:val="00933997"/>
    <w:rsid w:val="00AC07A4"/>
    <w:rsid w:val="00BF7DE5"/>
    <w:rsid w:val="00F737B1"/>
    <w:rsid w:val="013A0CBD"/>
    <w:rsid w:val="013F48F6"/>
    <w:rsid w:val="01417C64"/>
    <w:rsid w:val="01775219"/>
    <w:rsid w:val="01E37098"/>
    <w:rsid w:val="01E866F0"/>
    <w:rsid w:val="01EF13EE"/>
    <w:rsid w:val="02007CB3"/>
    <w:rsid w:val="022F338E"/>
    <w:rsid w:val="026F7379"/>
    <w:rsid w:val="02730925"/>
    <w:rsid w:val="02875B78"/>
    <w:rsid w:val="028926DF"/>
    <w:rsid w:val="029B1831"/>
    <w:rsid w:val="02AE56F2"/>
    <w:rsid w:val="02CC116F"/>
    <w:rsid w:val="02CF14AA"/>
    <w:rsid w:val="02EF7833"/>
    <w:rsid w:val="02F46278"/>
    <w:rsid w:val="031650B0"/>
    <w:rsid w:val="035508BA"/>
    <w:rsid w:val="0366599D"/>
    <w:rsid w:val="03713232"/>
    <w:rsid w:val="03BE76CA"/>
    <w:rsid w:val="03DC2C52"/>
    <w:rsid w:val="03EF1DB7"/>
    <w:rsid w:val="042538CC"/>
    <w:rsid w:val="0426646C"/>
    <w:rsid w:val="0446275E"/>
    <w:rsid w:val="045C5F9D"/>
    <w:rsid w:val="04724BCD"/>
    <w:rsid w:val="04AC4FFA"/>
    <w:rsid w:val="04B638C9"/>
    <w:rsid w:val="04DC287B"/>
    <w:rsid w:val="04F94F5F"/>
    <w:rsid w:val="050C783E"/>
    <w:rsid w:val="055943D7"/>
    <w:rsid w:val="05690402"/>
    <w:rsid w:val="05710B18"/>
    <w:rsid w:val="057161FA"/>
    <w:rsid w:val="05862CF6"/>
    <w:rsid w:val="05AD0B6B"/>
    <w:rsid w:val="05E80A3D"/>
    <w:rsid w:val="0617220C"/>
    <w:rsid w:val="06602E5E"/>
    <w:rsid w:val="0669602D"/>
    <w:rsid w:val="06A93A70"/>
    <w:rsid w:val="06F56377"/>
    <w:rsid w:val="072262F7"/>
    <w:rsid w:val="07465CE6"/>
    <w:rsid w:val="076C2B3D"/>
    <w:rsid w:val="078B0F5C"/>
    <w:rsid w:val="07CF70FB"/>
    <w:rsid w:val="07E6794D"/>
    <w:rsid w:val="07F46FEF"/>
    <w:rsid w:val="07F71A6E"/>
    <w:rsid w:val="081B19DC"/>
    <w:rsid w:val="08306DEB"/>
    <w:rsid w:val="08367069"/>
    <w:rsid w:val="08BC52C9"/>
    <w:rsid w:val="08C47915"/>
    <w:rsid w:val="08F2025D"/>
    <w:rsid w:val="0985741A"/>
    <w:rsid w:val="098B5BDC"/>
    <w:rsid w:val="099111BE"/>
    <w:rsid w:val="09A20F25"/>
    <w:rsid w:val="09C14DB9"/>
    <w:rsid w:val="09E21E49"/>
    <w:rsid w:val="09F50F48"/>
    <w:rsid w:val="0A025C68"/>
    <w:rsid w:val="0A43792E"/>
    <w:rsid w:val="0A4A6522"/>
    <w:rsid w:val="0A883567"/>
    <w:rsid w:val="0A891756"/>
    <w:rsid w:val="0AA73D54"/>
    <w:rsid w:val="0ADF27E4"/>
    <w:rsid w:val="0B622204"/>
    <w:rsid w:val="0B6636C2"/>
    <w:rsid w:val="0B6F078F"/>
    <w:rsid w:val="0B76395D"/>
    <w:rsid w:val="0B930EA1"/>
    <w:rsid w:val="0BC00DEE"/>
    <w:rsid w:val="0BE93E1F"/>
    <w:rsid w:val="0BFE313E"/>
    <w:rsid w:val="0C12168A"/>
    <w:rsid w:val="0C151650"/>
    <w:rsid w:val="0C7708D8"/>
    <w:rsid w:val="0C90792D"/>
    <w:rsid w:val="0CBF0B1F"/>
    <w:rsid w:val="0CC81697"/>
    <w:rsid w:val="0CDF5AB9"/>
    <w:rsid w:val="0D2C0E87"/>
    <w:rsid w:val="0D3C5D11"/>
    <w:rsid w:val="0D4D44A5"/>
    <w:rsid w:val="0D7766FF"/>
    <w:rsid w:val="0D9C32E2"/>
    <w:rsid w:val="0DC823EA"/>
    <w:rsid w:val="0DCB2402"/>
    <w:rsid w:val="0DD55AD2"/>
    <w:rsid w:val="0DDC3BD8"/>
    <w:rsid w:val="0E4B33CD"/>
    <w:rsid w:val="0E956D7D"/>
    <w:rsid w:val="0ECE66B2"/>
    <w:rsid w:val="0EF51157"/>
    <w:rsid w:val="0F00541F"/>
    <w:rsid w:val="0F415B8D"/>
    <w:rsid w:val="0F4E5569"/>
    <w:rsid w:val="0F5752EC"/>
    <w:rsid w:val="0F6C700F"/>
    <w:rsid w:val="0FC44875"/>
    <w:rsid w:val="0FDC4E2D"/>
    <w:rsid w:val="0FEE1C08"/>
    <w:rsid w:val="10583A7A"/>
    <w:rsid w:val="1058777E"/>
    <w:rsid w:val="107C2907"/>
    <w:rsid w:val="10A95523"/>
    <w:rsid w:val="10E7084B"/>
    <w:rsid w:val="10F12112"/>
    <w:rsid w:val="1112388E"/>
    <w:rsid w:val="1114617F"/>
    <w:rsid w:val="113B0827"/>
    <w:rsid w:val="114C4D3F"/>
    <w:rsid w:val="11863010"/>
    <w:rsid w:val="119051EF"/>
    <w:rsid w:val="119442FC"/>
    <w:rsid w:val="11BB0A26"/>
    <w:rsid w:val="12047456"/>
    <w:rsid w:val="1242393C"/>
    <w:rsid w:val="126C687D"/>
    <w:rsid w:val="127218E8"/>
    <w:rsid w:val="12B06352"/>
    <w:rsid w:val="12C17730"/>
    <w:rsid w:val="131C6333"/>
    <w:rsid w:val="135D1BEF"/>
    <w:rsid w:val="138F279B"/>
    <w:rsid w:val="139D2683"/>
    <w:rsid w:val="13A60B79"/>
    <w:rsid w:val="13D31C1F"/>
    <w:rsid w:val="13D86F0D"/>
    <w:rsid w:val="1402229A"/>
    <w:rsid w:val="142432AD"/>
    <w:rsid w:val="14300EAC"/>
    <w:rsid w:val="143C3459"/>
    <w:rsid w:val="14BE7B39"/>
    <w:rsid w:val="14C0309A"/>
    <w:rsid w:val="14C05076"/>
    <w:rsid w:val="15134326"/>
    <w:rsid w:val="15314596"/>
    <w:rsid w:val="15507CFD"/>
    <w:rsid w:val="157E1963"/>
    <w:rsid w:val="15DA10F2"/>
    <w:rsid w:val="15DF08B8"/>
    <w:rsid w:val="16257E16"/>
    <w:rsid w:val="162C7035"/>
    <w:rsid w:val="16997DC9"/>
    <w:rsid w:val="16AE479B"/>
    <w:rsid w:val="16CC53F5"/>
    <w:rsid w:val="16D9191F"/>
    <w:rsid w:val="16DB4F08"/>
    <w:rsid w:val="173536D4"/>
    <w:rsid w:val="177A138D"/>
    <w:rsid w:val="17A76AD1"/>
    <w:rsid w:val="17D578FC"/>
    <w:rsid w:val="17DD5BBA"/>
    <w:rsid w:val="17EF68CD"/>
    <w:rsid w:val="17FE4CD2"/>
    <w:rsid w:val="18881D37"/>
    <w:rsid w:val="1888436F"/>
    <w:rsid w:val="188E7CDB"/>
    <w:rsid w:val="189552C2"/>
    <w:rsid w:val="18976AF0"/>
    <w:rsid w:val="189B6BED"/>
    <w:rsid w:val="18AD4853"/>
    <w:rsid w:val="18B9619D"/>
    <w:rsid w:val="18FD081D"/>
    <w:rsid w:val="18FE2868"/>
    <w:rsid w:val="191A1878"/>
    <w:rsid w:val="191E6BCD"/>
    <w:rsid w:val="195B19B9"/>
    <w:rsid w:val="19B51395"/>
    <w:rsid w:val="19DA6FC4"/>
    <w:rsid w:val="19F02DAB"/>
    <w:rsid w:val="19F177F1"/>
    <w:rsid w:val="19FF275E"/>
    <w:rsid w:val="1A661BDB"/>
    <w:rsid w:val="1A6A4BCA"/>
    <w:rsid w:val="1AAB1406"/>
    <w:rsid w:val="1B100279"/>
    <w:rsid w:val="1B1500B3"/>
    <w:rsid w:val="1B1A7CD4"/>
    <w:rsid w:val="1B731482"/>
    <w:rsid w:val="1B7C43B8"/>
    <w:rsid w:val="1B901651"/>
    <w:rsid w:val="1B9F104C"/>
    <w:rsid w:val="1BA3321E"/>
    <w:rsid w:val="1BCC78C6"/>
    <w:rsid w:val="1BDF3BF5"/>
    <w:rsid w:val="1BF53751"/>
    <w:rsid w:val="1C0221CE"/>
    <w:rsid w:val="1C08267A"/>
    <w:rsid w:val="1C177AE5"/>
    <w:rsid w:val="1C2870E7"/>
    <w:rsid w:val="1C4D6DEF"/>
    <w:rsid w:val="1C597334"/>
    <w:rsid w:val="1CF33244"/>
    <w:rsid w:val="1CFC00EB"/>
    <w:rsid w:val="1D144C6E"/>
    <w:rsid w:val="1D323B04"/>
    <w:rsid w:val="1D3C3403"/>
    <w:rsid w:val="1D5C71BB"/>
    <w:rsid w:val="1D7652EC"/>
    <w:rsid w:val="1D7D279D"/>
    <w:rsid w:val="1D8058CD"/>
    <w:rsid w:val="1D8B1923"/>
    <w:rsid w:val="1D9E3C5A"/>
    <w:rsid w:val="1DC97276"/>
    <w:rsid w:val="1E070116"/>
    <w:rsid w:val="1E0C1A8B"/>
    <w:rsid w:val="1E177140"/>
    <w:rsid w:val="1E1C37CD"/>
    <w:rsid w:val="1E310498"/>
    <w:rsid w:val="1E495B3F"/>
    <w:rsid w:val="1E635C56"/>
    <w:rsid w:val="1E656462"/>
    <w:rsid w:val="1E672BF1"/>
    <w:rsid w:val="1E885BE3"/>
    <w:rsid w:val="1EB14ED1"/>
    <w:rsid w:val="1ECC643B"/>
    <w:rsid w:val="1EE869A7"/>
    <w:rsid w:val="1F1A2460"/>
    <w:rsid w:val="1F6B6906"/>
    <w:rsid w:val="1F70522D"/>
    <w:rsid w:val="1FA77BE8"/>
    <w:rsid w:val="1FC34FCA"/>
    <w:rsid w:val="1FDC2234"/>
    <w:rsid w:val="200A1C59"/>
    <w:rsid w:val="201259D3"/>
    <w:rsid w:val="20207CC4"/>
    <w:rsid w:val="20335368"/>
    <w:rsid w:val="203E4CF5"/>
    <w:rsid w:val="203F1FE1"/>
    <w:rsid w:val="204233A4"/>
    <w:rsid w:val="2062144A"/>
    <w:rsid w:val="206A606B"/>
    <w:rsid w:val="207033FB"/>
    <w:rsid w:val="20713407"/>
    <w:rsid w:val="208C0092"/>
    <w:rsid w:val="20C364F3"/>
    <w:rsid w:val="20D720FE"/>
    <w:rsid w:val="20E45483"/>
    <w:rsid w:val="20F94EA8"/>
    <w:rsid w:val="21017BB1"/>
    <w:rsid w:val="21044483"/>
    <w:rsid w:val="2155679B"/>
    <w:rsid w:val="215B49ED"/>
    <w:rsid w:val="21B33F47"/>
    <w:rsid w:val="21B45B5C"/>
    <w:rsid w:val="21BC5AC6"/>
    <w:rsid w:val="21BF609E"/>
    <w:rsid w:val="21E80C21"/>
    <w:rsid w:val="221B36F9"/>
    <w:rsid w:val="22264B96"/>
    <w:rsid w:val="223831B7"/>
    <w:rsid w:val="223C59A9"/>
    <w:rsid w:val="22904E84"/>
    <w:rsid w:val="22C6598A"/>
    <w:rsid w:val="22D12547"/>
    <w:rsid w:val="22E307CC"/>
    <w:rsid w:val="22E604C6"/>
    <w:rsid w:val="22E77207"/>
    <w:rsid w:val="230011AB"/>
    <w:rsid w:val="23080E3F"/>
    <w:rsid w:val="232113BF"/>
    <w:rsid w:val="234A7D37"/>
    <w:rsid w:val="235D255C"/>
    <w:rsid w:val="23B05AC1"/>
    <w:rsid w:val="23B52D23"/>
    <w:rsid w:val="23D3314B"/>
    <w:rsid w:val="23E866E5"/>
    <w:rsid w:val="241A4E26"/>
    <w:rsid w:val="242B219E"/>
    <w:rsid w:val="243D75F3"/>
    <w:rsid w:val="245272C7"/>
    <w:rsid w:val="246A3ACB"/>
    <w:rsid w:val="247E276B"/>
    <w:rsid w:val="249E0AA2"/>
    <w:rsid w:val="24A6668C"/>
    <w:rsid w:val="24A75360"/>
    <w:rsid w:val="24B027D4"/>
    <w:rsid w:val="24BB2CAD"/>
    <w:rsid w:val="24EE3D24"/>
    <w:rsid w:val="25063411"/>
    <w:rsid w:val="25116886"/>
    <w:rsid w:val="2511775C"/>
    <w:rsid w:val="255933B9"/>
    <w:rsid w:val="255C7F9B"/>
    <w:rsid w:val="255D690A"/>
    <w:rsid w:val="256C658B"/>
    <w:rsid w:val="25743A87"/>
    <w:rsid w:val="258F07B6"/>
    <w:rsid w:val="25987046"/>
    <w:rsid w:val="25A07EAF"/>
    <w:rsid w:val="25DB3C35"/>
    <w:rsid w:val="25FE1963"/>
    <w:rsid w:val="2624681B"/>
    <w:rsid w:val="263404C4"/>
    <w:rsid w:val="26347D90"/>
    <w:rsid w:val="26440B42"/>
    <w:rsid w:val="26455466"/>
    <w:rsid w:val="266B4476"/>
    <w:rsid w:val="268044BB"/>
    <w:rsid w:val="26910688"/>
    <w:rsid w:val="26A6577E"/>
    <w:rsid w:val="26B23E49"/>
    <w:rsid w:val="26EA1C7A"/>
    <w:rsid w:val="26EF354B"/>
    <w:rsid w:val="27001ADD"/>
    <w:rsid w:val="272C23FA"/>
    <w:rsid w:val="272C7198"/>
    <w:rsid w:val="276247B6"/>
    <w:rsid w:val="278D69BB"/>
    <w:rsid w:val="27940DA0"/>
    <w:rsid w:val="27994E67"/>
    <w:rsid w:val="27B84691"/>
    <w:rsid w:val="27BA566D"/>
    <w:rsid w:val="27C70F4E"/>
    <w:rsid w:val="27CB1C9E"/>
    <w:rsid w:val="27DA216D"/>
    <w:rsid w:val="27FD03A1"/>
    <w:rsid w:val="285932E7"/>
    <w:rsid w:val="28E06745"/>
    <w:rsid w:val="28E765AF"/>
    <w:rsid w:val="28FB5AC8"/>
    <w:rsid w:val="28FF7467"/>
    <w:rsid w:val="290F204E"/>
    <w:rsid w:val="29171565"/>
    <w:rsid w:val="296F013F"/>
    <w:rsid w:val="29971746"/>
    <w:rsid w:val="29A3424B"/>
    <w:rsid w:val="29BE1A68"/>
    <w:rsid w:val="29C072C7"/>
    <w:rsid w:val="29C8661E"/>
    <w:rsid w:val="29E219B7"/>
    <w:rsid w:val="29F60818"/>
    <w:rsid w:val="29FF6A12"/>
    <w:rsid w:val="2A2E6D8F"/>
    <w:rsid w:val="2A382112"/>
    <w:rsid w:val="2A4E11F7"/>
    <w:rsid w:val="2A67434F"/>
    <w:rsid w:val="2A955869"/>
    <w:rsid w:val="2AA116A1"/>
    <w:rsid w:val="2AAF6204"/>
    <w:rsid w:val="2AB9094D"/>
    <w:rsid w:val="2AD873FD"/>
    <w:rsid w:val="2AE17EE7"/>
    <w:rsid w:val="2AF35C03"/>
    <w:rsid w:val="2B226752"/>
    <w:rsid w:val="2B2A6A31"/>
    <w:rsid w:val="2B4D4158"/>
    <w:rsid w:val="2B6F6851"/>
    <w:rsid w:val="2B88503C"/>
    <w:rsid w:val="2BB91F9A"/>
    <w:rsid w:val="2BBF0D03"/>
    <w:rsid w:val="2BC43604"/>
    <w:rsid w:val="2BCD0952"/>
    <w:rsid w:val="2BE9306A"/>
    <w:rsid w:val="2C1E07A6"/>
    <w:rsid w:val="2CD61610"/>
    <w:rsid w:val="2CE231CD"/>
    <w:rsid w:val="2D047A30"/>
    <w:rsid w:val="2D1F0559"/>
    <w:rsid w:val="2D2A1950"/>
    <w:rsid w:val="2D6B03C7"/>
    <w:rsid w:val="2D817536"/>
    <w:rsid w:val="2D835CC8"/>
    <w:rsid w:val="2D835EDD"/>
    <w:rsid w:val="2D8800B2"/>
    <w:rsid w:val="2D9B4C73"/>
    <w:rsid w:val="2DD033D6"/>
    <w:rsid w:val="2DDD51FA"/>
    <w:rsid w:val="2DEF7CA9"/>
    <w:rsid w:val="2DF01A0C"/>
    <w:rsid w:val="2E1C30BA"/>
    <w:rsid w:val="2E262354"/>
    <w:rsid w:val="2EA709F6"/>
    <w:rsid w:val="2EB37960"/>
    <w:rsid w:val="2EB775B3"/>
    <w:rsid w:val="2EBD258D"/>
    <w:rsid w:val="2EC2295B"/>
    <w:rsid w:val="2F3F4928"/>
    <w:rsid w:val="2F452A6A"/>
    <w:rsid w:val="2F4F4680"/>
    <w:rsid w:val="2F523ABD"/>
    <w:rsid w:val="2F611FCA"/>
    <w:rsid w:val="2F66459C"/>
    <w:rsid w:val="2F72726C"/>
    <w:rsid w:val="2FBB2678"/>
    <w:rsid w:val="2FCA6D7F"/>
    <w:rsid w:val="2FDC0137"/>
    <w:rsid w:val="2FE80A81"/>
    <w:rsid w:val="3028070E"/>
    <w:rsid w:val="304B702F"/>
    <w:rsid w:val="305F5CBD"/>
    <w:rsid w:val="306453B6"/>
    <w:rsid w:val="3066058D"/>
    <w:rsid w:val="30753A60"/>
    <w:rsid w:val="309B7884"/>
    <w:rsid w:val="30F82350"/>
    <w:rsid w:val="30FA3A5F"/>
    <w:rsid w:val="310857FE"/>
    <w:rsid w:val="31290532"/>
    <w:rsid w:val="312C1182"/>
    <w:rsid w:val="313C3C3D"/>
    <w:rsid w:val="31673B61"/>
    <w:rsid w:val="316C01F1"/>
    <w:rsid w:val="31742B75"/>
    <w:rsid w:val="318769F7"/>
    <w:rsid w:val="319A6273"/>
    <w:rsid w:val="31DA6D2F"/>
    <w:rsid w:val="31F11FD7"/>
    <w:rsid w:val="31FE7C56"/>
    <w:rsid w:val="323050A8"/>
    <w:rsid w:val="32605F39"/>
    <w:rsid w:val="32C273B3"/>
    <w:rsid w:val="32C77F74"/>
    <w:rsid w:val="32D51876"/>
    <w:rsid w:val="32E15179"/>
    <w:rsid w:val="32ED176D"/>
    <w:rsid w:val="32F24425"/>
    <w:rsid w:val="32F64FD4"/>
    <w:rsid w:val="330F3435"/>
    <w:rsid w:val="332A7E02"/>
    <w:rsid w:val="33395737"/>
    <w:rsid w:val="334C711C"/>
    <w:rsid w:val="33DE3B45"/>
    <w:rsid w:val="33EE16BD"/>
    <w:rsid w:val="34012BCE"/>
    <w:rsid w:val="341C562B"/>
    <w:rsid w:val="34427750"/>
    <w:rsid w:val="347B7D77"/>
    <w:rsid w:val="348D6FB6"/>
    <w:rsid w:val="34B13C28"/>
    <w:rsid w:val="34C77608"/>
    <w:rsid w:val="34E02B31"/>
    <w:rsid w:val="34F63E7E"/>
    <w:rsid w:val="352136FB"/>
    <w:rsid w:val="353C70AD"/>
    <w:rsid w:val="35423C8E"/>
    <w:rsid w:val="3548237A"/>
    <w:rsid w:val="35682720"/>
    <w:rsid w:val="356D4F55"/>
    <w:rsid w:val="357F3BAB"/>
    <w:rsid w:val="35CD1445"/>
    <w:rsid w:val="35DA0D9B"/>
    <w:rsid w:val="363302A0"/>
    <w:rsid w:val="365903E1"/>
    <w:rsid w:val="36630549"/>
    <w:rsid w:val="36B57593"/>
    <w:rsid w:val="36F206C5"/>
    <w:rsid w:val="37160652"/>
    <w:rsid w:val="374A6C10"/>
    <w:rsid w:val="376828FD"/>
    <w:rsid w:val="378D25B5"/>
    <w:rsid w:val="379D7414"/>
    <w:rsid w:val="37FE2ED9"/>
    <w:rsid w:val="38091759"/>
    <w:rsid w:val="38117DB1"/>
    <w:rsid w:val="3828112E"/>
    <w:rsid w:val="383E7EED"/>
    <w:rsid w:val="390A7522"/>
    <w:rsid w:val="390C1143"/>
    <w:rsid w:val="390C22BF"/>
    <w:rsid w:val="39494CC1"/>
    <w:rsid w:val="3973632A"/>
    <w:rsid w:val="398E773F"/>
    <w:rsid w:val="3A0E55C0"/>
    <w:rsid w:val="3A625555"/>
    <w:rsid w:val="3A717D6E"/>
    <w:rsid w:val="3A727464"/>
    <w:rsid w:val="3A7B57D6"/>
    <w:rsid w:val="3AC726AF"/>
    <w:rsid w:val="3ACC0959"/>
    <w:rsid w:val="3AD45894"/>
    <w:rsid w:val="3B337CD7"/>
    <w:rsid w:val="3B624474"/>
    <w:rsid w:val="3B8A33D0"/>
    <w:rsid w:val="3BF67023"/>
    <w:rsid w:val="3C0B5911"/>
    <w:rsid w:val="3C777494"/>
    <w:rsid w:val="3C7F5A1D"/>
    <w:rsid w:val="3C983396"/>
    <w:rsid w:val="3CA71725"/>
    <w:rsid w:val="3CB52527"/>
    <w:rsid w:val="3CBE35EF"/>
    <w:rsid w:val="3D0A17A7"/>
    <w:rsid w:val="3D3103CE"/>
    <w:rsid w:val="3D5D3C39"/>
    <w:rsid w:val="3D9A0E8C"/>
    <w:rsid w:val="3D9A3611"/>
    <w:rsid w:val="3DA77123"/>
    <w:rsid w:val="3DAE129E"/>
    <w:rsid w:val="3DB356E1"/>
    <w:rsid w:val="3DCF3B14"/>
    <w:rsid w:val="3DF60935"/>
    <w:rsid w:val="3E2406E9"/>
    <w:rsid w:val="3E2A4F1B"/>
    <w:rsid w:val="3E3B7F73"/>
    <w:rsid w:val="3E4E3BAF"/>
    <w:rsid w:val="3E4E72A6"/>
    <w:rsid w:val="3E5A656F"/>
    <w:rsid w:val="3E826884"/>
    <w:rsid w:val="3E8A11F9"/>
    <w:rsid w:val="3EDC0451"/>
    <w:rsid w:val="3F163D1F"/>
    <w:rsid w:val="3F620FE1"/>
    <w:rsid w:val="3F687520"/>
    <w:rsid w:val="3F7202A0"/>
    <w:rsid w:val="3F8810CB"/>
    <w:rsid w:val="3FC83B58"/>
    <w:rsid w:val="3FE63663"/>
    <w:rsid w:val="3FF3077A"/>
    <w:rsid w:val="3FFB4739"/>
    <w:rsid w:val="3FFC1167"/>
    <w:rsid w:val="401D43BA"/>
    <w:rsid w:val="4024246B"/>
    <w:rsid w:val="40595BA0"/>
    <w:rsid w:val="406079C5"/>
    <w:rsid w:val="40D47477"/>
    <w:rsid w:val="40E00562"/>
    <w:rsid w:val="40E70C87"/>
    <w:rsid w:val="40F407F7"/>
    <w:rsid w:val="40F732A4"/>
    <w:rsid w:val="40F9630B"/>
    <w:rsid w:val="41087004"/>
    <w:rsid w:val="414304FC"/>
    <w:rsid w:val="41AD61AF"/>
    <w:rsid w:val="41B11ADD"/>
    <w:rsid w:val="41BC57E8"/>
    <w:rsid w:val="41BE50D3"/>
    <w:rsid w:val="41F27582"/>
    <w:rsid w:val="41FD0AC8"/>
    <w:rsid w:val="4205704C"/>
    <w:rsid w:val="422C0E20"/>
    <w:rsid w:val="42371199"/>
    <w:rsid w:val="42427B2C"/>
    <w:rsid w:val="424512BE"/>
    <w:rsid w:val="42CB1ACF"/>
    <w:rsid w:val="42D52512"/>
    <w:rsid w:val="42E30E32"/>
    <w:rsid w:val="42E85458"/>
    <w:rsid w:val="430414DA"/>
    <w:rsid w:val="431C3D77"/>
    <w:rsid w:val="43484BF9"/>
    <w:rsid w:val="43677203"/>
    <w:rsid w:val="43706CF3"/>
    <w:rsid w:val="43824EB5"/>
    <w:rsid w:val="439A4D79"/>
    <w:rsid w:val="43A04D63"/>
    <w:rsid w:val="43BB74AB"/>
    <w:rsid w:val="43BF34BE"/>
    <w:rsid w:val="43E1253E"/>
    <w:rsid w:val="44120A94"/>
    <w:rsid w:val="441B2C89"/>
    <w:rsid w:val="4448348A"/>
    <w:rsid w:val="444E76B3"/>
    <w:rsid w:val="446177F6"/>
    <w:rsid w:val="446961BB"/>
    <w:rsid w:val="446D70D4"/>
    <w:rsid w:val="448A4681"/>
    <w:rsid w:val="448B4301"/>
    <w:rsid w:val="44EC0A31"/>
    <w:rsid w:val="44F3512F"/>
    <w:rsid w:val="45046868"/>
    <w:rsid w:val="45510E4D"/>
    <w:rsid w:val="45533A70"/>
    <w:rsid w:val="4567122B"/>
    <w:rsid w:val="459C7046"/>
    <w:rsid w:val="45A706E8"/>
    <w:rsid w:val="45C444FC"/>
    <w:rsid w:val="45F73E72"/>
    <w:rsid w:val="466E0B17"/>
    <w:rsid w:val="469D27CB"/>
    <w:rsid w:val="469E6370"/>
    <w:rsid w:val="46A11BA1"/>
    <w:rsid w:val="46FC6031"/>
    <w:rsid w:val="470E2204"/>
    <w:rsid w:val="472E48D4"/>
    <w:rsid w:val="477A5A9E"/>
    <w:rsid w:val="479357EC"/>
    <w:rsid w:val="47A6578C"/>
    <w:rsid w:val="47C85450"/>
    <w:rsid w:val="47DF3A74"/>
    <w:rsid w:val="47F26D8C"/>
    <w:rsid w:val="480C42C3"/>
    <w:rsid w:val="482B7039"/>
    <w:rsid w:val="48391369"/>
    <w:rsid w:val="48C9234E"/>
    <w:rsid w:val="48D732BA"/>
    <w:rsid w:val="48D905B9"/>
    <w:rsid w:val="49026C22"/>
    <w:rsid w:val="490779DE"/>
    <w:rsid w:val="490B65E1"/>
    <w:rsid w:val="49307AC0"/>
    <w:rsid w:val="4959661D"/>
    <w:rsid w:val="495A04B4"/>
    <w:rsid w:val="49670139"/>
    <w:rsid w:val="499D2E36"/>
    <w:rsid w:val="49B7374A"/>
    <w:rsid w:val="49DD6C65"/>
    <w:rsid w:val="4A0764D3"/>
    <w:rsid w:val="4A5B288E"/>
    <w:rsid w:val="4A5B6AE5"/>
    <w:rsid w:val="4A7C62C7"/>
    <w:rsid w:val="4A876BD5"/>
    <w:rsid w:val="4A97538A"/>
    <w:rsid w:val="4AC63BD9"/>
    <w:rsid w:val="4AFC2895"/>
    <w:rsid w:val="4B0A3F31"/>
    <w:rsid w:val="4B1B446B"/>
    <w:rsid w:val="4B246149"/>
    <w:rsid w:val="4B351DC6"/>
    <w:rsid w:val="4B4E4840"/>
    <w:rsid w:val="4B5A49AF"/>
    <w:rsid w:val="4B790A51"/>
    <w:rsid w:val="4BD26D40"/>
    <w:rsid w:val="4BD304AC"/>
    <w:rsid w:val="4BD44628"/>
    <w:rsid w:val="4BE7296C"/>
    <w:rsid w:val="4BF17159"/>
    <w:rsid w:val="4BF9435B"/>
    <w:rsid w:val="4BFB7B1E"/>
    <w:rsid w:val="4C005593"/>
    <w:rsid w:val="4C1C48A2"/>
    <w:rsid w:val="4C2B55CD"/>
    <w:rsid w:val="4C635797"/>
    <w:rsid w:val="4CA4292F"/>
    <w:rsid w:val="4CB61F97"/>
    <w:rsid w:val="4CC139F7"/>
    <w:rsid w:val="4CD5641A"/>
    <w:rsid w:val="4CE56DB0"/>
    <w:rsid w:val="4CE64136"/>
    <w:rsid w:val="4D0A2F51"/>
    <w:rsid w:val="4D3B4EC4"/>
    <w:rsid w:val="4D3D6CE2"/>
    <w:rsid w:val="4D583E78"/>
    <w:rsid w:val="4D91777C"/>
    <w:rsid w:val="4DA4588A"/>
    <w:rsid w:val="4DB87D11"/>
    <w:rsid w:val="4DBA5862"/>
    <w:rsid w:val="4DE63DC0"/>
    <w:rsid w:val="4DEB7267"/>
    <w:rsid w:val="4E105DDD"/>
    <w:rsid w:val="4E2448D3"/>
    <w:rsid w:val="4E400EEF"/>
    <w:rsid w:val="4E4125AE"/>
    <w:rsid w:val="4E500AF1"/>
    <w:rsid w:val="4E5474AD"/>
    <w:rsid w:val="4E565839"/>
    <w:rsid w:val="4E757E04"/>
    <w:rsid w:val="4E816E39"/>
    <w:rsid w:val="4E8D3A8D"/>
    <w:rsid w:val="4EAA3AA0"/>
    <w:rsid w:val="4EB93137"/>
    <w:rsid w:val="4EBF723F"/>
    <w:rsid w:val="4F003E56"/>
    <w:rsid w:val="4F0E361E"/>
    <w:rsid w:val="4F3D23BC"/>
    <w:rsid w:val="4F4A4F3E"/>
    <w:rsid w:val="4F707062"/>
    <w:rsid w:val="4F7930E1"/>
    <w:rsid w:val="4FBC76EF"/>
    <w:rsid w:val="4FE122E3"/>
    <w:rsid w:val="4FE17210"/>
    <w:rsid w:val="4FF91545"/>
    <w:rsid w:val="5026588C"/>
    <w:rsid w:val="504321F5"/>
    <w:rsid w:val="504E60B8"/>
    <w:rsid w:val="50BE014B"/>
    <w:rsid w:val="51063BCA"/>
    <w:rsid w:val="517E7143"/>
    <w:rsid w:val="51861B4F"/>
    <w:rsid w:val="51954F37"/>
    <w:rsid w:val="51A3386B"/>
    <w:rsid w:val="51AE022E"/>
    <w:rsid w:val="51BD06B4"/>
    <w:rsid w:val="52225103"/>
    <w:rsid w:val="52354064"/>
    <w:rsid w:val="523956D4"/>
    <w:rsid w:val="523E4390"/>
    <w:rsid w:val="526428B8"/>
    <w:rsid w:val="526540F4"/>
    <w:rsid w:val="528043E7"/>
    <w:rsid w:val="52954E5A"/>
    <w:rsid w:val="52A335AA"/>
    <w:rsid w:val="53444904"/>
    <w:rsid w:val="534D4075"/>
    <w:rsid w:val="5390390E"/>
    <w:rsid w:val="53EA66CB"/>
    <w:rsid w:val="540B3A76"/>
    <w:rsid w:val="54542CF5"/>
    <w:rsid w:val="54A87544"/>
    <w:rsid w:val="55292078"/>
    <w:rsid w:val="55346B5F"/>
    <w:rsid w:val="553760AD"/>
    <w:rsid w:val="55590643"/>
    <w:rsid w:val="555F71DF"/>
    <w:rsid w:val="556472A9"/>
    <w:rsid w:val="55652AC3"/>
    <w:rsid w:val="55664241"/>
    <w:rsid w:val="55797948"/>
    <w:rsid w:val="55B003E1"/>
    <w:rsid w:val="55B55408"/>
    <w:rsid w:val="55C67A47"/>
    <w:rsid w:val="55D74822"/>
    <w:rsid w:val="55F8618A"/>
    <w:rsid w:val="56177F93"/>
    <w:rsid w:val="561F12B3"/>
    <w:rsid w:val="56211C62"/>
    <w:rsid w:val="56243368"/>
    <w:rsid w:val="56532C9B"/>
    <w:rsid w:val="567C6D10"/>
    <w:rsid w:val="56A14C13"/>
    <w:rsid w:val="56B77C50"/>
    <w:rsid w:val="56C0689F"/>
    <w:rsid w:val="56D106EB"/>
    <w:rsid w:val="57154464"/>
    <w:rsid w:val="57213681"/>
    <w:rsid w:val="57620C73"/>
    <w:rsid w:val="577479A3"/>
    <w:rsid w:val="5787250B"/>
    <w:rsid w:val="579726EA"/>
    <w:rsid w:val="57BF5603"/>
    <w:rsid w:val="57DB09A7"/>
    <w:rsid w:val="57EE07B9"/>
    <w:rsid w:val="58133704"/>
    <w:rsid w:val="583C7B24"/>
    <w:rsid w:val="584B45E2"/>
    <w:rsid w:val="58840844"/>
    <w:rsid w:val="58A34D89"/>
    <w:rsid w:val="58DC348C"/>
    <w:rsid w:val="58EF1AD1"/>
    <w:rsid w:val="5910252B"/>
    <w:rsid w:val="595465C4"/>
    <w:rsid w:val="59615513"/>
    <w:rsid w:val="59F34BDD"/>
    <w:rsid w:val="5A050D40"/>
    <w:rsid w:val="5A353866"/>
    <w:rsid w:val="5A6545DD"/>
    <w:rsid w:val="5A832D04"/>
    <w:rsid w:val="5A8C0F2A"/>
    <w:rsid w:val="5A93401E"/>
    <w:rsid w:val="5A950AB4"/>
    <w:rsid w:val="5AA80549"/>
    <w:rsid w:val="5AC01473"/>
    <w:rsid w:val="5AF50835"/>
    <w:rsid w:val="5AFE2EBC"/>
    <w:rsid w:val="5B4F1FDC"/>
    <w:rsid w:val="5B6E1EEF"/>
    <w:rsid w:val="5BC24519"/>
    <w:rsid w:val="5BF63A6F"/>
    <w:rsid w:val="5C0056E3"/>
    <w:rsid w:val="5C036B11"/>
    <w:rsid w:val="5C5060C3"/>
    <w:rsid w:val="5C50630F"/>
    <w:rsid w:val="5C650063"/>
    <w:rsid w:val="5C6E7D9F"/>
    <w:rsid w:val="5C792BB7"/>
    <w:rsid w:val="5C7D0D7C"/>
    <w:rsid w:val="5C8C3A7D"/>
    <w:rsid w:val="5CA222E6"/>
    <w:rsid w:val="5CA3329C"/>
    <w:rsid w:val="5CB54D70"/>
    <w:rsid w:val="5CC8034D"/>
    <w:rsid w:val="5CD808C6"/>
    <w:rsid w:val="5CF96E2D"/>
    <w:rsid w:val="5CFE649F"/>
    <w:rsid w:val="5D2F4A70"/>
    <w:rsid w:val="5D3024F2"/>
    <w:rsid w:val="5D310D37"/>
    <w:rsid w:val="5D3874C9"/>
    <w:rsid w:val="5D421438"/>
    <w:rsid w:val="5D676456"/>
    <w:rsid w:val="5D7E2A17"/>
    <w:rsid w:val="5D921A7A"/>
    <w:rsid w:val="5DE02CF0"/>
    <w:rsid w:val="5DEB6233"/>
    <w:rsid w:val="5DFF5FA4"/>
    <w:rsid w:val="5E463C77"/>
    <w:rsid w:val="5E653095"/>
    <w:rsid w:val="5E872AA3"/>
    <w:rsid w:val="5E8D242E"/>
    <w:rsid w:val="5EB739F6"/>
    <w:rsid w:val="5ECF7C52"/>
    <w:rsid w:val="5EDA6CAA"/>
    <w:rsid w:val="5EDE236A"/>
    <w:rsid w:val="5EEC6CF3"/>
    <w:rsid w:val="5F1D7298"/>
    <w:rsid w:val="5F244CE3"/>
    <w:rsid w:val="5F422460"/>
    <w:rsid w:val="5F865E8D"/>
    <w:rsid w:val="5FBE05A1"/>
    <w:rsid w:val="5FD90725"/>
    <w:rsid w:val="5FEA46B3"/>
    <w:rsid w:val="5FEE5FA9"/>
    <w:rsid w:val="5FFA49E8"/>
    <w:rsid w:val="600914DE"/>
    <w:rsid w:val="602314CB"/>
    <w:rsid w:val="602821CF"/>
    <w:rsid w:val="602F4723"/>
    <w:rsid w:val="60582C11"/>
    <w:rsid w:val="609F5D2B"/>
    <w:rsid w:val="60B718BC"/>
    <w:rsid w:val="60CC075F"/>
    <w:rsid w:val="60F76A09"/>
    <w:rsid w:val="611115F9"/>
    <w:rsid w:val="61616CF0"/>
    <w:rsid w:val="61764A40"/>
    <w:rsid w:val="61925EEC"/>
    <w:rsid w:val="61CB229C"/>
    <w:rsid w:val="61E9114E"/>
    <w:rsid w:val="61F96E5C"/>
    <w:rsid w:val="61FC15EF"/>
    <w:rsid w:val="62574A14"/>
    <w:rsid w:val="627611FC"/>
    <w:rsid w:val="62A328E3"/>
    <w:rsid w:val="62C400C1"/>
    <w:rsid w:val="62DA4137"/>
    <w:rsid w:val="62EE674D"/>
    <w:rsid w:val="62FB2C69"/>
    <w:rsid w:val="63053881"/>
    <w:rsid w:val="63142095"/>
    <w:rsid w:val="636715F1"/>
    <w:rsid w:val="63722616"/>
    <w:rsid w:val="639E22E8"/>
    <w:rsid w:val="64002E59"/>
    <w:rsid w:val="642D6052"/>
    <w:rsid w:val="646036C4"/>
    <w:rsid w:val="64B67287"/>
    <w:rsid w:val="64C5571C"/>
    <w:rsid w:val="64FB0ADF"/>
    <w:rsid w:val="65026AFE"/>
    <w:rsid w:val="6537132A"/>
    <w:rsid w:val="65481EDD"/>
    <w:rsid w:val="6565362D"/>
    <w:rsid w:val="65685C3E"/>
    <w:rsid w:val="65741399"/>
    <w:rsid w:val="65875F01"/>
    <w:rsid w:val="65FE648C"/>
    <w:rsid w:val="65FF22E5"/>
    <w:rsid w:val="660E4375"/>
    <w:rsid w:val="667635FA"/>
    <w:rsid w:val="669917A1"/>
    <w:rsid w:val="66A06104"/>
    <w:rsid w:val="66D502BD"/>
    <w:rsid w:val="66D71017"/>
    <w:rsid w:val="66EC1DA3"/>
    <w:rsid w:val="673F17B5"/>
    <w:rsid w:val="675C7F85"/>
    <w:rsid w:val="676D5D3F"/>
    <w:rsid w:val="6785559A"/>
    <w:rsid w:val="67AB5A2C"/>
    <w:rsid w:val="67B01133"/>
    <w:rsid w:val="67C55AD7"/>
    <w:rsid w:val="67D76FBF"/>
    <w:rsid w:val="67EB4DFC"/>
    <w:rsid w:val="68305313"/>
    <w:rsid w:val="684F6332"/>
    <w:rsid w:val="68697CB0"/>
    <w:rsid w:val="687F1BA9"/>
    <w:rsid w:val="68AB1726"/>
    <w:rsid w:val="68D06A0D"/>
    <w:rsid w:val="68FB1781"/>
    <w:rsid w:val="69124CA8"/>
    <w:rsid w:val="6976125D"/>
    <w:rsid w:val="699A0A87"/>
    <w:rsid w:val="69D1581B"/>
    <w:rsid w:val="69E47E59"/>
    <w:rsid w:val="69F97B76"/>
    <w:rsid w:val="6A100F3D"/>
    <w:rsid w:val="6A352BC4"/>
    <w:rsid w:val="6A527BFB"/>
    <w:rsid w:val="6ADD43E2"/>
    <w:rsid w:val="6AE76469"/>
    <w:rsid w:val="6B005CDC"/>
    <w:rsid w:val="6B6A1FC2"/>
    <w:rsid w:val="6B6D4417"/>
    <w:rsid w:val="6BAB0FCC"/>
    <w:rsid w:val="6BCD56C2"/>
    <w:rsid w:val="6BD623FB"/>
    <w:rsid w:val="6BD84130"/>
    <w:rsid w:val="6BEF1CA0"/>
    <w:rsid w:val="6BFD7F7A"/>
    <w:rsid w:val="6C2C74B2"/>
    <w:rsid w:val="6C3C1DA0"/>
    <w:rsid w:val="6C533408"/>
    <w:rsid w:val="6C6770B8"/>
    <w:rsid w:val="6C7A1884"/>
    <w:rsid w:val="6CE04AAC"/>
    <w:rsid w:val="6CE46703"/>
    <w:rsid w:val="6CF2784B"/>
    <w:rsid w:val="6D0B14CF"/>
    <w:rsid w:val="6D1B36B8"/>
    <w:rsid w:val="6D236E20"/>
    <w:rsid w:val="6D392725"/>
    <w:rsid w:val="6D3D6554"/>
    <w:rsid w:val="6D480C98"/>
    <w:rsid w:val="6D49674F"/>
    <w:rsid w:val="6DC361B7"/>
    <w:rsid w:val="6DCA4AEE"/>
    <w:rsid w:val="6E26335F"/>
    <w:rsid w:val="6E2D6D68"/>
    <w:rsid w:val="6E4C6576"/>
    <w:rsid w:val="6E507C22"/>
    <w:rsid w:val="6E7251F6"/>
    <w:rsid w:val="6E8B7991"/>
    <w:rsid w:val="6E8E12EF"/>
    <w:rsid w:val="6E946A7C"/>
    <w:rsid w:val="6E9A0C18"/>
    <w:rsid w:val="6ECD55A7"/>
    <w:rsid w:val="6F031688"/>
    <w:rsid w:val="6F822B79"/>
    <w:rsid w:val="6F822E81"/>
    <w:rsid w:val="6F855772"/>
    <w:rsid w:val="6F9802C5"/>
    <w:rsid w:val="6FA028AE"/>
    <w:rsid w:val="6FA03D02"/>
    <w:rsid w:val="6FAB3E4D"/>
    <w:rsid w:val="6FBB68F4"/>
    <w:rsid w:val="6FED7F61"/>
    <w:rsid w:val="6FF9431C"/>
    <w:rsid w:val="704100DD"/>
    <w:rsid w:val="708264EB"/>
    <w:rsid w:val="70B11649"/>
    <w:rsid w:val="71072D19"/>
    <w:rsid w:val="71074DB7"/>
    <w:rsid w:val="71471A43"/>
    <w:rsid w:val="716B07A3"/>
    <w:rsid w:val="71784236"/>
    <w:rsid w:val="71A20991"/>
    <w:rsid w:val="71A666BE"/>
    <w:rsid w:val="71AC27FA"/>
    <w:rsid w:val="71ED7A78"/>
    <w:rsid w:val="72084977"/>
    <w:rsid w:val="722424EC"/>
    <w:rsid w:val="722F39CB"/>
    <w:rsid w:val="72546622"/>
    <w:rsid w:val="7264344F"/>
    <w:rsid w:val="72E2003D"/>
    <w:rsid w:val="731A6C33"/>
    <w:rsid w:val="73582660"/>
    <w:rsid w:val="735A3430"/>
    <w:rsid w:val="73A66A49"/>
    <w:rsid w:val="73A957CF"/>
    <w:rsid w:val="73D51816"/>
    <w:rsid w:val="74A03654"/>
    <w:rsid w:val="74C5400D"/>
    <w:rsid w:val="74E9714C"/>
    <w:rsid w:val="755C79D6"/>
    <w:rsid w:val="756979AE"/>
    <w:rsid w:val="7576351C"/>
    <w:rsid w:val="759F3625"/>
    <w:rsid w:val="75A93410"/>
    <w:rsid w:val="75F76FC9"/>
    <w:rsid w:val="7613496D"/>
    <w:rsid w:val="762516A5"/>
    <w:rsid w:val="76976F5D"/>
    <w:rsid w:val="76A325FB"/>
    <w:rsid w:val="76A60936"/>
    <w:rsid w:val="76AA2CD3"/>
    <w:rsid w:val="76BE285E"/>
    <w:rsid w:val="76D0636B"/>
    <w:rsid w:val="76D10FD2"/>
    <w:rsid w:val="7719636A"/>
    <w:rsid w:val="776F5FF4"/>
    <w:rsid w:val="77792FF9"/>
    <w:rsid w:val="777D7350"/>
    <w:rsid w:val="77822286"/>
    <w:rsid w:val="77D97364"/>
    <w:rsid w:val="77EB3F28"/>
    <w:rsid w:val="78206C22"/>
    <w:rsid w:val="782E0D4D"/>
    <w:rsid w:val="784B0FF1"/>
    <w:rsid w:val="786B327E"/>
    <w:rsid w:val="786E0052"/>
    <w:rsid w:val="787F6001"/>
    <w:rsid w:val="78E811D1"/>
    <w:rsid w:val="78E93ADE"/>
    <w:rsid w:val="79014D58"/>
    <w:rsid w:val="790B5629"/>
    <w:rsid w:val="792451CB"/>
    <w:rsid w:val="79512248"/>
    <w:rsid w:val="79891677"/>
    <w:rsid w:val="799338D8"/>
    <w:rsid w:val="79CD5E57"/>
    <w:rsid w:val="7A141937"/>
    <w:rsid w:val="7A225D2C"/>
    <w:rsid w:val="7A3370D3"/>
    <w:rsid w:val="7A41346F"/>
    <w:rsid w:val="7A4A3EBE"/>
    <w:rsid w:val="7A4A422C"/>
    <w:rsid w:val="7A80238E"/>
    <w:rsid w:val="7A922611"/>
    <w:rsid w:val="7AB46E9F"/>
    <w:rsid w:val="7ADA6863"/>
    <w:rsid w:val="7AEE1351"/>
    <w:rsid w:val="7AFB13A5"/>
    <w:rsid w:val="7AFB4CD4"/>
    <w:rsid w:val="7B2C0B37"/>
    <w:rsid w:val="7B4959ED"/>
    <w:rsid w:val="7B5438FF"/>
    <w:rsid w:val="7B716274"/>
    <w:rsid w:val="7B86755B"/>
    <w:rsid w:val="7BB153E0"/>
    <w:rsid w:val="7BC42E63"/>
    <w:rsid w:val="7BFD7E77"/>
    <w:rsid w:val="7C29336A"/>
    <w:rsid w:val="7C353AFC"/>
    <w:rsid w:val="7C611D76"/>
    <w:rsid w:val="7CEA5CAA"/>
    <w:rsid w:val="7D206CD5"/>
    <w:rsid w:val="7D5457CE"/>
    <w:rsid w:val="7D84412B"/>
    <w:rsid w:val="7DF85F36"/>
    <w:rsid w:val="7DFB5E34"/>
    <w:rsid w:val="7E6142BA"/>
    <w:rsid w:val="7E627D6D"/>
    <w:rsid w:val="7E784ECC"/>
    <w:rsid w:val="7E8958C4"/>
    <w:rsid w:val="7E9479A4"/>
    <w:rsid w:val="7EAC2092"/>
    <w:rsid w:val="7EB459DD"/>
    <w:rsid w:val="7EF014CF"/>
    <w:rsid w:val="7F24018A"/>
    <w:rsid w:val="7F37710A"/>
    <w:rsid w:val="7F776DB3"/>
    <w:rsid w:val="7F7878FB"/>
    <w:rsid w:val="7F9C3EF5"/>
    <w:rsid w:val="7FAB616B"/>
    <w:rsid w:val="7FCA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widowControl w:val="0"/>
      <w:numPr>
        <w:ilvl w:val="0"/>
        <w:numId w:val="1"/>
      </w:numPr>
      <w:spacing w:after="0" w:line="240" w:lineRule="auto"/>
      <w:jc w:val="both"/>
      <w:outlineLvl w:val="0"/>
    </w:pPr>
    <w:rPr>
      <w:rFonts w:ascii="Times New Roman Полужирный" w:hAnsi="Times New Roman Полужирный"/>
      <w:b/>
      <w:bCs/>
      <w:caps/>
      <w:sz w:val="24"/>
      <w:szCs w:val="32"/>
    </w:rPr>
  </w:style>
  <w:style w:type="paragraph" w:styleId="3">
    <w:name w:val="heading 2"/>
    <w:basedOn w:val="1"/>
    <w:next w:val="1"/>
    <w:link w:val="17"/>
    <w:qFormat/>
    <w:uiPriority w:val="0"/>
    <w:pPr>
      <w:widowControl w:val="0"/>
      <w:numPr>
        <w:ilvl w:val="1"/>
        <w:numId w:val="1"/>
      </w:numPr>
      <w:spacing w:after="0" w:line="240" w:lineRule="auto"/>
      <w:jc w:val="both"/>
      <w:outlineLvl w:val="1"/>
    </w:pPr>
    <w:rPr>
      <w:rFonts w:ascii="Times New Roman" w:hAnsi="Times New Roman"/>
      <w:b/>
      <w:bCs/>
      <w:iCs/>
      <w:sz w:val="24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yperlink"/>
    <w:qFormat/>
    <w:uiPriority w:val="99"/>
    <w:rPr>
      <w:rFonts w:cs="Times New Roman"/>
      <w:color w:val="0000FF"/>
      <w:u w:val="single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Title"/>
    <w:basedOn w:val="1"/>
    <w:next w:val="1"/>
    <w:qFormat/>
    <w:uiPriority w:val="0"/>
    <w:pPr>
      <w:numPr>
        <w:ilvl w:val="0"/>
        <w:numId w:val="2"/>
      </w:numPr>
      <w:spacing w:before="240" w:after="60"/>
      <w:outlineLvl w:val="0"/>
    </w:pPr>
    <w:rPr>
      <w:rFonts w:ascii="Times New Roman" w:hAnsi="Times New Roman"/>
      <w:b/>
      <w:bCs/>
      <w:sz w:val="24"/>
      <w:szCs w:val="32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2">
    <w:name w:val="Table Grid"/>
    <w:basedOn w:val="6"/>
    <w:qFormat/>
    <w:uiPriority w:val="0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3">
    <w:name w:val="Сетка таблицы4"/>
    <w:basedOn w:val="6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14">
    <w:name w:val="Загаловок Оглавления"/>
    <w:basedOn w:val="1"/>
    <w:next w:val="15"/>
    <w:link w:val="16"/>
    <w:qFormat/>
    <w:uiPriority w:val="0"/>
    <w:pPr>
      <w:keepNext/>
      <w:pageBreakBefore/>
      <w:spacing w:after="0" w:line="360" w:lineRule="auto"/>
      <w:outlineLvl w:val="0"/>
    </w:pPr>
    <w:rPr>
      <w:rFonts w:ascii="Times New Roman" w:hAnsi="Times New Roman" w:eastAsia="Calibri"/>
      <w:b/>
      <w:caps/>
      <w:sz w:val="28"/>
      <w:szCs w:val="20"/>
    </w:rPr>
  </w:style>
  <w:style w:type="paragraph" w:customStyle="1" w:styleId="15">
    <w:name w:val="TOC Heading"/>
    <w:basedOn w:val="2"/>
    <w:next w:val="1"/>
    <w:qFormat/>
    <w:uiPriority w:val="39"/>
    <w:pPr>
      <w:keepLines/>
      <w:spacing w:before="48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16">
    <w:name w:val="Загаловок Оглавления_character"/>
    <w:link w:val="14"/>
    <w:qFormat/>
    <w:uiPriority w:val="0"/>
    <w:rPr>
      <w:rFonts w:ascii="Times New Roman" w:hAnsi="Times New Roman" w:eastAsia="Calibri"/>
      <w:b/>
      <w:caps/>
      <w:sz w:val="28"/>
      <w:szCs w:val="20"/>
    </w:rPr>
  </w:style>
  <w:style w:type="character" w:customStyle="1" w:styleId="17">
    <w:name w:val="Заголовок 2 Знак"/>
    <w:link w:val="3"/>
    <w:qFormat/>
    <w:uiPriority w:val="0"/>
    <w:rPr>
      <w:rFonts w:ascii="Times New Roman" w:hAnsi="Times New Roman"/>
      <w:b/>
      <w:bCs/>
      <w:iCs/>
      <w:sz w:val="24"/>
      <w:szCs w:val="28"/>
    </w:rPr>
  </w:style>
  <w:style w:type="paragraph" w:customStyle="1" w:styleId="18">
    <w:name w:val="WPSOffice手动目录 1"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9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0">
    <w:name w:val="WPSOffice手动目录 3"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sv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sv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2384804F-3998-4D57-9195-F3826E402611-1">
      <extobjdata type="2384804F-3998-4D57-9195-F3826E402611" data="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4T0MxVVJWZ3RUaTAxUlNJZ1pEMGlUVEV4TWlBMU5qQk1NalE1SURZNU5Fd3lOVGNnTmpnMlVUTTROeUExTmpJZ016ZzNJRFUyTUV3ek5qRWdOVE14VVRNMU9TQTFNeklnTXpBeklEVTRNVXd5TlRBZ05qSTNUREU1TlNBMU9EQlJNVGd5SURVMk9TQXhOamtnTlRVM1ZERTBPQ0ExTXpoTU1UUXdJRFV6TWxFeE16Z2dOVE13SURFeU5TQTFORFpNTVRFeUlEVTJNRm9pTHo0OGNHRjBhQ0JwWkQwaVRVcFlMVEU0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U0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E9DMVVSVmd0VGkwMlJT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TBOVEFnTkRNNElEUTJNeUF6TWpsUk5EWTBJRE15TWlBME5qUWdNVGt3VmpFd05GRTBOalFnTmpZZ05EWTJJRFU1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FNE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VGd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eE9D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U0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hPQz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E9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"/>
    </extobj>
    <extobj name="2384804F-3998-4D57-9195-F3826E402611-2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  <extobj name="2384804F-3998-4D57-9195-F3826E402611-3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53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2025-11-21T07:51:00Z</dcterms:created>
  <dc:creator>Machcreator</dc:creator>
  <cp:lastModifiedBy>Вячеслав Шебанов</cp:lastModifiedBy>
  <dcterms:modified xsi:type="dcterms:W3CDTF">2025-12-18T16:43:35Z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2C856A9FDDD847479100B34DB8E2AD28_12</vt:lpwstr>
  </property>
</Properties>
</file>