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E16A2">
      <w:r>
        <w:rPr>
          <w:rFonts w:ascii="Times New Roman" w:hAnsi="Times New Roman" w:eastAsia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ragraph">
              <wp:posOffset>-889635</wp:posOffset>
            </wp:positionV>
            <wp:extent cx="7559675" cy="10639425"/>
            <wp:effectExtent l="0" t="0" r="14605" b="13335"/>
            <wp:wrapNone/>
            <wp:docPr id="1" name="Рисунок 1" descr="C:/Users/Machcreator/Pictures/Screenshots/Снимок экрана 2025-12-18 173854.pngСнимок экрана 2025-12-18 173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/Users/Machcreator/Pictures/Screenshots/Снимок экрана 2025-12-18 173854.pngСнимок экрана 2025-12-18 173854"/>
                    <pic:cNvPicPr>
                      <a:picLocks noChangeAspect="1"/>
                    </pic:cNvPicPr>
                  </pic:nvPicPr>
                  <pic:blipFill>
                    <a:blip r:embed="rId4"/>
                    <a:srcRect l="2689" r="2689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77D8D2"/>
    <w:p w14:paraId="3E76EDD0"/>
    <w:p w14:paraId="66BF6114"/>
    <w:p w14:paraId="33029FDD"/>
    <w:p w14:paraId="0BD98E9E"/>
    <w:p w14:paraId="04DA2629"/>
    <w:p w14:paraId="0B115E6C"/>
    <w:p w14:paraId="64251701"/>
    <w:p w14:paraId="671534B3"/>
    <w:p w14:paraId="7EC9BE09"/>
    <w:p w14:paraId="20F79D1A"/>
    <w:p w14:paraId="0F77418E"/>
    <w:p w14:paraId="5B3BCBA9"/>
    <w:p w14:paraId="03C4A91C"/>
    <w:p w14:paraId="0C1FD5BF"/>
    <w:p w14:paraId="2F6488D9"/>
    <w:p w14:paraId="4364DD2D"/>
    <w:p w14:paraId="11A8FAB2"/>
    <w:p w14:paraId="2F5C9431"/>
    <w:p w14:paraId="127E0F55"/>
    <w:p w14:paraId="6B902A4E"/>
    <w:p w14:paraId="1D3E6A0D"/>
    <w:p w14:paraId="60384929"/>
    <w:p w14:paraId="3B87F9BE"/>
    <w:p w14:paraId="23D39851"/>
    <w:p w14:paraId="73A1D1F5"/>
    <w:p w14:paraId="43E38EDB"/>
    <w:p w14:paraId="22484C20"/>
    <w:p w14:paraId="0DD405D5"/>
    <w:p w14:paraId="062B6B58"/>
    <w:p w14:paraId="76A823BA"/>
    <w:p w14:paraId="776D8964"/>
    <w:p w14:paraId="2DCDC8D3"/>
    <w:p w14:paraId="465CCB71"/>
    <w:p w14:paraId="6B5B80DC"/>
    <w:p w14:paraId="2FAE9743"/>
    <w:p w14:paraId="33FBBE85"/>
    <w:p w14:paraId="5E805A67"/>
    <w:p w14:paraId="4B2C0DD9"/>
    <w:p w14:paraId="0188D7B6"/>
    <w:p w14:paraId="45248782"/>
    <w:p w14:paraId="5E9E697F"/>
    <w:p w14:paraId="71AC380F"/>
    <w:p w14:paraId="7B5DF444"/>
    <w:p w14:paraId="680911C4"/>
    <w:p w14:paraId="3C98740A"/>
    <w:p w14:paraId="74EE45BB"/>
    <w:p w14:paraId="55A25293"/>
    <w:p w14:paraId="313DFE38"/>
    <w:p w14:paraId="20DD08AF"/>
    <w:p w14:paraId="197C2D1E"/>
    <w:p w14:paraId="0DF32D82"/>
    <w:p w14:paraId="67C973BC"/>
    <w:p w14:paraId="12A4D022"/>
    <w:p w14:paraId="228D2C0C"/>
    <w:p w14:paraId="100C70E3"/>
    <w:p w14:paraId="7200E7A5">
      <w:pPr>
        <w:keepNext/>
        <w:pageBreakBefore/>
        <w:spacing w:after="0" w:line="360" w:lineRule="auto"/>
        <w:jc w:val="center"/>
        <w:outlineLvl w:val="9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0" w:name="_Toc171423726"/>
      <w:bookmarkStart w:id="1" w:name="_Toc73211062"/>
    </w:p>
    <w:sdt>
      <w:sdtPr>
        <w:rPr>
          <w:rFonts w:ascii="SimSun" w:hAnsi="SimSun" w:eastAsia="SimSun" w:cstheme="minorBidi"/>
          <w:sz w:val="21"/>
          <w:lang w:val="en-US" w:eastAsia="zh-CN" w:bidi="ar-SA"/>
        </w:rPr>
        <w:id w:val="147481307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Calibri" w:cstheme="minorBidi"/>
          <w:caps/>
          <w:sz w:val="21"/>
          <w:szCs w:val="20"/>
          <w:lang w:val="ru-RU" w:eastAsia="zh-CN" w:bidi="ar-SA"/>
        </w:rPr>
      </w:sdtEndPr>
      <w:sdtContent>
        <w:p w14:paraId="6242F08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/>
              <w:lang w:val="ru-RU"/>
            </w:rPr>
          </w:pPr>
          <w:r>
            <w:rPr>
              <w:rFonts w:hint="default" w:ascii="Times New Roman" w:hAnsi="Times New Roman" w:eastAsia="SimSun" w:cs="Times New Roman"/>
              <w:b/>
              <w:bCs/>
              <w:sz w:val="32"/>
              <w:szCs w:val="32"/>
              <w:lang w:val="ru-RU" w:eastAsia="zh-CN" w:bidi="ar-SA"/>
            </w:rPr>
            <w:t>Содержание</w:t>
          </w:r>
        </w:p>
        <w:p w14:paraId="36E09FC7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begin"/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instrText xml:space="preserve">TOC \o "1-3" \h \u </w:instrText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_Toc1698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>Введение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_Toc1698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0F24572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_Toc8876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Цель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_Toc8876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360A47A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_Toc5241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Задачи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_Toc5241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E5D84E0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_Toc4802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 Основная часть анализ и Выбор набора данных для моделирования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_Toc4802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AE1915F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_Toc27782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1.1. </w:t>
          </w:r>
          <w:r>
            <w:rPr>
              <w:rFonts w:hint="default" w:ascii="Times New Roman" w:hAnsi="Times New Roman" w:cs="Times New Roman"/>
              <w:bCs/>
              <w:iCs w:val="0"/>
              <w:sz w:val="28"/>
              <w:szCs w:val="28"/>
            </w:rPr>
            <w:t>Выбранный набор данных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 IBM HR Analytics Employee «WA_Fn-UseC_-HR-Employee-Attrition»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_Toc27782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74695CEB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_Toc12877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1.2. Предобработка набора данных для повышения качества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_Toc12877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3268AF4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_Toc13556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 xml:space="preserve">2. Анализ предметной </w: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en-US"/>
            </w:rPr>
            <w:t>ОБЛАСТИ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_Toc13556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82F608C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_Toc2428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2.1. Выбор и </w:t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val="en-US"/>
            </w:rPr>
            <w:t>развёртывание</w:t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 среды разработки для языка программирования Python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_Toc2428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8680901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_Toc11546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2.2. Анализ теоретических аспектов создания нейросетей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_Toc11546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536BBB1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_Toc31373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2.3. Математическая модель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_Toc31373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066F4A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_Toc21885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2.4.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_Toc21885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BD1809F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_Toc30276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  <w:lang w:eastAsia="en-US"/>
            </w:rPr>
            <w:t xml:space="preserve">3. </w:t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</w:rPr>
            <w:t>РАЗРАБОТКА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_Toc30276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33CDA6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_Toc19673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3.1. Создание нейронов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_Toc19673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73E14DB1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_Toc30032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3.2. Создание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_Toc30032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14E6405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_Toc12923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3.2.1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Выбор топологии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_Toc12923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0C710482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_Toc26040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3.2.2 Группировка нейронных блоков в нейронную сеть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_Toc26040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1D9BFA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_Toc8313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3.2.3 Экспериментальный подбор характеристик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_Toc8313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9B43CBA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_Toc29886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3.2.4 Сбор и нормализация данных для обучения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_Toc29886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3022BD1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_Toc9347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3.3. </w:t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>Обучение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_Toc9347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C4BBE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_Toc8420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3.3.1 Выбор способа оценки адекватности результатов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_Toc8420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DE9A14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_Toc5221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3.3.2 Расчёт количества потерь и их минимизация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_Toc5221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8A4F24F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_Toc7402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3.3.3 Анализ адекватности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_Toc7402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5BE609C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_Toc17265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 xml:space="preserve">3.4.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_Toc17265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7978A66">
          <w:pPr>
            <w:pStyle w:val="19"/>
            <w:tabs>
              <w:tab w:val="right" w:leader="dot" w:pos="8306"/>
            </w:tabs>
            <w:ind w:left="0" w:leftChars="0" w:firstLine="0" w:firstLineChars="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_Toc5128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Заключение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_Toc5128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CC97D68">
          <w:pPr>
            <w:pStyle w:val="19"/>
            <w:tabs>
              <w:tab w:val="right" w:leader="dot" w:pos="8306"/>
            </w:tabs>
            <w:ind w:left="0" w:leftChars="0" w:firstLine="0" w:firstLineChars="0"/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_Toc2157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bCs/>
              <w:caps/>
              <w:sz w:val="28"/>
              <w:szCs w:val="28"/>
              <w:lang w:val="en-US" w:eastAsia="zh-CN" w:bidi="ar-SA"/>
            </w:rPr>
            <w:t>Список используемых источников и литературы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_Toc2157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5A5EC60">
          <w:pPr>
            <w:keepNext/>
            <w:pageBreakBefore/>
            <w:spacing w:after="0" w:line="360" w:lineRule="auto"/>
            <w:jc w:val="both"/>
            <w:outlineLvl w:val="9"/>
            <w:rPr>
              <w:rFonts w:hint="default" w:ascii="Times New Roman" w:hAnsi="Times New Roman" w:eastAsia="Calibri" w:cstheme="minorBidi"/>
              <w:caps/>
              <w:szCs w:val="20"/>
              <w:lang w:val="ru-RU" w:eastAsia="zh-CN" w:bidi="ar-SA"/>
            </w:rPr>
          </w:pPr>
          <w:r>
            <w:rPr>
              <w:rFonts w:hint="default" w:ascii="Times New Roman" w:hAnsi="Times New Roman" w:eastAsia="Calibri"/>
              <w:caps/>
              <w:szCs w:val="20"/>
              <w:lang w:val="ru-RU"/>
            </w:rPr>
            <w:fldChar w:fldCharType="end"/>
          </w:r>
        </w:p>
      </w:sdtContent>
    </w:sdt>
    <w:p w14:paraId="3D7D338F">
      <w:pPr>
        <w:pStyle w:val="2"/>
        <w:numPr>
          <w:ilvl w:val="0"/>
          <w:numId w:val="0"/>
        </w:numPr>
        <w:bidi w:val="0"/>
        <w:ind w:leftChars="0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2" w:name="_Toc1698"/>
      <w:r>
        <w:rPr>
          <w:rFonts w:ascii="Times New Roman" w:hAnsi="Times New Roman" w:eastAsia="Calibri"/>
          <w:b/>
          <w:caps/>
          <w:sz w:val="28"/>
          <w:szCs w:val="20"/>
        </w:rPr>
        <w:t>Введение</w:t>
      </w:r>
      <w:bookmarkEnd w:id="0"/>
      <w:bookmarkEnd w:id="1"/>
      <w:bookmarkEnd w:id="2"/>
    </w:p>
    <w:p w14:paraId="48EFC7B9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7845B02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Производственная практика проходила на кафедре факультета информационных технологий в Московском университете им. С.Ю. Витте, в ходе практики решается проблема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автоматизации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генерации контента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социальных сетей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путём применения генеративных моделей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обученных на русскоязычном датасете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RuSentiTweet,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также при помощи использования рекурентных моделей по типу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LSTM.</w:t>
      </w:r>
    </w:p>
    <w:p w14:paraId="0514D776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3" w:name="_Toc8876"/>
      <w:r>
        <w:rPr>
          <w:rFonts w:ascii="Times New Roman" w:hAnsi="Times New Roman"/>
          <w:b/>
          <w:sz w:val="28"/>
          <w:szCs w:val="28"/>
        </w:rPr>
        <w:t>Цель практики</w:t>
      </w:r>
      <w:bookmarkEnd w:id="3"/>
    </w:p>
    <w:p w14:paraId="7B272733">
      <w:pPr>
        <w:spacing w:after="0" w:line="360" w:lineRule="auto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Использовать методы глубокого обучения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для автоматизированной генерации текста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для социальных сетей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на русском языке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инновационность подхода к автоматизации заключается в применении ансамблевых методов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для оптимизации процесса генерации за счет улавливания контекста и особенностей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реализованного при помощи ячеек памяти и правильных параметров при токенизации текста</w:t>
      </w:r>
      <w:r>
        <w:rPr>
          <w:rFonts w:hint="default" w:ascii="Times New Roman" w:hAnsi="Times New Roman"/>
          <w:sz w:val="28"/>
          <w:szCs w:val="28"/>
          <w:lang w:val="en-US"/>
        </w:rPr>
        <w:t>.</w:t>
      </w:r>
    </w:p>
    <w:p w14:paraId="2D190722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4" w:name="_Toc5241"/>
      <w:r>
        <w:rPr>
          <w:rFonts w:ascii="Times New Roman" w:hAnsi="Times New Roman"/>
          <w:b/>
          <w:sz w:val="28"/>
          <w:szCs w:val="28"/>
        </w:rPr>
        <w:t>Задачи практики</w:t>
      </w:r>
      <w:bookmarkEnd w:id="4"/>
    </w:p>
    <w:p w14:paraId="315CF982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Анализ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доступных русскоязычных датаасетов по постам в социальных сетях.</w:t>
      </w:r>
    </w:p>
    <w:p w14:paraId="6A3D8C5A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Предобработка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данных включая очистку текстов от лишних символов, преобразование в эмбеддинги.</w:t>
      </w:r>
    </w:p>
    <w:p w14:paraId="12334280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Сформировать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последовательности определённой длины,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на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входном слое LSTM,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разделение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на выборки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RuSentiTweet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обучающую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и валидационную. </w:t>
      </w:r>
    </w:p>
    <w:p w14:paraId="10FDB828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Оценить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качество сгенерированных постов используя автоматические метрики: Preplexity.</w:t>
      </w:r>
    </w:p>
    <w:p w14:paraId="7D43BBD5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Визуализировать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результаты практики,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при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помощи графиков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распределения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длин текстов.</w:t>
      </w:r>
    </w:p>
    <w:p w14:paraId="452D844E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</w:pP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Выгрузить проект в GitHub ссылка: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fldChar w:fldCharType="begin"/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instrText xml:space="preserve"> HYPERLINK "https://github.com/Slavik993/Practica_Golovasticov_social_media_post_generation/tree/main" </w:instrTex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fldChar w:fldCharType="separate"/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>Practica_Golovasticov_social_media_post_generation/ at main · Slavik993/Practica_Golovasticov_social_media_post_generation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fldChar w:fldCharType="end"/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>.</w:t>
      </w:r>
    </w:p>
    <w:p w14:paraId="7D3A3EBC">
      <w:pPr>
        <w:pStyle w:val="2"/>
        <w:numPr>
          <w:ilvl w:val="0"/>
          <w:numId w:val="4"/>
        </w:numPr>
        <w:bidi w:val="0"/>
        <w:ind w:leftChars="0"/>
        <w:rPr>
          <w:sz w:val="28"/>
          <w:szCs w:val="28"/>
        </w:rPr>
      </w:pPr>
      <w:bookmarkStart w:id="5" w:name="_Toc4802"/>
      <w:r>
        <w:rPr>
          <w:sz w:val="28"/>
          <w:szCs w:val="28"/>
          <w:lang w:val="ru-RU"/>
        </w:rPr>
        <w:t>Основная</w:t>
      </w:r>
      <w:r>
        <w:rPr>
          <w:rFonts w:hint="default"/>
          <w:sz w:val="28"/>
          <w:szCs w:val="28"/>
          <w:lang w:val="ru-RU"/>
        </w:rPr>
        <w:t xml:space="preserve"> часть анализ и Выбор набора данных для моделирования</w:t>
      </w:r>
      <w:bookmarkEnd w:id="5"/>
      <w:r>
        <w:rPr>
          <w:rFonts w:hint="default"/>
          <w:sz w:val="28"/>
          <w:szCs w:val="28"/>
          <w:lang w:val="ru-RU"/>
        </w:rPr>
        <w:t xml:space="preserve"> </w:t>
      </w:r>
    </w:p>
    <w:p w14:paraId="755E1D71">
      <w:pPr>
        <w:numPr>
          <w:ilvl w:val="0"/>
          <w:numId w:val="0"/>
        </w:numPr>
      </w:pPr>
    </w:p>
    <w:p w14:paraId="3AD3B7EA">
      <w:pPr>
        <w:pStyle w:val="3"/>
        <w:numPr>
          <w:ilvl w:val="1"/>
          <w:numId w:val="4"/>
        </w:numPr>
        <w:ind w:leftChars="0"/>
        <w:rPr>
          <w:rFonts w:ascii="Times New Roman;Times New Roman" w:hAnsi="Times New Roman;Times New Roman" w:cs="Times New Roman;Times New Roman"/>
          <w:b/>
          <w:bCs/>
          <w:sz w:val="28"/>
        </w:rPr>
      </w:pPr>
      <w:bookmarkStart w:id="6" w:name="_Toc27782"/>
      <w:r>
        <w:rPr>
          <w:rStyle w:val="17"/>
          <w:rFonts w:ascii="Times New Roman;Times New Roman" w:hAnsi="Times New Roman;Times New Roman" w:cs="Times New Roman;Times New Roman"/>
          <w:b/>
          <w:bCs/>
          <w:iCs w:val="0"/>
          <w:sz w:val="28"/>
          <w:szCs w:val="28"/>
        </w:rPr>
        <w:t>Выбранный набор данных</w:t>
      </w:r>
      <w:r>
        <w:rPr>
          <w:rFonts w:ascii="Times New Roman;Times New Roman" w:hAnsi="Times New Roman;Times New Roman" w:cs="Times New Roman;Times New Roman"/>
          <w:b/>
          <w:bCs/>
          <w:sz w:val="28"/>
        </w:rPr>
        <w:t xml:space="preserve"> </w:t>
      </w:r>
      <w:bookmarkEnd w:id="6"/>
      <w:r>
        <w:rPr>
          <w:rFonts w:hint="default" w:ascii="Times New Roman;Times New Roman" w:hAnsi="Times New Roman;Times New Roman" w:cs="Times New Roman;Times New Roman"/>
          <w:b/>
          <w:bCs/>
          <w:sz w:val="28"/>
          <w:lang w:val="en-US"/>
        </w:rPr>
        <w:t>RuSentiTweet</w:t>
      </w:r>
    </w:p>
    <w:p w14:paraId="36B2233D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46D33FB8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Подобранный набор, взят с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GitHub: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fldChar w:fldCharType="begin"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instrText xml:space="preserve"> HYPERLINK "https://github.com/sismetanin/rusentitweet" </w:instrTex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fldChar w:fldCharType="separate"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sismetanin/rusentitweet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fldChar w:fldCharType="end"/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.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Датасет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имеет подходящий размер тринадцать тысяч триста девяносто два поста в социальных сетях на русском языке, подходящая сложность датасета объясняется характеристиками указанными в таблице 1 ниже.</w:t>
      </w:r>
    </w:p>
    <w:p w14:paraId="1167BFE0">
      <w:pPr>
        <w:wordWrap w:val="0"/>
        <w:spacing w:after="0" w:line="360" w:lineRule="auto"/>
        <w:ind w:firstLine="709"/>
        <w:jc w:val="right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Таблица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1.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Характеристики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набора данных.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D561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0F8F1FA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Параметр</w:t>
            </w:r>
          </w:p>
        </w:tc>
        <w:tc>
          <w:tcPr>
            <w:tcW w:w="2841" w:type="dxa"/>
          </w:tcPr>
          <w:p w14:paraId="5D3E4F1C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Значение</w:t>
            </w:r>
          </w:p>
        </w:tc>
        <w:tc>
          <w:tcPr>
            <w:tcW w:w="2841" w:type="dxa"/>
          </w:tcPr>
          <w:p w14:paraId="00D8A482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Описание</w:t>
            </w:r>
          </w:p>
        </w:tc>
      </w:tr>
      <w:tr w14:paraId="1893D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3810598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Количество записей</w:t>
            </w:r>
          </w:p>
        </w:tc>
        <w:tc>
          <w:tcPr>
            <w:tcW w:w="2841" w:type="dxa"/>
          </w:tcPr>
          <w:p w14:paraId="612FABA1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13 392</w:t>
            </w:r>
          </w:p>
        </w:tc>
        <w:tc>
          <w:tcPr>
            <w:tcW w:w="2841" w:type="dxa"/>
          </w:tcPr>
          <w:p w14:paraId="71DB62B6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Общее число твитов</w:t>
            </w:r>
          </w:p>
        </w:tc>
      </w:tr>
      <w:tr w14:paraId="0A46A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B0243B9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Язык</w:t>
            </w:r>
          </w:p>
        </w:tc>
        <w:tc>
          <w:tcPr>
            <w:tcW w:w="2841" w:type="dxa"/>
          </w:tcPr>
          <w:p w14:paraId="268D8302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Русский</w:t>
            </w:r>
          </w:p>
        </w:tc>
        <w:tc>
          <w:tcPr>
            <w:tcW w:w="2841" w:type="dxa"/>
          </w:tcPr>
          <w:p w14:paraId="274CA15A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Соблюдены требования к языку, 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для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 генерации</w:t>
            </w:r>
          </w:p>
        </w:tc>
      </w:tr>
      <w:tr w14:paraId="09BF7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8936246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Средняя длина поста</w:t>
            </w:r>
          </w:p>
        </w:tc>
        <w:tc>
          <w:tcPr>
            <w:tcW w:w="2841" w:type="dxa"/>
          </w:tcPr>
          <w:p w14:paraId="475B777E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85 символов</w:t>
            </w:r>
          </w:p>
        </w:tc>
        <w:tc>
          <w:tcPr>
            <w:tcW w:w="2841" w:type="dxa"/>
          </w:tcPr>
          <w:p w14:paraId="7A9961C9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Количество символовподходит под параметры запоминания контекста</w:t>
            </w:r>
          </w:p>
        </w:tc>
      </w:tr>
      <w:tr w14:paraId="67731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8F52A52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Колонка с текстом</w:t>
            </w:r>
          </w:p>
        </w:tc>
        <w:tc>
          <w:tcPr>
            <w:tcW w:w="2841" w:type="dxa"/>
          </w:tcPr>
          <w:p w14:paraId="0067C58D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text</w:t>
            </w:r>
          </w:p>
        </w:tc>
        <w:tc>
          <w:tcPr>
            <w:tcW w:w="2841" w:type="dxa"/>
          </w:tcPr>
          <w:p w14:paraId="3E3C3AFB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Основной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 признак для обучения</w:t>
            </w:r>
          </w:p>
        </w:tc>
      </w:tr>
      <w:tr w14:paraId="4B9F3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BF67BED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Дополнительные колонки</w:t>
            </w:r>
          </w:p>
        </w:tc>
        <w:tc>
          <w:tcPr>
            <w:tcW w:w="2841" w:type="dxa"/>
          </w:tcPr>
          <w:p w14:paraId="3142CE37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Label “sentiment”</w:t>
            </w:r>
          </w:p>
        </w:tc>
        <w:tc>
          <w:tcPr>
            <w:tcW w:w="2841" w:type="dxa"/>
          </w:tcPr>
          <w:p w14:paraId="01FD859B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Не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 использовались, 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для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 задачи генерации</w:t>
            </w:r>
          </w:p>
        </w:tc>
      </w:tr>
    </w:tbl>
    <w:p w14:paraId="25E8E219">
      <w:pPr>
        <w:wordWrap/>
        <w:spacing w:after="0" w:line="360" w:lineRule="auto"/>
        <w:ind w:firstLine="709"/>
        <w:jc w:val="right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34294234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</w:pPr>
    </w:p>
    <w:p w14:paraId="1F3EDD94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BE7CBA5">
      <w:pPr>
        <w:pStyle w:val="2"/>
        <w:numPr>
          <w:ilvl w:val="0"/>
          <w:numId w:val="4"/>
        </w:numPr>
        <w:bidi w:val="0"/>
        <w:ind w:leftChars="0"/>
        <w:rPr>
          <w:rFonts w:eastAsia="Calibri"/>
          <w:caps/>
          <w:sz w:val="28"/>
          <w:szCs w:val="20"/>
        </w:rPr>
      </w:pPr>
      <w:bookmarkStart w:id="7" w:name="_Toc42166413"/>
      <w:bookmarkStart w:id="8" w:name="_Toc73211064"/>
      <w:bookmarkStart w:id="9" w:name="_Toc13556"/>
      <w:bookmarkStart w:id="10" w:name="_Toc171423728"/>
      <w:r>
        <w:rPr>
          <w:rFonts w:eastAsia="Calibri"/>
          <w:caps/>
          <w:sz w:val="28"/>
          <w:szCs w:val="20"/>
        </w:rPr>
        <w:t xml:space="preserve">Анализ </w:t>
      </w:r>
      <w:bookmarkEnd w:id="7"/>
      <w:r>
        <w:rPr>
          <w:rFonts w:eastAsia="Calibri"/>
          <w:caps/>
          <w:sz w:val="28"/>
          <w:szCs w:val="20"/>
        </w:rPr>
        <w:t xml:space="preserve">предметной </w:t>
      </w:r>
      <w:r>
        <w:rPr>
          <w:rFonts w:eastAsia="Calibri"/>
          <w:caps/>
          <w:sz w:val="28"/>
          <w:szCs w:val="20"/>
          <w:lang w:val="en-US"/>
        </w:rPr>
        <w:t>ОБЛАСТИ</w:t>
      </w:r>
      <w:bookmarkEnd w:id="8"/>
      <w:bookmarkEnd w:id="9"/>
      <w:bookmarkEnd w:id="10"/>
    </w:p>
    <w:p w14:paraId="5958B75E"/>
    <w:p w14:paraId="149378AC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1" w:name="_Toc2428"/>
      <w:bookmarkStart w:id="12" w:name="_Toc73211065"/>
      <w:bookmarkStart w:id="13" w:name="_Toc171423729"/>
      <w:r>
        <w:rPr>
          <w:rFonts w:ascii="Times New Roman" w:hAnsi="Times New Roman" w:eastAsia="Calibri"/>
          <w:b/>
          <w:sz w:val="28"/>
          <w:szCs w:val="20"/>
        </w:rPr>
        <w:t xml:space="preserve">Выбор и </w:t>
      </w:r>
      <w:r>
        <w:rPr>
          <w:rFonts w:eastAsia="Calibri"/>
          <w:b/>
          <w:sz w:val="28"/>
          <w:szCs w:val="20"/>
          <w:lang w:val="en-US"/>
        </w:rPr>
        <w:t>развёртывание</w:t>
      </w:r>
      <w:r>
        <w:rPr>
          <w:rFonts w:ascii="Times New Roman" w:hAnsi="Times New Roman" w:eastAsia="Calibri"/>
          <w:b/>
          <w:sz w:val="28"/>
          <w:szCs w:val="20"/>
        </w:rPr>
        <w:t xml:space="preserve"> среды разработки для языка программирования Python</w:t>
      </w:r>
      <w:bookmarkEnd w:id="11"/>
      <w:bookmarkEnd w:id="12"/>
      <w:bookmarkEnd w:id="13"/>
    </w:p>
    <w:p w14:paraId="2282B33C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675E8F1F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реализации кода обучения нейронной модели использовалась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таблице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приведены технические характеристики ноутбука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использовавшегося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выполнения практики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062ED3BC">
      <w:pPr>
        <w:keepNext/>
        <w:wordWrap w:val="0"/>
        <w:spacing w:before="360" w:after="360" w:line="240" w:lineRule="auto"/>
        <w:jc w:val="right"/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</w:pPr>
      <w:r>
        <w:rPr>
          <w:rFonts w:ascii="Times New Roman" w:hAnsi="Times New Roman" w:eastAsia="Calibri"/>
          <w:bCs/>
          <w:sz w:val="28"/>
          <w:szCs w:val="20"/>
        </w:rPr>
        <w:t xml:space="preserve">Таблица </w:t>
      </w:r>
      <w:r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  <w:t>2</w:t>
      </w:r>
      <w:r>
        <w:rPr>
          <w:rFonts w:ascii="Times New Roman" w:hAnsi="Times New Roman" w:eastAsia="Calibri"/>
          <w:bCs/>
          <w:sz w:val="28"/>
          <w:szCs w:val="20"/>
        </w:rPr>
        <w:t xml:space="preserve"> – </w:t>
      </w:r>
      <w:r>
        <w:rPr>
          <w:rFonts w:ascii="Times New Roman" w:hAnsi="Times New Roman" w:eastAsia="Calibri"/>
          <w:bCs/>
          <w:sz w:val="28"/>
          <w:szCs w:val="20"/>
          <w:lang w:val="ru-RU"/>
        </w:rPr>
        <w:t>Характеристика</w:t>
      </w:r>
      <w:r>
        <w:rPr>
          <w:rFonts w:hint="default" w:ascii="Times New Roman" w:hAnsi="Times New Roman" w:eastAsia="Calibri"/>
          <w:bCs/>
          <w:sz w:val="28"/>
          <w:szCs w:val="20"/>
          <w:lang w:val="ru-RU"/>
        </w:rPr>
        <w:t xml:space="preserve"> ноутбука</w:t>
      </w:r>
      <w:r>
        <w:rPr>
          <w:rFonts w:hint="default" w:ascii="Times New Roman" w:hAnsi="Times New Roman" w:eastAsia="Calibri"/>
          <w:bCs/>
          <w:sz w:val="28"/>
          <w:szCs w:val="20"/>
          <w:lang w:val="en-US"/>
        </w:rPr>
        <w:t>.</w:t>
      </w:r>
    </w:p>
    <w:tbl>
      <w:tblPr>
        <w:tblStyle w:val="1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1"/>
        <w:gridCol w:w="4251"/>
      </w:tblGrid>
      <w:tr w14:paraId="4FF88E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057EDB6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Комплектующие</w:t>
            </w:r>
          </w:p>
        </w:tc>
        <w:tc>
          <w:tcPr>
            <w:tcW w:w="4913" w:type="dxa"/>
          </w:tcPr>
          <w:p w14:paraId="3B7EA29C">
            <w:pPr>
              <w:tabs>
                <w:tab w:val="left" w:pos="709"/>
              </w:tabs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Технические характеристики</w:t>
            </w:r>
          </w:p>
        </w:tc>
      </w:tr>
      <w:tr w14:paraId="000FA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F2EDF38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Процессор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 AMD Ryzen 5 7430 Radeon Graphics</w:t>
            </w:r>
          </w:p>
        </w:tc>
        <w:tc>
          <w:tcPr>
            <w:tcW w:w="4913" w:type="dxa"/>
          </w:tcPr>
          <w:p w14:paraId="551B096C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2.30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Гц</w:t>
            </w:r>
          </w:p>
        </w:tc>
      </w:tr>
      <w:tr w14:paraId="0B0D0F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2CB42D8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Оперативная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память</w:t>
            </w:r>
          </w:p>
        </w:tc>
        <w:tc>
          <w:tcPr>
            <w:tcW w:w="4913" w:type="dxa"/>
          </w:tcPr>
          <w:p w14:paraId="3C16DF10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16 Гб</w:t>
            </w:r>
          </w:p>
        </w:tc>
      </w:tr>
      <w:tr w14:paraId="2E5821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5383B3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Видеокарта</w:t>
            </w:r>
          </w:p>
        </w:tc>
        <w:tc>
          <w:tcPr>
            <w:tcW w:w="4913" w:type="dxa"/>
          </w:tcPr>
          <w:p w14:paraId="62242D43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Только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CPU</w:t>
            </w:r>
          </w:p>
        </w:tc>
      </w:tr>
      <w:tr w14:paraId="5FFA2D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01B395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Операционная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система </w:t>
            </w:r>
          </w:p>
        </w:tc>
        <w:tc>
          <w:tcPr>
            <w:tcW w:w="4913" w:type="dxa"/>
          </w:tcPr>
          <w:p w14:paraId="5ADD2074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Windows 10 </w:t>
            </w:r>
          </w:p>
        </w:tc>
      </w:tr>
    </w:tbl>
    <w:p w14:paraId="38D339C6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BD8E0AC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4" w:name="_Toc73211066"/>
      <w:bookmarkStart w:id="15" w:name="_Toc171423730"/>
      <w:bookmarkStart w:id="16" w:name="_Toc11546"/>
      <w:r>
        <w:rPr>
          <w:rFonts w:ascii="Times New Roman" w:hAnsi="Times New Roman" w:eastAsia="Calibri"/>
          <w:b/>
          <w:sz w:val="28"/>
          <w:szCs w:val="20"/>
        </w:rPr>
        <w:t>Анализ теоретических аспектов создания нейросетей</w:t>
      </w:r>
      <w:bookmarkEnd w:id="14"/>
      <w:bookmarkEnd w:id="15"/>
      <w:bookmarkEnd w:id="16"/>
    </w:p>
    <w:p w14:paraId="51FBB1D2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209A2AFA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 работе применяются генеративные модели на основе рекуррентных нейронных сетей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RNN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и архитектуры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Long Short-Term Memory LSTM,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модели типа трансформер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Формула для затвор забывания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m:oMathPara>
        <m:oMath>
          <m:sSub>
            <m:sSubPr>
              <m:ctrlPr>
                <w:rPr>
                  <w:rFonts w:hint="default" w:ascii="Cambria Math" w:hAnsi="Cambria Math" w:eastAsia="Calibr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Calibri"/>
                  <w:sz w:val="28"/>
                </w:rPr>
                <m:t>f</m:t>
              </m:r>
              <m:ctrlPr>
                <w:rPr>
                  <w:rFonts w:ascii="Cambria Math" w:hAnsi="Cambria Math" w:eastAsia="Calibr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Calibri"/>
                  <w:sz w:val="28"/>
                </w:rPr>
                <m:t>t</m:t>
              </m:r>
              <m:ctrlPr>
                <w:rPr>
                  <w:rFonts w:ascii="Cambria Math" w:hAnsi="Cambria Math" w:eastAsia="Calibr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Calibri"/>
              <w:sz w:val="28"/>
            </w:rPr>
            <m:t>=σ(</m:t>
          </m:r>
          <m:sSub>
            <m:sSubPr>
              <m:ctrlPr>
                <w:rPr>
                  <w:rFonts w:hint="default" w:ascii="Cambria Math" w:hAnsi="Cambria Math" w:eastAsia="Calibr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Calibri"/>
                  <w:sz w:val="28"/>
                </w:rPr>
                <m:t>W</m:t>
              </m:r>
              <m:ctrlPr>
                <w:rPr>
                  <w:rFonts w:ascii="Cambria Math" w:hAnsi="Cambria Math" w:eastAsia="Calibr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Calibri"/>
                  <w:sz w:val="28"/>
                </w:rPr>
                <m:t>f</m:t>
              </m:r>
              <m:ctrlPr>
                <w:rPr>
                  <w:rFonts w:ascii="Cambria Math" w:hAnsi="Cambria Math" w:eastAsia="Calibr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Calibri"/>
              <w:sz w:val="28"/>
            </w:rPr>
            <m:t>⋅[</m:t>
          </m:r>
          <m:sSub>
            <m:sSubPr>
              <m:ctrlPr>
                <w:rPr>
                  <w:rFonts w:hint="default" w:ascii="Cambria Math" w:hAnsi="Cambria Math" w:eastAsia="Calibr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Calibri"/>
                  <w:sz w:val="28"/>
                </w:rPr>
                <m:t>h</m:t>
              </m:r>
              <m:ctrlPr>
                <w:rPr>
                  <w:rFonts w:ascii="Cambria Math" w:hAnsi="Cambria Math" w:eastAsia="Calibr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Calibri"/>
                  <w:sz w:val="28"/>
                </w:rPr>
                <m:t>t−1</m:t>
              </m:r>
              <m:ctrlPr>
                <w:rPr>
                  <w:rFonts w:ascii="Cambria Math" w:hAnsi="Cambria Math" w:eastAsia="Calibr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Calibri"/>
              <w:sz w:val="28"/>
            </w:rPr>
            <m:t>,</m:t>
          </m:r>
          <m:sSub>
            <m:sSubPr>
              <m:ctrlPr>
                <w:rPr>
                  <w:rFonts w:hint="default" w:ascii="Cambria Math" w:hAnsi="Cambria Math" w:eastAsia="Calibr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Calibri"/>
                  <w:sz w:val="28"/>
                </w:rPr>
                <m:t>x</m:t>
              </m:r>
              <m:ctrlPr>
                <w:rPr>
                  <w:rFonts w:ascii="Cambria Math" w:hAnsi="Cambria Math" w:eastAsia="Calibr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Calibri"/>
                  <w:sz w:val="28"/>
                </w:rPr>
                <m:t>t</m:t>
              </m:r>
              <m:ctrlPr>
                <w:rPr>
                  <w:rFonts w:ascii="Cambria Math" w:hAnsi="Cambria Math" w:eastAsia="Calibr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Calibri"/>
              <w:sz w:val="28"/>
            </w:rPr>
            <m:t>]+</m:t>
          </m:r>
          <m:sSub>
            <m:sSubPr>
              <m:ctrlPr>
                <w:rPr>
                  <w:rFonts w:hint="default" w:ascii="Cambria Math" w:hAnsi="Cambria Math" w:eastAsia="Calibr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Calibri"/>
                  <w:sz w:val="28"/>
                </w:rPr>
                <m:t>b</m:t>
              </m:r>
              <m:ctrlPr>
                <w:rPr>
                  <w:rFonts w:ascii="Cambria Math" w:hAnsi="Cambria Math" w:eastAsia="Calibr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Calibri"/>
                  <w:sz w:val="28"/>
                </w:rPr>
                <m:t>f</m:t>
              </m:r>
              <m:ctrlPr>
                <w:rPr>
                  <w:rFonts w:ascii="Cambria Math" w:hAnsi="Cambria Math" w:eastAsia="Calibr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Calibri"/>
              <w:sz w:val="28"/>
            </w:rPr>
            <m:t>)</m:t>
          </m:r>
        </m:oMath>
      </m:oMathPara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324F1802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для затвора ввода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4372931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0A24ABF4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кандитат на обновление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6322EAB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2E49BE55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обновления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EE02F03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1E3C956C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затвора вывода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DC71126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50B32D5F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скрытого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66F0B70A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725814E4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en-US" w:eastAsia="zh-CN"/>
            </w:rPr>
            <m:t xml:space="preserve">где </m:t>
          </m:r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ru-RU" w:eastAsia="en-US"/>
            </w:rPr>
            <m:t>(σ)—сигмоида,(⊙)—поэлементноепроизведение.</m:t>
          </m:r>
        </m:oMath>
      </m:oMathPara>
    </w:p>
    <w:p w14:paraId="67D6F59D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Современные генеративные модели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(GPT)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основаны на архитектуре трансформера и механизме внимания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29F1A944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m:oMath>
        <m:r>
          <m:rPr>
            <m:sty m:val="p"/>
          </m:rPr>
          <w:rPr>
            <w:rFonts w:hint="default" w:ascii="Cambria Math" w:hAnsi="Cambria Math" w:eastAsia="Calibri" w:cs="Times New Roman"/>
            <w:sz w:val="28"/>
            <w:szCs w:val="28"/>
            <w:lang w:val="ru-RU" w:eastAsia="en-US"/>
          </w:rPr>
          <m:t>Attention(Q,K,V)=\softmax</m:t>
        </m:r>
        <m:d>
          <m:dP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dPr>
          <m:e>
            <m:f>
              <m:fPr>
                <m:ctrl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Q</m:t>
                </m:r>
                <m:sSup>
                  <m:sSup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K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T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p>
                </m:sSup>
                <m:ctrl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radPr>
                  <m:deg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deg>
                  <m:e>
                    <m:sSub>
                      <m:sSubPr>
                        <m:ctrl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</m:rad>
                <m:ctrl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</m:ctrlPr>
              </m:den>
            </m:f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e>
        </m:d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; </w:t>
      </w:r>
    </w:p>
    <w:p w14:paraId="2894B671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Трансформеры имеют квадратичную сложность по длине последовательности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что является минусом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но значительно превосходит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по качеству генерации длинных текстов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.</w:t>
      </w:r>
    </w:p>
    <w:p w14:paraId="62A587A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Таблица 3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Сравнение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LSTM и трансформерных моделей (GPT) для генерации текста.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42E0B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248D4CA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Характеристика</w:t>
            </w:r>
          </w:p>
        </w:tc>
        <w:tc>
          <w:tcPr>
            <w:tcW w:w="2841" w:type="dxa"/>
          </w:tcPr>
          <w:p w14:paraId="243D007A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LSTM</w:t>
            </w:r>
          </w:p>
        </w:tc>
        <w:tc>
          <w:tcPr>
            <w:tcW w:w="2841" w:type="dxa"/>
          </w:tcPr>
          <w:p w14:paraId="0A68CB49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Трансформер</w:t>
            </w:r>
          </w:p>
        </w:tc>
      </w:tr>
      <w:tr w14:paraId="6688E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8C329A7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Обработка зависимостей</w:t>
            </w:r>
          </w:p>
        </w:tc>
        <w:tc>
          <w:tcPr>
            <w:tcW w:w="2841" w:type="dxa"/>
          </w:tcPr>
          <w:p w14:paraId="4C101A1E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Последовательная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ограниченная длиной</w:t>
            </w:r>
          </w:p>
        </w:tc>
        <w:tc>
          <w:tcPr>
            <w:tcW w:w="2841" w:type="dxa"/>
          </w:tcPr>
          <w:p w14:paraId="07B45BC0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Параллельная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захватывает длинные зависимости</w:t>
            </w:r>
          </w:p>
        </w:tc>
      </w:tr>
      <w:tr w14:paraId="186B7061">
        <w:tblPrEx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8601A2F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Сложность по памяти</w:t>
            </w:r>
          </w:p>
        </w:tc>
        <w:tc>
          <w:tcPr>
            <w:tcW w:w="2841" w:type="dxa"/>
          </w:tcPr>
          <w:p w14:paraId="689359CD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Линейная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O(n)</w:t>
            </w:r>
          </w:p>
        </w:tc>
        <w:tc>
          <w:tcPr>
            <w:tcW w:w="2841" w:type="dxa"/>
          </w:tcPr>
          <w:p w14:paraId="1D2597E8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Квадратичная </w:t>
            </w:r>
            <m:oMath>
              <m:r>
                <m:rPr/>
                <w:rPr>
                  <w:rFonts w:hint="default" w:ascii="Cambria Math" w:hAnsi="Cambria Math" w:eastAsia="Calibri"/>
                  <w:sz w:val="28"/>
                </w:rPr>
                <m:t>O(</m:t>
              </m:r>
              <m:sSup>
                <m:sSupPr>
                  <m:ctrlPr>
                    <w:rPr>
                      <w:rFonts w:hint="default" w:ascii="Cambria Math" w:hAnsi="Cambria Math" w:eastAsia="Calibri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Calibri"/>
                      <w:sz w:val="28"/>
                    </w:rPr>
                    <m:t>n</m:t>
                  </m:r>
                  <m:ctrlPr>
                    <w:rPr>
                      <w:rFonts w:ascii="Cambria Math" w:hAnsi="Cambria Math" w:eastAsia="Calibri"/>
                      <w:sz w:val="2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Calibri"/>
                      <w:sz w:val="28"/>
                    </w:rPr>
                    <m:t>2</m:t>
                  </m:r>
                  <m:ctrlPr>
                    <w:rPr>
                      <w:rFonts w:ascii="Cambria Math" w:hAnsi="Cambria Math" w:eastAsia="Calibri"/>
                      <w:sz w:val="28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Calibri"/>
                  <w:sz w:val="28"/>
                </w:rPr>
                <m:t>)</m:t>
              </m:r>
            </m:oMath>
          </w:p>
        </w:tc>
      </w:tr>
      <w:tr w14:paraId="65419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DF253C7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Качество генерации на коротких текстах</w:t>
            </w:r>
          </w:p>
        </w:tc>
        <w:tc>
          <w:tcPr>
            <w:tcW w:w="2841" w:type="dxa"/>
          </w:tcPr>
          <w:p w14:paraId="5AE1F361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Хорошее </w:t>
            </w:r>
          </w:p>
        </w:tc>
        <w:tc>
          <w:tcPr>
            <w:tcW w:w="2841" w:type="dxa"/>
          </w:tcPr>
          <w:p w14:paraId="57A3998C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Отличное</w:t>
            </w:r>
          </w:p>
        </w:tc>
      </w:tr>
      <w:tr w14:paraId="03D36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C4237C2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Требования к вычислениям</w:t>
            </w:r>
          </w:p>
        </w:tc>
        <w:tc>
          <w:tcPr>
            <w:tcW w:w="2841" w:type="dxa"/>
          </w:tcPr>
          <w:p w14:paraId="188B4BA6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Низкие не нужна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GPU</w:t>
            </w:r>
          </w:p>
        </w:tc>
        <w:tc>
          <w:tcPr>
            <w:tcW w:w="2841" w:type="dxa"/>
          </w:tcPr>
          <w:p w14:paraId="3B8EF8B6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Высокие нужна видеокарта</w:t>
            </w:r>
          </w:p>
        </w:tc>
      </w:tr>
      <w:tr w14:paraId="0BA89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</w:tcPr>
          <w:p w14:paraId="609413F3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Применение в работе</w:t>
            </w:r>
          </w:p>
        </w:tc>
        <w:tc>
          <w:tcPr>
            <w:tcW w:w="2841" w:type="dxa"/>
          </w:tcPr>
          <w:p w14:paraId="242BA714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Базовая модель (демонстрация)</w:t>
            </w:r>
          </w:p>
        </w:tc>
        <w:tc>
          <w:tcPr>
            <w:tcW w:w="2841" w:type="dxa"/>
          </w:tcPr>
          <w:p w14:paraId="185661DB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Основная модель для генерации</w:t>
            </w:r>
          </w:p>
        </w:tc>
      </w:tr>
    </w:tbl>
    <w:p w14:paraId="5124CFB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DED37A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773FC14">
      <w:pPr>
        <w:spacing w:after="0" w:line="360" w:lineRule="auto"/>
        <w:ind w:firstLine="708" w:firstLineChars="0"/>
        <w:jc w:val="both"/>
        <w:rPr>
          <w:rFonts w:hint="default" w:hAnsi="Cambria Math" w:eastAsia="Calibri"/>
          <w:i w:val="0"/>
          <w:sz w:val="28"/>
          <w:lang w:val="en-US" w:eastAsia="en-US"/>
        </w:rPr>
      </w:pPr>
    </w:p>
    <w:p w14:paraId="333A6DAF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CDF054E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150FD9A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973B55D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7" w:name="_Toc171423731"/>
      <w:bookmarkStart w:id="18" w:name="_Toc73211067"/>
      <w:bookmarkStart w:id="19" w:name="_Toc31373"/>
      <w:r>
        <w:rPr>
          <w:rFonts w:ascii="Times New Roman" w:hAnsi="Times New Roman" w:eastAsia="Calibri"/>
          <w:b/>
          <w:sz w:val="28"/>
          <w:szCs w:val="20"/>
        </w:rPr>
        <w:t>Математическая модель нейронной сети</w:t>
      </w:r>
      <w:bookmarkEnd w:id="17"/>
      <w:bookmarkEnd w:id="18"/>
      <w:bookmarkEnd w:id="19"/>
    </w:p>
    <w:p w14:paraId="56163F8E">
      <w:pPr>
        <w:spacing w:after="0" w:line="240" w:lineRule="auto"/>
        <w:rPr>
          <w:rFonts w:ascii="Times New Roman" w:hAnsi="Times New Roman" w:eastAsia="Calibri"/>
          <w:sz w:val="20"/>
          <w:szCs w:val="20"/>
        </w:rPr>
      </w:pPr>
    </w:p>
    <w:p w14:paraId="41AF8D86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Задача генерации текста формулируется как авторегрессионное моделирование последовательности слов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  <m:t>1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Calibri" w:cs="Times New Roman"/>
            <w:sz w:val="28"/>
            <w:szCs w:val="28"/>
            <w:lang w:val="ru-RU" w:eastAsia="en-US"/>
          </w:rPr>
          <m:t>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  <m:t>2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Calibri" w:cs="Times New Roman"/>
            <w:sz w:val="28"/>
            <w:szCs w:val="28"/>
            <w:lang w:val="ru-RU" w:eastAsia="en-US"/>
          </w:rPr>
          <m:t>,...,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  <m:t>n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по формуле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: </w:t>
      </w:r>
    </w:p>
    <w:p w14:paraId="7F152D0A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plcHide m:val="1"/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mPr>
            <m:mr>
              <m:e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p(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1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2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,…,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n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)=</m:t>
                </m:r>
                <m:nary>
                  <m:naryPr>
                    <m:chr m:val="∏"/>
                    <m:limLoc m:val="undOvr"/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t=1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n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p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p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t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∣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&lt;t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)</m:t>
                </m:r>
                <m:ctrl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</m:ctrlPr>
              </m:e>
            </m:mr>
          </m:m>
        </m:oMath>
      </m:oMathPara>
    </w:p>
    <w:p w14:paraId="7CE7E016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Обучение модели заключается в максимизации логарифма правдоподобия на обучающем корпусе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509707BF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plcHide m:val="1"/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mPr>
            <m:mr>
              <m:e>
                <m:r>
                  <m:rPr>
                    <m:sty m:val="p"/>
                    <m:scr m:val="script"/>
                  </m:rPr>
                  <w:rPr>
                    <w:rFonts w:hint="default" w:ascii="Cambria Math" w:hAnsi="Cambria Math" w:eastAsia="MS Mincho" w:cs="MS Mincho"/>
                    <w:sz w:val="28"/>
                    <w:szCs w:val="28"/>
                    <w:lang w:val="ru-RU" w:eastAsia="en-US"/>
                  </w:rPr>
                  <m:t>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=−</m:t>
                </m:r>
                <m:nary>
                  <m:naryPr>
                    <m:chr m:val="∑"/>
                    <m:limLoc m:val="undOvr"/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t=1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n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  <m:t>log</m:t>
                        </m:r>
                        <m:ctrl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  <m:t>p</m:t>
                        </m:r>
                        <m:ctrl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t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∣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&lt;t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;θ)</m:t>
                </m:r>
                <m:ctrl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</m:ctrlPr>
              </m:e>
            </m:mr>
          </m:m>
        </m:oMath>
      </m:oMathPara>
    </w:p>
    <w:p w14:paraId="7C1B8A64">
      <w:pPr>
        <w:spacing w:after="0" w:line="360" w:lineRule="auto"/>
        <w:ind w:firstLine="709"/>
        <w:jc w:val="both"/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Где </w:t>
      </w:r>
      <m:oMath>
        <m:r>
          <m:rPr>
            <m:sty m:val="p"/>
          </m:rPr>
          <w:rPr>
            <w:rFonts w:hint="default" w:ascii="Cambria Math" w:hAnsi="Cambria Math" w:eastAsia="Calibri" w:cs="Times New Roman"/>
            <w:sz w:val="28"/>
            <w:szCs w:val="28"/>
            <w:lang w:val="ru-RU" w:eastAsia="en-US"/>
          </w:rPr>
          <m:t>θ</m:t>
        </m:r>
      </m:oMath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- параметры модели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.</w:t>
      </w:r>
    </w:p>
    <w:p w14:paraId="499FA7C3">
      <w:pPr>
        <w:spacing w:after="0" w:line="360" w:lineRule="auto"/>
        <w:ind w:firstLine="709"/>
        <w:jc w:val="both"/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Для LSTM-модели вероятность следующего токена вычисляется через softmax на выходе последнего слоя:</w:t>
      </w:r>
    </w:p>
    <w:p w14:paraId="1BDDEB2E">
      <w:pPr>
        <w:spacing w:after="0" w:line="360" w:lineRule="auto"/>
        <w:ind w:firstLine="709"/>
        <w:jc w:val="both"/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ru-RU" w:eastAsia="en-US"/>
            </w:rPr>
            <m:t>p(</m:t>
          </m:r>
          <m:sSub>
            <m:sSubP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w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t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ru-RU" w:eastAsia="en-US"/>
            </w:rPr>
            <m:t>∣</m:t>
          </m:r>
          <m:sSub>
            <m:sSubP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w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&lt;t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ru-RU" w:eastAsia="en-US"/>
            </w:rPr>
            <m:t>)=softmax(</m:t>
          </m:r>
          <m:sSub>
            <m:sSubP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W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o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h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t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ru-RU" w:eastAsia="en-US"/>
            </w:rPr>
            <m:t>+</m:t>
          </m:r>
          <m:sSub>
            <m:sSubP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b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o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ru-RU" w:eastAsia="en-US"/>
            </w:rPr>
            <m:t>)</m:t>
          </m:r>
        </m:oMath>
      </m:oMathPara>
    </w:p>
    <w:p w14:paraId="34B349C6">
      <w:pPr>
        <w:spacing w:after="0" w:line="360" w:lineRule="auto"/>
        <w:ind w:firstLine="709"/>
        <w:jc w:val="both"/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ruGPT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используется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softmax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аналогичный предоставленному выше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 работе применена предобученная модель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ruGPT-3 Small,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дообученная на корпусе русскоязычных твитов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 модели 12 слоёв трансформера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768 размер скрытого состояния и 125 миллионов параметров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.</w:t>
      </w:r>
    </w:p>
    <w:p w14:paraId="749D77C9">
      <w:pPr>
        <w:spacing w:after="0" w:line="240" w:lineRule="auto"/>
      </w:pPr>
    </w:p>
    <w:p w14:paraId="1BA00762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20" w:name="_Toc41916374"/>
      <w:bookmarkStart w:id="21" w:name="_Toc42166423"/>
      <w:bookmarkStart w:id="22" w:name="_Toc171423732"/>
      <w:bookmarkStart w:id="23" w:name="_Toc73211068"/>
      <w:bookmarkStart w:id="24" w:name="_Toc21885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20"/>
      <w:bookmarkEnd w:id="21"/>
      <w:bookmarkEnd w:id="22"/>
      <w:bookmarkEnd w:id="23"/>
      <w:bookmarkEnd w:id="24"/>
    </w:p>
    <w:p w14:paraId="0A5E7949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0FDAA1D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Рассмотрены основы рекуррентных сетей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трансформерных моделей на базе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GPT,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предобучение модели выполнялось для генерации постов на русском языке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проведено сравнение с классической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сформулирована постановка задачи как авторегрессионное моделирование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2B454FF">
      <w:pPr>
        <w:wordWrap w:val="0"/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Таблица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первому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3"/>
        <w:tblW w:w="9699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90"/>
        <w:gridCol w:w="5309"/>
      </w:tblGrid>
      <w:tr w14:paraId="4CC908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4390" w:type="dxa"/>
            <w:shd w:val="clear" w:color="auto" w:fill="D9D9D9"/>
            <w:vAlign w:val="top"/>
          </w:tcPr>
          <w:p w14:paraId="0BEA615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Выводы</w:t>
            </w:r>
          </w:p>
        </w:tc>
        <w:tc>
          <w:tcPr>
            <w:tcW w:w="5309" w:type="dxa"/>
            <w:shd w:val="clear" w:color="auto" w:fill="D9D9D9"/>
            <w:vAlign w:val="top"/>
          </w:tcPr>
          <w:p w14:paraId="268AE1C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Сформированные компетенции</w:t>
            </w:r>
          </w:p>
        </w:tc>
      </w:tr>
      <w:tr w14:paraId="70E697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atLeast"/>
        </w:trPr>
        <w:tc>
          <w:tcPr>
            <w:tcW w:w="4390" w:type="dxa"/>
            <w:vAlign w:val="top"/>
          </w:tcPr>
          <w:p w14:paraId="6D1347D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Проведен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анализ теоритических основ генеративных моделей</w:t>
            </w:r>
          </w:p>
        </w:tc>
        <w:tc>
          <w:tcPr>
            <w:tcW w:w="5309" w:type="dxa"/>
            <w:vMerge w:val="restart"/>
            <w:vAlign w:val="top"/>
          </w:tcPr>
          <w:p w14:paraId="1DA9FDE5">
            <w:pPr>
              <w:spacing w:after="0" w:line="240" w:lineRule="auto"/>
              <w:jc w:val="both"/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>ПК-1. Способность разработки прикладного программного обеспечения, автоматизации работы с базами данных и документами, программирования бизнес-логики</w:t>
            </w:r>
          </w:p>
          <w:p w14:paraId="1ECADBF8">
            <w:pPr>
              <w:spacing w:after="0" w:line="240" w:lineRule="auto"/>
              <w:jc w:val="both"/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>приложений, интеграции разнородных данных</w:t>
            </w:r>
          </w:p>
          <w:p w14:paraId="73CDD24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14:paraId="04203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4390" w:type="dxa"/>
            <w:vAlign w:val="top"/>
          </w:tcPr>
          <w:p w14:paraId="06466075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Обоснован выбор трансформерной архитек</w:t>
            </w:r>
            <w:bookmarkStart w:id="70" w:name="_GoBack"/>
            <w:bookmarkEnd w:id="70"/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туры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ruGPT</w:t>
            </w:r>
          </w:p>
        </w:tc>
        <w:tc>
          <w:tcPr>
            <w:tcW w:w="5309" w:type="dxa"/>
            <w:vMerge w:val="continue"/>
            <w:vAlign w:val="top"/>
          </w:tcPr>
          <w:p w14:paraId="5B6E0CF3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</w:p>
        </w:tc>
      </w:tr>
      <w:tr w14:paraId="551EF6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6" w:hRule="atLeast"/>
        </w:trPr>
        <w:tc>
          <w:tcPr>
            <w:tcW w:w="4390" w:type="dxa"/>
            <w:vAlign w:val="top"/>
          </w:tcPr>
          <w:p w14:paraId="79F15E2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Сформулирована математическая модель задачи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</w:p>
        </w:tc>
        <w:tc>
          <w:tcPr>
            <w:tcW w:w="5309" w:type="dxa"/>
            <w:vAlign w:val="top"/>
          </w:tcPr>
          <w:p w14:paraId="55AF0BF9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>ПК-7. Способностью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</w:p>
        </w:tc>
      </w:tr>
    </w:tbl>
    <w:p w14:paraId="04B9083D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</w:p>
    <w:p w14:paraId="0965DAB0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  <w:r>
        <w:rPr>
          <w:rFonts w:ascii="Times New Roman" w:hAnsi="Times New Roman"/>
          <w:sz w:val="20"/>
          <w:szCs w:val="20"/>
          <w:lang w:eastAsia="en-US"/>
        </w:rPr>
        <w:br w:type="page" w:clear="all"/>
      </w:r>
    </w:p>
    <w:p w14:paraId="3B63F3BE">
      <w:pPr>
        <w:pStyle w:val="2"/>
        <w:numPr>
          <w:ilvl w:val="0"/>
          <w:numId w:val="4"/>
        </w:numPr>
        <w:bidi w:val="0"/>
        <w:ind w:leftChars="0"/>
        <w:rPr>
          <w:rFonts w:eastAsia="Calibri"/>
          <w:b/>
          <w:bCs w:val="0"/>
          <w:caps/>
          <w:sz w:val="28"/>
          <w:szCs w:val="28"/>
          <w:lang w:eastAsia="en-US"/>
        </w:rPr>
      </w:pPr>
      <w:bookmarkStart w:id="25" w:name="_Toc73211069"/>
      <w:bookmarkStart w:id="26" w:name="_Toc171423733"/>
      <w:bookmarkStart w:id="27" w:name="_Toc30276"/>
      <w:r>
        <w:rPr>
          <w:rFonts w:eastAsia="Calibri"/>
          <w:b/>
          <w:bCs w:val="0"/>
          <w:caps/>
          <w:sz w:val="28"/>
          <w:szCs w:val="20"/>
        </w:rPr>
        <w:t>РАЗРАБОТКА НЕЙРОННОЙ СЕТИ</w:t>
      </w:r>
      <w:bookmarkEnd w:id="25"/>
      <w:bookmarkEnd w:id="26"/>
      <w:bookmarkEnd w:id="27"/>
    </w:p>
    <w:p w14:paraId="7AC3D2BA">
      <w:pPr>
        <w:rPr>
          <w:lang w:eastAsia="en-US"/>
        </w:rPr>
      </w:pPr>
    </w:p>
    <w:p w14:paraId="03C329FA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28" w:name="_Toc73211070"/>
      <w:bookmarkStart w:id="29" w:name="_Toc171423734"/>
      <w:bookmarkStart w:id="30" w:name="_Toc19673"/>
      <w:r>
        <w:rPr>
          <w:rFonts w:ascii="Times New Roman" w:hAnsi="Times New Roman"/>
          <w:b/>
          <w:sz w:val="28"/>
          <w:szCs w:val="20"/>
        </w:rPr>
        <w:t>Создание нейронов</w:t>
      </w:r>
      <w:bookmarkEnd w:id="28"/>
      <w:bookmarkEnd w:id="29"/>
      <w:bookmarkEnd w:id="30"/>
    </w:p>
    <w:p w14:paraId="3EB074C4"/>
    <w:p w14:paraId="4708AF4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Модель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использует линейные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ReLU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ячейки-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рассмотрим далее подробно линейный тип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2809F627">
      <w:pPr>
        <w:spacing w:after="0" w:line="360" w:lineRule="auto"/>
        <w:ind w:firstLine="709"/>
        <w:jc w:val="both"/>
        <w:rPr>
          <w:rFonts w:hint="default" w:hAnsi="Cambria Math" w:eastAsia="Calibri" w:cstheme="minorBidi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Формула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линейной активации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r>
          <m:rPr/>
          <w:rPr>
            <w:rFonts w:hint="default" w:ascii="Cambria Math" w:hAnsi="Cambria Math" w:eastAsia="Calibri" w:cstheme="minorBidi"/>
            <w:sz w:val="28"/>
            <w:szCs w:val="28"/>
            <w:lang w:val="en-US" w:eastAsia="en-US" w:bidi="ar-SA"/>
          </w:rPr>
          <m:t>z = w ∗ x + b</m:t>
        </m:r>
      </m:oMath>
      <w:r>
        <w:rPr>
          <w:rFonts w:hint="default" w:hAnsi="Cambria Math" w:eastAsia="Calibri" w:cstheme="minorBidi"/>
          <w:i w:val="0"/>
          <w:sz w:val="28"/>
          <w:szCs w:val="28"/>
          <w:lang w:val="en-US" w:eastAsia="en-US" w:bidi="ar-SA"/>
        </w:rPr>
        <w:t>;</w:t>
      </w:r>
    </w:p>
    <w:p w14:paraId="3B55A37C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Далее рассматривается пример линейного нейрона в виде кода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Python:</w:t>
      </w:r>
    </w:p>
    <w:p w14:paraId="575FB23B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linear_neuron(x, w=0.68, b=0.12):</w:t>
      </w:r>
    </w:p>
    <w:p w14:paraId="7034D63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5E8FCD2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Имитация одного нейрона из линейной мета-модели</w:t>
      </w:r>
    </w:p>
    <w:p w14:paraId="65FFAA2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w = 0.68 — вес Bi-LSTM + Attention (самый большой вклад)</w:t>
      </w:r>
    </w:p>
    <w:p w14:paraId="1727C7A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b = 0.12 — свободный член (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биас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)</w:t>
      </w:r>
    </w:p>
    <w:p w14:paraId="46BF3182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2D1168F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w * x + b</w:t>
      </w:r>
    </w:p>
    <w:p w14:paraId="24EBB43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EC1B8C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Проверка на реальных данных 2025 года</w:t>
      </w:r>
    </w:p>
    <w:p w14:paraId="6B9707D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print(linear_neuron(x=100))   # → 68.12 )</w:t>
      </w:r>
    </w:p>
    <w:p w14:paraId="7EC8F8A4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.12</w:t>
      </w:r>
    </w:p>
    <w:p w14:paraId="0108B70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28A84ACB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 приведен далее в ввиде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z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j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(l)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</m:sSubSup>
        <m:r>
          <m:rPr/>
          <w:rPr>
            <w:rFonts w:hint="default" w:ascii="Cambria Math" w:hAnsi="Cambria Math" w:eastAsia="Consolas"/>
            <w:sz w:val="28"/>
            <w:szCs w:val="28"/>
          </w:rPr>
          <m:t>=</m:t>
        </m:r>
        <m:nary>
          <m:naryPr>
            <m:chr m:val="∑"/>
            <m:limLoc m:val="undOvr"/>
            <m:supHide m:val="1"/>
            <m:ctrlPr>
              <w:rPr>
                <w:rFonts w:hint="default" w:ascii="Cambria Math" w:hAnsi="Cambria Math" w:eastAsia="Consolas"/>
                <w:i/>
                <w:sz w:val="28"/>
                <w:szCs w:val="28"/>
              </w:rPr>
            </m:ctrlPr>
          </m:naryPr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  <m:e>
            <m:sSubSup>
              <m:sSubSup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Sup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w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ji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  <m:sup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(l)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p>
            </m:sSubSup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nary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(l−1)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bSup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j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(l)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bSup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ниже приведен пример нейрона с нелинейной функцией активации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>:</w:t>
      </w:r>
      <w:r>
        <w:rPr>
          <w:rFonts w:hint="default" w:hAnsi="Cambria Math" w:eastAsia="Consolas"/>
          <w:i w:val="0"/>
          <w:sz w:val="28"/>
          <w:szCs w:val="28"/>
        </w:rPr>
        <w:br w:type="textWrapping"/>
      </w:r>
    </w:p>
    <w:p w14:paraId="28E728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tensorflow as tf</w:t>
      </w:r>
    </w:p>
    <w:p w14:paraId="473E954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42DAE56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relu_neuron(x):</w:t>
      </w:r>
    </w:p>
    <w:p w14:paraId="1AB3E7A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tf.maximum(0.0, x)</w:t>
      </w:r>
    </w:p>
    <w:p w14:paraId="1752479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2C6DFA6D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Визуализация</w:t>
      </w:r>
    </w:p>
    <w:p w14:paraId="35295305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numpy as np</w:t>
      </w:r>
    </w:p>
    <w:p w14:paraId="59362FC4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matplotlib.pyplot as plt</w:t>
      </w:r>
    </w:p>
    <w:p w14:paraId="51128AB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 = np.linspace(-10, 10, 100)</w:t>
      </w:r>
    </w:p>
    <w:p w14:paraId="65EA23E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plt.plot(x, relu_neuron(x), label='ReLU(x) = max(0, x)', linewidth=3, color='#ff7f0e')</w:t>
      </w:r>
    </w:p>
    <w:p w14:paraId="534823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plt.grid(alpha=0.3); plt.title('Функция активации ReLU'); plt.show()</w:t>
      </w:r>
      <w:r>
        <w:rPr>
          <w:rFonts w:hint="default" w:hAnsi="Cambria Math" w:eastAsia="Consolas"/>
          <w:i w:val="0"/>
          <w:sz w:val="28"/>
          <w:szCs w:val="28"/>
        </w:rPr>
        <w:br w:type="textWrapping"/>
      </w:r>
    </w:p>
    <w:p w14:paraId="6CAD143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2F9B27A3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Формулы описывающие математическую модель  для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нейрона ячейки памяти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LSTM:</w:t>
      </w:r>
    </w:p>
    <w:p w14:paraId="6163B0A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359D8B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 - вентил забвения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br w:type="textWrapping"/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вентиль входа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6528750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7B7F2EA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  <m:t>C</m:t>
                </m:r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func>
          <m:func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 кандидат на обновление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256087B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26A4FCB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  <m:t>C</m:t>
                </m:r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обновление состояния ячейки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3BF4CCB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5E39C88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вентиль выхода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1162082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eastAsia="en-US"/>
        </w:rPr>
        <w:br w:type="textWrapping"/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func>
          <m:func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скрытое состояние на выходе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60E3574E">
      <w:pPr>
        <w:spacing w:after="0" w:line="360" w:lineRule="auto"/>
        <w:ind w:firstLine="709"/>
        <w:jc w:val="both"/>
        <w:rPr>
          <w:rFonts w:hint="default" w:hAnsi="Cambria Math" w:eastAsia="Consolas" w:cs="Times New Roman"/>
          <w:i w:val="0"/>
          <w:sz w:val="28"/>
          <w:szCs w:val="28"/>
          <w:lang w:val="ru-RU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Переменные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: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сигмойдная функция активации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м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поэлементное произведение Адамара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скрытое состояние с предыдущего шага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входной вектор на текущем шаге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состояние ячейки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в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Bi-LSTM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прямое направление выполняется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>одновременно с обратным направлением</w:t>
      </w:r>
      <w:r>
        <w:rPr>
          <w:rFonts w:hint="default" w:hAnsi="Cambria Math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>следовательно скрытое состояние вычисляется следующим образом</w:t>
      </w:r>
      <w:r>
        <w:rPr>
          <w:rFonts w:hint="default" w:hAnsi="Cambria Math" w:eastAsia="Consolas" w:cs="Times New Roman"/>
          <w:i w:val="0"/>
          <w:sz w:val="28"/>
          <w:szCs w:val="28"/>
          <w:lang w:val="en-US"/>
        </w:rPr>
        <w:t>: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 xml:space="preserve"> </w:t>
      </w:r>
    </w:p>
    <w:p w14:paraId="2CCD21AC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=[</m:t>
        </m:r>
        <m:acc>
          <m:accPr>
            <m:chr m:val="⃗"/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h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acc>
        <m:r>
          <m:rPr/>
          <w:rPr>
            <w:rFonts w:hint="default" w:ascii="Cambria Math" w:hAnsi="Cambria Math" w:eastAsia="Consolas"/>
            <w:sz w:val="28"/>
            <w:szCs w:val="28"/>
          </w:rPr>
          <m:t>⊕</m:t>
        </m:r>
        <m:acc>
          <m:accPr>
            <m:chr m:val="⃖"/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h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acc>
        <m:r>
          <m:rPr/>
          <w:rPr>
            <w:rFonts w:hint="default" w:ascii="Cambria Math" w:hAnsi="Cambria Math" w:eastAsia="Consolas"/>
            <w:sz w:val="28"/>
            <w:szCs w:val="28"/>
          </w:rPr>
          <m:t>]∈</m:t>
        </m:r>
        <m:sSup>
          <m:s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hint="default" w:ascii="Cambria Math" w:hAnsi="Cambria Math" w:eastAsia="MS Mincho"/>
                <w:sz w:val="28"/>
                <w:szCs w:val="28"/>
              </w:rPr>
              <m:t>ℝ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128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p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>.</w:t>
      </w:r>
    </w:p>
    <w:p w14:paraId="4664538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hAnsi="Cambria Math" w:eastAsia="Consolas"/>
          <w:i w:val="0"/>
          <w:sz w:val="28"/>
          <w:szCs w:val="28"/>
          <w:lang w:val="en-US"/>
        </w:rPr>
      </w:pPr>
    </w:p>
    <w:p w14:paraId="39306D6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from tensorflow.keras.layers import Bidirectional, LSTM</w:t>
      </w:r>
    </w:p>
    <w:p w14:paraId="7D42DEC8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5413D43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Один слой содержит 64 LSTM-ячейки в прямом + 64 в обратном направлении</w:t>
      </w:r>
    </w:p>
    <w:p w14:paraId="6D557F0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 = Bidirectional(LSTM(64, return_sequences=True, dropout=0.2))(inputs)</w:t>
      </w:r>
    </w:p>
    <w:p w14:paraId="7495976B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222F39C4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фокусировки на месяцах с большим числом наймов кадров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используется модель аддитивного нейрона внимания Бахданова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показаны формулы для математического описания нейрона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e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t,i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v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⊤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</m:sSubSup>
        <m:r>
          <m:rPr>
            <m:sty m:val="p"/>
          </m:rPr>
          <w:rPr>
            <w:rFonts w:hint="default" w:ascii="Cambria Math" w:hAnsi="Cambria Math" w:eastAsia="Consolas"/>
            <w:sz w:val="28"/>
            <w:szCs w:val="28"/>
          </w:rPr>
          <m:t>tanh</m:t>
        </m:r>
        <m:r>
          <m:rPr/>
          <w:rPr>
            <w:rFonts w:hint="default" w:ascii="Cambria Math" w:hAnsi="Cambria Math" w:eastAsia="Consolas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W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U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b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)</m:t>
        </m:r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в таблице ниже продемонстрированы описания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для переменных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формулы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>:</w:t>
      </w:r>
    </w:p>
    <w:p w14:paraId="5A91ED4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hAnsi="Cambria Math" w:eastAsia="Consolas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Таблица 7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Описание переменных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</w:p>
    <w:p w14:paraId="34E76F6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hAnsi="Cambria Math" w:eastAsia="Consolas"/>
          <w:i w:val="0"/>
          <w:sz w:val="28"/>
          <w:szCs w:val="28"/>
          <w:lang w:val="ru-RU"/>
        </w:rPr>
      </w:pP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1F2BC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6CBFF47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Обозначение</w:t>
            </w:r>
          </w:p>
        </w:tc>
        <w:tc>
          <w:tcPr>
            <w:tcW w:w="2841" w:type="dxa"/>
          </w:tcPr>
          <w:p w14:paraId="60664E7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Размерность</w:t>
            </w:r>
          </w:p>
        </w:tc>
        <w:tc>
          <w:tcPr>
            <w:tcW w:w="2841" w:type="dxa"/>
          </w:tcPr>
          <w:p w14:paraId="21419F89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Физический смысл</w:t>
            </w:r>
          </w:p>
        </w:tc>
      </w:tr>
      <w:tr w14:paraId="2E295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4A454A1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e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i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082E709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скаляр</w:t>
            </w:r>
          </w:p>
        </w:tc>
        <w:tc>
          <w:tcPr>
            <w:tcW w:w="2841" w:type="dxa"/>
          </w:tcPr>
          <w:p w14:paraId="1657DC5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Скалярная энергия внимания</w:t>
            </w:r>
          </w:p>
        </w:tc>
      </w:tr>
      <w:tr w14:paraId="75353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3204D700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both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v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3376E40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p>
                <m:sSupPr>
                  <m:ctrlPr>
                    <w:rPr>
                      <w:rFonts w:hint="default" w:ascii="Cambria Math" w:hAnsi="Cambria Math" w:eastAsia="sans-serif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sans-serif"/>
                      <w:sz w:val="28"/>
                    </w:rPr>
                    <m:t>R</m:t>
                  </m:r>
                  <m:ctrlPr>
                    <w:rPr>
                      <w:rFonts w:ascii="Cambria Math" w:hAnsi="Cambria Math" w:eastAsia="sans-serif"/>
                      <w:sz w:val="28"/>
                    </w:rPr>
                  </m:ctrlPr>
                </m:e>
                <m:sup>
                  <m:sSub>
                    <m:sSubPr>
                      <m:ctrlPr>
                        <w:rPr>
                          <w:rFonts w:hint="default" w:ascii="Cambria Math" w:hAnsi="Cambria Math" w:eastAsia="sans-serif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ans-serif"/>
                          <w:sz w:val="28"/>
                        </w:rPr>
                        <m:t>d</m:t>
                      </m:r>
                      <m:ctrlPr>
                        <w:rPr>
                          <w:rFonts w:ascii="Cambria Math" w:hAnsi="Cambria Math" w:eastAsia="sans-serif"/>
                          <w:sz w:val="2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sans-serif"/>
                          <w:sz w:val="28"/>
                        </w:rPr>
                        <m:t>a</m:t>
                      </m:r>
                      <m:ctrlPr>
                        <w:rPr>
                          <w:rFonts w:ascii="Cambria Math" w:hAnsi="Cambria Math" w:eastAsia="sans-serif"/>
                          <w:sz w:val="2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sans-serif"/>
                      <w:sz w:val="28"/>
                    </w:rPr>
                  </m:ctrlPr>
                </m:sup>
              </m:sSup>
            </m:oMath>
            <w:r>
              <w:rPr>
                <w:rFonts w:hint="default" w:ascii="Times New Roman" w:hAnsi="Times New Roman" w:eastAsia="sans-serif" w:cs="Times New Roman"/>
                <w:i w:val="0"/>
                <w:sz w:val="28"/>
                <w:szCs w:val="28"/>
                <w:lang w:val="en-US"/>
              </w:rPr>
              <w:t xml:space="preserve"> = 128</w:t>
            </w:r>
          </w:p>
        </w:tc>
        <w:tc>
          <w:tcPr>
            <w:tcW w:w="2841" w:type="dxa"/>
          </w:tcPr>
          <w:p w14:paraId="4EF5965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Вес внимания</w:t>
            </w:r>
          </w:p>
        </w:tc>
      </w:tr>
      <w:tr w14:paraId="12774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15477FA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W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54699DD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d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a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Calibri" w:cs="Times New Roman"/>
                <w:i w:val="0"/>
                <w:sz w:val="28"/>
                <w:szCs w:val="28"/>
                <w:lang w:val="en-US"/>
              </w:rPr>
              <w:t xml:space="preserve"> * 128</w:t>
            </w:r>
          </w:p>
        </w:tc>
        <w:tc>
          <w:tcPr>
            <w:tcW w:w="2841" w:type="dxa"/>
          </w:tcPr>
          <w:p w14:paraId="25150AF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Матрица скрытого состояния</w:t>
            </w:r>
          </w:p>
        </w:tc>
      </w:tr>
      <w:tr w14:paraId="1C46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57CA6E45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U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28102DD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d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a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Calibri" w:cs="Times New Roman"/>
                <w:i w:val="0"/>
                <w:sz w:val="28"/>
                <w:szCs w:val="28"/>
                <w:lang w:val="en-US"/>
              </w:rPr>
              <w:t xml:space="preserve"> * 128</w:t>
            </w:r>
          </w:p>
        </w:tc>
        <w:tc>
          <w:tcPr>
            <w:tcW w:w="2841" w:type="dxa"/>
          </w:tcPr>
          <w:p w14:paraId="1E3E0668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Матрица преобразования состояния в данный момент</w:t>
            </w:r>
          </w:p>
        </w:tc>
      </w:tr>
      <w:tr w14:paraId="36F65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90D702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b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32ADEA8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sans-serif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sans-serif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sans-serif"/>
                        <w:sz w:val="28"/>
                      </w:rPr>
                    </m:ctrlPr>
                  </m:e>
                  <m:sup>
                    <m:sSub>
                      <m:sSubPr>
                        <m:ctrlPr>
                          <w:rPr>
                            <w:rFonts w:hint="default" w:ascii="Cambria Math" w:hAnsi="Cambria Math" w:eastAsia="sans-serif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ans-serif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ans-serif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ans-serif"/>
                            <w:sz w:val="28"/>
                          </w:rPr>
                          <m:t>a</m:t>
                        </m:r>
                        <m:ctrlPr>
                          <w:rPr>
                            <w:rFonts w:ascii="Cambria Math" w:hAnsi="Cambria Math" w:eastAsia="sans-serif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356E029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Смещение аддитивного нейрона</w:t>
            </w:r>
          </w:p>
        </w:tc>
      </w:tr>
      <w:tr w14:paraId="6E9D6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2840" w:type="dxa"/>
          </w:tcPr>
          <w:p w14:paraId="73EC311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h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i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46257C9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lef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sans-serif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sans-serif"/>
                        <w:sz w:val="24"/>
                      </w:rPr>
                      <m:t>R</m:t>
                    </m:r>
                    <m:ctrlPr>
                      <w:rPr>
                        <w:rFonts w:ascii="Cambria Math" w:hAnsi="Cambria Math" w:eastAsia="sans-serif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sans-serif"/>
                        <w:sz w:val="24"/>
                      </w:rPr>
                      <m:t>128</m:t>
                    </m:r>
                    <m:ctrlPr>
                      <w:rPr>
                        <w:rFonts w:ascii="Cambria Math" w:hAnsi="Cambria Math" w:eastAsia="sans-serif"/>
                        <w:sz w:val="24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4766789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Скрытое состояние месяца из последовательности</w:t>
            </w:r>
          </w:p>
        </w:tc>
      </w:tr>
      <w:tr w14:paraId="02EA9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311F65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h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08D667F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128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7653780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Скрытое состояние шага в данный момент</w:t>
            </w:r>
          </w:p>
        </w:tc>
      </w:tr>
      <w:tr w14:paraId="397D3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693DE3E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tanh</w:t>
            </w:r>
          </w:p>
        </w:tc>
        <w:tc>
          <w:tcPr>
            <w:tcW w:w="2841" w:type="dxa"/>
          </w:tcPr>
          <w:p w14:paraId="5F7C820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2841" w:type="dxa"/>
          </w:tcPr>
          <w:p w14:paraId="79C11765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Нелинейность нейрона</w:t>
            </w:r>
          </w:p>
        </w:tc>
      </w:tr>
      <w:tr w14:paraId="51134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59B12E5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T</w:t>
            </w:r>
          </w:p>
        </w:tc>
        <w:tc>
          <w:tcPr>
            <w:tcW w:w="2841" w:type="dxa"/>
          </w:tcPr>
          <w:p w14:paraId="7AF5716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2841" w:type="dxa"/>
          </w:tcPr>
          <w:p w14:paraId="1E298CA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Транспонирование</w:t>
            </w:r>
          </w:p>
        </w:tc>
      </w:tr>
    </w:tbl>
    <w:p w14:paraId="2173B58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0841E558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806573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Упрощённая реализация одного аддитивного нейрона внимания</w:t>
      </w:r>
    </w:p>
    <w:p w14:paraId="7A41617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bahdanau_score(query, key, v, W, U, b):</w:t>
      </w:r>
    </w:p>
    <w:p w14:paraId="76678162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6D0876FD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query, key — скрытые состояния размерности 128</w:t>
      </w:r>
    </w:p>
    <w:p w14:paraId="324B1568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v, W, U, b — обучаемые параметры внимания</w:t>
      </w:r>
    </w:p>
    <w:p w14:paraId="6885E97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4A45B140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score = tf.nn.tanh(tf.tensordot(query, W, axes=1) +</w:t>
      </w:r>
    </w:p>
    <w:p w14:paraId="0B9D514B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                   tf.tensordot(key, U, axes=1) + b)</w:t>
      </w:r>
    </w:p>
    <w:p w14:paraId="0C9EC7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tf.tensordot(score, v, axes=1)  # скаляр e_{t,i}</w:t>
      </w:r>
    </w:p>
    <w:p w14:paraId="16CB52A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EA00B9A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Таблица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8.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Сравнение перечисленных выше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7"/>
        <w:gridCol w:w="1812"/>
        <w:gridCol w:w="4653"/>
      </w:tblGrid>
      <w:tr w14:paraId="0A5FA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31CA3C7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Тип нейрона</w:t>
            </w:r>
          </w:p>
        </w:tc>
        <w:tc>
          <w:tcPr>
            <w:tcW w:w="1812" w:type="dxa"/>
          </w:tcPr>
          <w:p w14:paraId="232574E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Активация</w:t>
            </w:r>
          </w:p>
        </w:tc>
        <w:tc>
          <w:tcPr>
            <w:tcW w:w="4653" w:type="dxa"/>
          </w:tcPr>
          <w:p w14:paraId="4D10F2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Назначение</w:t>
            </w:r>
          </w:p>
        </w:tc>
      </w:tr>
      <w:tr w14:paraId="01877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283498E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</w:t>
            </w:r>
          </w:p>
        </w:tc>
        <w:tc>
          <w:tcPr>
            <w:tcW w:w="1812" w:type="dxa"/>
          </w:tcPr>
          <w:p w14:paraId="118AA7A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z</w:t>
            </w:r>
          </w:p>
        </w:tc>
        <w:tc>
          <w:tcPr>
            <w:tcW w:w="4653" w:type="dxa"/>
          </w:tcPr>
          <w:p w14:paraId="0107DF4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Мета-модель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выходной слой</w:t>
            </w:r>
          </w:p>
        </w:tc>
      </w:tr>
      <w:tr w14:paraId="06F5E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3DBA78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ReLU</w:t>
            </w:r>
          </w:p>
        </w:tc>
        <w:tc>
          <w:tcPr>
            <w:tcW w:w="1812" w:type="dxa"/>
          </w:tcPr>
          <w:p w14:paraId="664110A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Max(0,z)</w:t>
            </w:r>
          </w:p>
        </w:tc>
        <w:tc>
          <w:tcPr>
            <w:tcW w:w="4653" w:type="dxa"/>
          </w:tcPr>
          <w:p w14:paraId="2E4D93E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Нелинейность в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Dense-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слоях</w:t>
            </w:r>
          </w:p>
        </w:tc>
      </w:tr>
      <w:tr w14:paraId="40C24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1391758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LSTM-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ячейка</w:t>
            </w:r>
          </w:p>
        </w:tc>
        <w:tc>
          <w:tcPr>
            <w:tcW w:w="1812" w:type="dxa"/>
          </w:tcPr>
          <w:p w14:paraId="7986122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σ, tanh</w:t>
            </w:r>
          </w:p>
        </w:tc>
        <w:tc>
          <w:tcPr>
            <w:tcW w:w="4653" w:type="dxa"/>
          </w:tcPr>
          <w:p w14:paraId="78E1A66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Захват долгосрочных зависимостей</w:t>
            </w:r>
          </w:p>
        </w:tc>
      </w:tr>
      <w:tr w14:paraId="09854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7431404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Бахданова</w:t>
            </w:r>
          </w:p>
        </w:tc>
        <w:tc>
          <w:tcPr>
            <w:tcW w:w="1812" w:type="dxa"/>
          </w:tcPr>
          <w:p w14:paraId="140CDC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tanh</w:t>
            </w:r>
          </w:p>
        </w:tc>
        <w:tc>
          <w:tcPr>
            <w:tcW w:w="4653" w:type="dxa"/>
          </w:tcPr>
          <w:p w14:paraId="3C08ADD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Фокус на значимых месяцах</w:t>
            </w:r>
          </w:p>
        </w:tc>
      </w:tr>
    </w:tbl>
    <w:p w14:paraId="04C7F42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027198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основе приведённых выше данных можно сделать вывод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 вкладе разных типов нейронов в качество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линейные нейроны стабилизируют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 счёт контроля систематических ошибок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tang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даёт нелинейность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обучения сложным зависимостям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также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ReLU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решает проблемы с затухающим градиентом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ускоряет обучение в глубоких слоях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ячейки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учитывания долгосрочной зависимости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трендов и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запоминают важную информацию и забывают ненужную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эффективно в рамках учета долгосрочных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Бахданова необходимы для усиления концентрации на значимых моментах в сложных временных закономерностях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повышают точность прогноза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162DD583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Получившиеся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модель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гибридной мета моделью с простыми и сложными нейронами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позволившими получить высокую точность предсказания тренда устройства сотрудников на работу</w:t>
      </w:r>
      <w:r>
        <w:rPr>
          <w:rFonts w:ascii="Times New Roman" w:hAnsi="Times New Roman" w:eastAsia="Calibri"/>
          <w:sz w:val="28"/>
          <w:szCs w:val="28"/>
          <w:lang w:val="en-US" w:eastAsia="en-US"/>
        </w:rPr>
        <w:t>.</w:t>
      </w:r>
    </w:p>
    <w:p w14:paraId="47E0F4A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4E67966C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31" w:name="_Toc73211071"/>
      <w:bookmarkStart w:id="32" w:name="_Toc171423735"/>
      <w:bookmarkStart w:id="33" w:name="_Toc30032"/>
      <w:r>
        <w:rPr>
          <w:rFonts w:ascii="Times New Roman" w:hAnsi="Times New Roman"/>
          <w:b/>
          <w:sz w:val="28"/>
          <w:szCs w:val="20"/>
        </w:rPr>
        <w:t>Создание нейронной сети</w:t>
      </w:r>
      <w:bookmarkEnd w:id="31"/>
      <w:bookmarkEnd w:id="32"/>
      <w:bookmarkEnd w:id="33"/>
    </w:p>
    <w:p w14:paraId="0616C787"/>
    <w:p w14:paraId="1495466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Разработана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учитывающая прошлое и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обработки данных в двух направлениях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Bi-LSTM,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временные ряды требуют контекст будущего и прошлого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точности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трендов найма и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обработки реализовано два слоя по шестидесяти четыре ячейки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один обрабатывает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второй прошлое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скрытые состояния объединяются и используются другими слоями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Dense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преобразует скрытое состояние в числовое значение предсказания по необходимому числу сотрудников на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случайно отрубает нейроны в течении тренировки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помогает увеличить устойчивость сети к шуму в датасете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Input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создаёт форму входных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первым и важным слоем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нужен для задания последовательности с признаками для работы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определяет размерности для тензоров на входе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получить последовательность в виде трёхмерного тензора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Attention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реализует концентрацию модели на важных признаках сезонности и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увеличивая точность прогноза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3EC21724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B02ED4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приведён график динамики потребности в сотрудниках за период последних пяти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синей линией обозначается сезонные колебания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изменения количества наймов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абсциссы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показывают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ординаты показывают наймы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красный график отражает прогноз на будущий 2026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используя признаки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видно в ближайшие месяцы 2025 ожидается потребность в одиннадцати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настоящее время обозначено пунктирной линией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модель показала стабильный спрос на рабочие кадры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83297EF">
      <w:pPr>
        <w:spacing w:after="0" w:line="360" w:lineRule="auto"/>
        <w:jc w:val="both"/>
      </w:pPr>
      <w:r>
        <w:drawing>
          <wp:inline distT="0" distB="0" distL="114300" distR="114300">
            <wp:extent cx="5086350" cy="2512060"/>
            <wp:effectExtent l="0" t="0" r="3810" b="2540"/>
            <wp:docPr id="1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51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A0314">
      <w:pPr>
        <w:spacing w:after="0" w:line="360" w:lineRule="auto"/>
        <w:ind w:firstLine="709"/>
        <w:jc w:val="both"/>
      </w:pPr>
    </w:p>
    <w:p w14:paraId="6EC1225C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2.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Прогноз  потребности в кадрах на 2025-2026 год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рекурсивный с сохранением признаков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7F77340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E64EBD5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Использование механизма внимания Бахданова необходимо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получения точных весовых значений сезонных сегментов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видно на Январь и Февраль приходится больше наймов сотрудников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анализ сезонных особенностей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весами внимания необходим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точного предсказания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</w:t>
      </w:r>
    </w:p>
    <w:p w14:paraId="5CFADEA3">
      <w:pPr>
        <w:spacing w:after="0" w:line="240" w:lineRule="auto"/>
        <w:jc w:val="both"/>
      </w:pPr>
    </w:p>
    <w:p w14:paraId="728C65AB">
      <w:pPr>
        <w:spacing w:after="0" w:line="240" w:lineRule="auto"/>
        <w:jc w:val="center"/>
      </w:pPr>
      <w:r>
        <w:drawing>
          <wp:inline distT="0" distB="0" distL="114300" distR="114300">
            <wp:extent cx="3019425" cy="1763395"/>
            <wp:effectExtent l="0" t="0" r="13335" b="444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6"/>
                    <a:srcRect b="560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76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22C04">
      <w:pPr>
        <w:spacing w:after="0" w:line="240" w:lineRule="auto"/>
        <w:jc w:val="center"/>
        <w:rPr>
          <w:rFonts w:hint="default"/>
          <w:lang w:val="ru-RU" w:eastAsia="en-US"/>
        </w:rPr>
      </w:pPr>
    </w:p>
    <w:p w14:paraId="6F471B13">
      <w:pPr>
        <w:spacing w:after="0" w:line="360" w:lineRule="auto"/>
        <w:ind w:firstLine="709"/>
        <w:jc w:val="center"/>
        <w:rPr>
          <w:rFonts w:hint="default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3.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Важные месяцы для прогнозирования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310A3BD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4A6C35E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Для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обучения модели используются следующие параметры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размер куска датасета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батч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стабильности обучения и скорости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обучении использовано шестнадцать батчей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количество полных проходов по всему тренировочному набору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эпохи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обучении использовано двести эпох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контроля обучения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callbacks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используются методы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ранняя остановка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“EarlyStopping”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срабатывает при остановке увеличения качества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уменьшение скорости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 стабилизации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“ReduceLROnPlateau”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замедлении роста качества предсказания снижает скорость обучения по критерию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необходим для избежания остановки роста качества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сохранение промежуточных весов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“ModelCheckpoint”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- после остановки обучения возвращает лучшую версию весов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24D99BE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Важно заметить - основной функцией потерь является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отлично подходящая под задачи прогнозирования непрерывных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легко наказывает модель за большие ошибки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имеет один минимум прекрасно сочетается с градиентным спуском и гарантирует сходимость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лёгкая дифференциация функции потерь помогает ускорить обучение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подошёл под гауссовское распределение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когда ошибки между реальным значением и предсказанием распределены нормально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минимизируется на тренировочных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дополнительными функциями потерь выступает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MAPE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выдающий оценку в процентах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MAE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показывающий среднюю ошибку между реальными и предсказанными значениями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можно разделить на долгосрочные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скользящие статистики и краткосрочные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;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 относим к исторической зависимости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;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отнесём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месяцы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циклы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кварталы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;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Ниже признаки оформлены в виде таблицы восемь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0E6C4D2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890F67E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используемые для прогнозирования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389A22A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FBE1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DAB6CE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Название признака</w:t>
            </w:r>
          </w:p>
        </w:tc>
        <w:tc>
          <w:tcPr>
            <w:tcW w:w="4261" w:type="dxa"/>
          </w:tcPr>
          <w:p w14:paraId="2966EB9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Описание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“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физический смысл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”</w:t>
            </w:r>
          </w:p>
        </w:tc>
      </w:tr>
      <w:tr w14:paraId="6FAB4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FE370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demand</w:t>
            </w:r>
          </w:p>
        </w:tc>
        <w:tc>
          <w:tcPr>
            <w:tcW w:w="4261" w:type="dxa"/>
          </w:tcPr>
          <w:p w14:paraId="5E712CB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наймов в месяц</w:t>
            </w:r>
          </w:p>
        </w:tc>
      </w:tr>
      <w:tr w14:paraId="2D9FD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4F703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Month_sin / quarter_cos</w:t>
            </w:r>
          </w:p>
        </w:tc>
        <w:tc>
          <w:tcPr>
            <w:tcW w:w="4261" w:type="dxa"/>
          </w:tcPr>
          <w:p w14:paraId="6D8C55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Сезонные признаки</w:t>
            </w:r>
          </w:p>
        </w:tc>
      </w:tr>
      <w:tr w14:paraId="6A281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4261" w:type="dxa"/>
          </w:tcPr>
          <w:p w14:paraId="1E4D68A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Quarter_sin / quarter_cos</w:t>
            </w:r>
          </w:p>
        </w:tc>
        <w:tc>
          <w:tcPr>
            <w:tcW w:w="4261" w:type="dxa"/>
          </w:tcPr>
          <w:p w14:paraId="175A853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Признаки квартала</w:t>
            </w:r>
          </w:p>
        </w:tc>
      </w:tr>
      <w:tr w14:paraId="4D778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F879CE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Year_normalized</w:t>
            </w:r>
          </w:p>
        </w:tc>
        <w:tc>
          <w:tcPr>
            <w:tcW w:w="4261" w:type="dxa"/>
          </w:tcPr>
          <w:p w14:paraId="244F33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Нормализованный год</w:t>
            </w:r>
          </w:p>
        </w:tc>
      </w:tr>
      <w:tr w14:paraId="58452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58A3CB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lag</w:t>
            </w:r>
          </w:p>
        </w:tc>
        <w:tc>
          <w:tcPr>
            <w:tcW w:w="4261" w:type="dxa"/>
          </w:tcPr>
          <w:p w14:paraId="75FDA9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Лаги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: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значения найма</w:t>
            </w:r>
          </w:p>
        </w:tc>
      </w:tr>
      <w:tr w14:paraId="33197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21D1A0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</w:t>
            </w:r>
          </w:p>
        </w:tc>
        <w:tc>
          <w:tcPr>
            <w:tcW w:w="4261" w:type="dxa"/>
          </w:tcPr>
          <w:p w14:paraId="6D80B45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</w:t>
            </w:r>
          </w:p>
        </w:tc>
      </w:tr>
      <w:tr w14:paraId="1ED4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DBC00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Rolling_std</w:t>
            </w:r>
          </w:p>
        </w:tc>
        <w:tc>
          <w:tcPr>
            <w:tcW w:w="4261" w:type="dxa"/>
          </w:tcPr>
          <w:p w14:paraId="6CFD337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 по 12 месяцам</w:t>
            </w:r>
          </w:p>
        </w:tc>
      </w:tr>
      <w:tr w14:paraId="539C1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0F9BB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trend</w:t>
            </w:r>
          </w:p>
        </w:tc>
        <w:tc>
          <w:tcPr>
            <w:tcW w:w="4261" w:type="dxa"/>
          </w:tcPr>
          <w:p w14:paraId="5940509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 тренд во времени</w:t>
            </w:r>
          </w:p>
        </w:tc>
      </w:tr>
    </w:tbl>
    <w:p w14:paraId="7FBA358C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F6AC84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11706177">
      <w:pPr>
        <w:pStyle w:val="4"/>
        <w:bidi w:val="0"/>
        <w:rPr>
          <w:rFonts w:hint="default" w:ascii="Times New Roman" w:hAnsi="Times New Roman" w:cs="Times New Roman"/>
          <w:sz w:val="28"/>
          <w:szCs w:val="28"/>
        </w:rPr>
      </w:pPr>
      <w:bookmarkStart w:id="34" w:name="_Toc73211072"/>
      <w:bookmarkStart w:id="35" w:name="_Toc12923"/>
      <w:bookmarkStart w:id="36" w:name="_Toc171423736"/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3.2.1 </w:t>
      </w:r>
      <w:r>
        <w:rPr>
          <w:rFonts w:hint="default" w:ascii="Times New Roman" w:hAnsi="Times New Roman" w:cs="Times New Roman"/>
          <w:sz w:val="28"/>
          <w:szCs w:val="28"/>
        </w:rPr>
        <w:t>Выбор топологии сети</w:t>
      </w:r>
      <w:bookmarkEnd w:id="34"/>
      <w:bookmarkEnd w:id="35"/>
      <w:bookmarkEnd w:id="36"/>
    </w:p>
    <w:p w14:paraId="29A274B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Для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учёта прошлого и будущего одновременно была в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ыбрана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топология двунаправленного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внутри модели два рекуррентных слоя анализирующий временной ряд в две стороны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обычной однонаправленной обработке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нельзя поймать сезонные 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ячеек 64 в слоях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быстро обучается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устойчивостью к переобучению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нужно вспомнить по ранее рассказанные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преобразующий выходную информацию из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числовое предсказание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Attention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выделяющий важные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Dropout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выключает случайные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избежания переобучения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Input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нужен для задания формулы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обязательной для работы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оптимизации обучения применяются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callbacks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методы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ранней остановки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уменьшения скорости обучения при уменьшении точности предсказаний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чекпоинтов сохраняющих лучшие вессы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разработанная архитектура нейросети превосходит обычные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 прогнозированию кадровых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50FE2FA">
      <w:pPr>
        <w:spacing w:after="0" w:line="360" w:lineRule="auto"/>
        <w:jc w:val="both"/>
      </w:pPr>
      <w:r>
        <w:drawing>
          <wp:inline distT="0" distB="0" distL="114300" distR="114300">
            <wp:extent cx="5273040" cy="898525"/>
            <wp:effectExtent l="0" t="0" r="0" b="635"/>
            <wp:docPr id="1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89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76558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14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Топология сети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1FE812F8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Отмечен факт несостоятельности одного рекуррентного слоя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для нахождения нелинейных зависимостей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а использование большего числа слоёв приводит к переобучению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важно учесть число ячеек на рекуррентном слое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при числе ячеек меньшем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64 наблюдается недообучение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при большем количестве ячеек наблюдались незначительные улучшения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и скорость обучения падает в три раза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Доказательство вывода предоставляется в виде таблицы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10. </w:t>
      </w:r>
    </w:p>
    <w:p w14:paraId="1EAE7800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0777666E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385C2B2D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4BC5C961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Таблица 10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Влияние числа слоёв и ячеек на точность и время обучения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красным цветом отмечена выбранная конфигурация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5"/>
        <w:gridCol w:w="1750"/>
        <w:gridCol w:w="1256"/>
        <w:gridCol w:w="1458"/>
        <w:gridCol w:w="1330"/>
        <w:gridCol w:w="1403"/>
      </w:tblGrid>
      <w:tr w14:paraId="5B66D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7830D48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 xml:space="preserve">Количество слоёв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Bi-LSTM</w:t>
            </w:r>
          </w:p>
        </w:tc>
        <w:tc>
          <w:tcPr>
            <w:tcW w:w="1420" w:type="dxa"/>
          </w:tcPr>
          <w:p w14:paraId="61A43019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Ячеек в одном направлении</w:t>
            </w:r>
          </w:p>
        </w:tc>
        <w:tc>
          <w:tcPr>
            <w:tcW w:w="1420" w:type="dxa"/>
          </w:tcPr>
          <w:p w14:paraId="3D734C3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 xml:space="preserve">Итоговая размерность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h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t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</m:oMath>
          </w:p>
        </w:tc>
        <w:tc>
          <w:tcPr>
            <w:tcW w:w="1420" w:type="dxa"/>
          </w:tcPr>
          <w:p w14:paraId="6453ABB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% валидация</w:t>
            </w:r>
          </w:p>
        </w:tc>
        <w:tc>
          <w:tcPr>
            <w:tcW w:w="1421" w:type="dxa"/>
          </w:tcPr>
          <w:p w14:paraId="78C08BC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Время одной эпохи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с</w:t>
            </w:r>
          </w:p>
        </w:tc>
        <w:tc>
          <w:tcPr>
            <w:tcW w:w="1421" w:type="dxa"/>
          </w:tcPr>
          <w:p w14:paraId="54B06547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Относительное время обучения</w:t>
            </w:r>
          </w:p>
        </w:tc>
      </w:tr>
      <w:tr w14:paraId="25C68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F4F261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1420" w:type="dxa"/>
          </w:tcPr>
          <w:p w14:paraId="47E138ED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66BA9E6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2C87898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9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,87</w:t>
            </w:r>
          </w:p>
        </w:tc>
        <w:tc>
          <w:tcPr>
            <w:tcW w:w="1421" w:type="dxa"/>
          </w:tcPr>
          <w:p w14:paraId="4B6CFF4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1,9</w:t>
            </w:r>
          </w:p>
        </w:tc>
        <w:tc>
          <w:tcPr>
            <w:tcW w:w="1421" w:type="dxa"/>
          </w:tcPr>
          <w:p w14:paraId="6AEED9F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1,0</w:t>
            </w:r>
          </w:p>
        </w:tc>
      </w:tr>
      <w:tr w14:paraId="6979E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79F38A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0C1B315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32</w:t>
            </w:r>
          </w:p>
        </w:tc>
        <w:tc>
          <w:tcPr>
            <w:tcW w:w="1420" w:type="dxa"/>
          </w:tcPr>
          <w:p w14:paraId="52F603E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74083CC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9,12</w:t>
            </w:r>
          </w:p>
        </w:tc>
        <w:tc>
          <w:tcPr>
            <w:tcW w:w="1421" w:type="dxa"/>
          </w:tcPr>
          <w:p w14:paraId="2DF5C889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2,1</w:t>
            </w:r>
          </w:p>
        </w:tc>
        <w:tc>
          <w:tcPr>
            <w:tcW w:w="1421" w:type="dxa"/>
          </w:tcPr>
          <w:p w14:paraId="53808D0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1,1</w:t>
            </w:r>
          </w:p>
        </w:tc>
      </w:tr>
      <w:tr w14:paraId="5B983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9B6573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69DD51B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5AEA5FA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7E7052A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1421" w:type="dxa"/>
          </w:tcPr>
          <w:p w14:paraId="77EB3C5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2,8</w:t>
            </w:r>
          </w:p>
        </w:tc>
        <w:tc>
          <w:tcPr>
            <w:tcW w:w="1421" w:type="dxa"/>
          </w:tcPr>
          <w:p w14:paraId="4FBA5E5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1,0</w:t>
            </w:r>
          </w:p>
        </w:tc>
      </w:tr>
      <w:tr w14:paraId="7610B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5740C6E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6AE43C7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32123BC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2578382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421" w:type="dxa"/>
          </w:tcPr>
          <w:p w14:paraId="2DB083A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6,4</w:t>
            </w:r>
          </w:p>
        </w:tc>
        <w:tc>
          <w:tcPr>
            <w:tcW w:w="1421" w:type="dxa"/>
          </w:tcPr>
          <w:p w14:paraId="2474DE0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2,3</w:t>
            </w:r>
          </w:p>
        </w:tc>
      </w:tr>
      <w:tr w14:paraId="2E89C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034DFC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0A7D29E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4A9A2EB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512</w:t>
            </w:r>
          </w:p>
        </w:tc>
        <w:tc>
          <w:tcPr>
            <w:tcW w:w="1420" w:type="dxa"/>
          </w:tcPr>
          <w:p w14:paraId="17E777B7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6,91</w:t>
            </w:r>
          </w:p>
        </w:tc>
        <w:tc>
          <w:tcPr>
            <w:tcW w:w="1421" w:type="dxa"/>
          </w:tcPr>
          <w:p w14:paraId="4DE860C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11,8</w:t>
            </w:r>
          </w:p>
        </w:tc>
        <w:tc>
          <w:tcPr>
            <w:tcW w:w="1421" w:type="dxa"/>
          </w:tcPr>
          <w:p w14:paraId="405CD57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4,2</w:t>
            </w:r>
          </w:p>
        </w:tc>
      </w:tr>
      <w:tr w14:paraId="216FB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03B7F3D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420" w:type="dxa"/>
          </w:tcPr>
          <w:p w14:paraId="1C30096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5CCFC81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0A4EAB1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7,08</w:t>
            </w:r>
          </w:p>
        </w:tc>
        <w:tc>
          <w:tcPr>
            <w:tcW w:w="1421" w:type="dxa"/>
          </w:tcPr>
          <w:p w14:paraId="1F07541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4,1</w:t>
            </w:r>
          </w:p>
        </w:tc>
        <w:tc>
          <w:tcPr>
            <w:tcW w:w="1421" w:type="dxa"/>
          </w:tcPr>
          <w:p w14:paraId="6AB6ACD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1,5</w:t>
            </w:r>
          </w:p>
        </w:tc>
      </w:tr>
      <w:tr w14:paraId="79791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6DDB49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420" w:type="dxa"/>
          </w:tcPr>
          <w:p w14:paraId="3DFD9F1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71535F42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6090317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6,95</w:t>
            </w:r>
          </w:p>
        </w:tc>
        <w:tc>
          <w:tcPr>
            <w:tcW w:w="1421" w:type="dxa"/>
          </w:tcPr>
          <w:p w14:paraId="5B9B6AB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9,7</w:t>
            </w:r>
          </w:p>
        </w:tc>
        <w:tc>
          <w:tcPr>
            <w:tcW w:w="1421" w:type="dxa"/>
          </w:tcPr>
          <w:p w14:paraId="4421D9E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3,5</w:t>
            </w:r>
          </w:p>
        </w:tc>
      </w:tr>
    </w:tbl>
    <w:p w14:paraId="28DD73DA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7804FCD8">
      <w:pPr>
        <w:spacing w:after="0" w:line="360" w:lineRule="auto"/>
        <w:jc w:val="both"/>
      </w:pPr>
      <w:r>
        <w:drawing>
          <wp:inline distT="0" distB="0" distL="114300" distR="114300">
            <wp:extent cx="5268595" cy="3479165"/>
            <wp:effectExtent l="0" t="0" r="4445" b="10795"/>
            <wp:docPr id="1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49F0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15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Обоснование выбора 64 ячеек для слоя 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Bi-LSTM</w:t>
      </w:r>
    </w:p>
    <w:p w14:paraId="2B64726C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08E82352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37" w:name="_Toc73211073"/>
      <w:bookmarkStart w:id="38" w:name="_Toc26040"/>
      <w:bookmarkStart w:id="39" w:name="_Toc171423737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3.2.2 Группировка нейронных блоков в нейронную сеть</w:t>
      </w:r>
      <w:bookmarkEnd w:id="37"/>
      <w:bookmarkEnd w:id="38"/>
      <w:bookmarkEnd w:id="39"/>
    </w:p>
    <w:p w14:paraId="099D922B">
      <w:pPr>
        <w:rPr>
          <w:rFonts w:hint="default"/>
          <w:lang w:val="en-US"/>
        </w:rPr>
      </w:pPr>
    </w:p>
    <w:p w14:paraId="181ED9A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Рассмотрим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группировку блоков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входной слой для формирования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нужной для работы остальных ячеек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Два двунаправленых рекуррентных слоя по 64 нейрона каждый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Attention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с механизмом внимания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выделения важных кусков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выявления скрытых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количество ячеек внимания равно числу временных шагов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длина последовательности 24 значит 24 внимания на временные шаги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”, 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слой объединяет выходные данные из слоя внимания и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формирует прогноз в числовом формате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служит защитой от переобучения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путём случайного отключения нейронов во время обучения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output dense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использует линейную активацию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конечного прогноза решения задачи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Характеристика для слоёв показана в таблице 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27065533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Характеристики слоёв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"/>
        <w:gridCol w:w="3505"/>
        <w:gridCol w:w="2084"/>
        <w:gridCol w:w="2072"/>
      </w:tblGrid>
      <w:tr w14:paraId="4A853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2ABAFFC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3505" w:type="dxa"/>
          </w:tcPr>
          <w:p w14:paraId="32FCF70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Слой</w:t>
            </w:r>
          </w:p>
        </w:tc>
        <w:tc>
          <w:tcPr>
            <w:tcW w:w="2084" w:type="dxa"/>
          </w:tcPr>
          <w:p w14:paraId="6CAD93B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Выходная размерность</w:t>
            </w:r>
          </w:p>
        </w:tc>
        <w:tc>
          <w:tcPr>
            <w:tcW w:w="2072" w:type="dxa"/>
          </w:tcPr>
          <w:p w14:paraId="44CC305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Обучение параметров</w:t>
            </w:r>
          </w:p>
        </w:tc>
      </w:tr>
      <w:tr w14:paraId="3F43E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6DD0789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3505" w:type="dxa"/>
          </w:tcPr>
          <w:p w14:paraId="59FD4ED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Input</w:t>
            </w:r>
          </w:p>
        </w:tc>
        <w:tc>
          <w:tcPr>
            <w:tcW w:w="2084" w:type="dxa"/>
          </w:tcPr>
          <w:p w14:paraId="6AE33A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None,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 18)</w:t>
            </w:r>
          </w:p>
        </w:tc>
        <w:tc>
          <w:tcPr>
            <w:tcW w:w="2072" w:type="dxa"/>
          </w:tcPr>
          <w:p w14:paraId="334D99B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</w:p>
        </w:tc>
      </w:tr>
      <w:tr w14:paraId="665C3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1DD2F1A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3505" w:type="dxa"/>
          </w:tcPr>
          <w:p w14:paraId="2508EE3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#1</w:t>
            </w:r>
          </w:p>
        </w:tc>
        <w:tc>
          <w:tcPr>
            <w:tcW w:w="2084" w:type="dxa"/>
          </w:tcPr>
          <w:p w14:paraId="6FD4B06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24,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50A86685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85 504</w:t>
            </w:r>
          </w:p>
        </w:tc>
      </w:tr>
      <w:tr w14:paraId="40AB5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71AFF4C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3505" w:type="dxa"/>
          </w:tcPr>
          <w:p w14:paraId="389724D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#2</w:t>
            </w:r>
          </w:p>
        </w:tc>
        <w:tc>
          <w:tcPr>
            <w:tcW w:w="2084" w:type="dxa"/>
          </w:tcPr>
          <w:p w14:paraId="22C3647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24,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3CD056D3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98 816</w:t>
            </w:r>
          </w:p>
        </w:tc>
      </w:tr>
      <w:tr w14:paraId="0027D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4B2A61A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</w:p>
        </w:tc>
        <w:tc>
          <w:tcPr>
            <w:tcW w:w="3505" w:type="dxa"/>
          </w:tcPr>
          <w:p w14:paraId="33403B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AdditiveAttention</w:t>
            </w:r>
          </w:p>
        </w:tc>
        <w:tc>
          <w:tcPr>
            <w:tcW w:w="2084" w:type="dxa"/>
          </w:tcPr>
          <w:p w14:paraId="027599A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47F00560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16 513</w:t>
            </w:r>
          </w:p>
        </w:tc>
      </w:tr>
      <w:tr w14:paraId="6AF71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2A178C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</w:p>
        </w:tc>
        <w:tc>
          <w:tcPr>
            <w:tcW w:w="3505" w:type="dxa"/>
          </w:tcPr>
          <w:p w14:paraId="01A0B86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Dense(128)+ReLU</w:t>
            </w:r>
          </w:p>
        </w:tc>
        <w:tc>
          <w:tcPr>
            <w:tcW w:w="2084" w:type="dxa"/>
          </w:tcPr>
          <w:p w14:paraId="51FDEDD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0AC02AF0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16 512</w:t>
            </w:r>
          </w:p>
        </w:tc>
      </w:tr>
      <w:tr w14:paraId="2772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42DF891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</w:p>
        </w:tc>
        <w:tc>
          <w:tcPr>
            <w:tcW w:w="3505" w:type="dxa"/>
          </w:tcPr>
          <w:p w14:paraId="053227C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Dropout “0,3” + ReLU</w:t>
            </w:r>
          </w:p>
        </w:tc>
        <w:tc>
          <w:tcPr>
            <w:tcW w:w="2084" w:type="dxa"/>
          </w:tcPr>
          <w:p w14:paraId="39FED08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1816CDB9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</w:t>
            </w:r>
          </w:p>
        </w:tc>
      </w:tr>
      <w:tr w14:paraId="1F439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774509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3505" w:type="dxa"/>
          </w:tcPr>
          <w:p w14:paraId="6665A3B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 “64” + ReLU</w:t>
            </w:r>
          </w:p>
        </w:tc>
        <w:tc>
          <w:tcPr>
            <w:tcW w:w="2084" w:type="dxa"/>
          </w:tcPr>
          <w:p w14:paraId="446FDDB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64)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6593FDC1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8 256</w:t>
            </w:r>
          </w:p>
        </w:tc>
      </w:tr>
      <w:tr w14:paraId="0B52C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521170E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</w:p>
        </w:tc>
        <w:tc>
          <w:tcPr>
            <w:tcW w:w="3505" w:type="dxa"/>
          </w:tcPr>
          <w:p w14:paraId="46D2A4C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Dense “1” -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</w:t>
            </w:r>
          </w:p>
        </w:tc>
        <w:tc>
          <w:tcPr>
            <w:tcW w:w="2084" w:type="dxa"/>
          </w:tcPr>
          <w:p w14:paraId="058B93C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15B47C79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65</w:t>
            </w:r>
          </w:p>
        </w:tc>
      </w:tr>
      <w:tr w14:paraId="55BB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587034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Итог</w:t>
            </w:r>
          </w:p>
        </w:tc>
        <w:tc>
          <w:tcPr>
            <w:tcW w:w="7661" w:type="dxa"/>
            <w:gridSpan w:val="3"/>
          </w:tcPr>
          <w:p w14:paraId="5C8A84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225 666 обучающих параметров</w:t>
            </w:r>
          </w:p>
        </w:tc>
      </w:tr>
    </w:tbl>
    <w:p w14:paraId="10EDCD5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8ACBADE">
      <w:pPr>
        <w:spacing w:after="0" w:line="360" w:lineRule="auto"/>
        <w:jc w:val="both"/>
      </w:pPr>
      <w:r>
        <w:drawing>
          <wp:inline distT="0" distB="0" distL="114300" distR="114300">
            <wp:extent cx="5265420" cy="1215390"/>
            <wp:effectExtent l="0" t="0" r="7620" b="3810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1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2CEB9">
      <w:pPr>
        <w:spacing w:after="0" w:line="360" w:lineRule="auto"/>
        <w:jc w:val="both"/>
      </w:pPr>
    </w:p>
    <w:p w14:paraId="698D748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Рисунок 16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Архитектура разработанной гибридной модели 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Bi-LSTM.</w:t>
      </w:r>
    </w:p>
    <w:p w14:paraId="6DE55137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0" w:name="_Toc171423738"/>
      <w:bookmarkStart w:id="41" w:name="_Toc73211074"/>
      <w:bookmarkStart w:id="42" w:name="_Toc8313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3.2.3 Экспериментальный подбор характеристик сети</w:t>
      </w:r>
      <w:bookmarkEnd w:id="40"/>
      <w:bookmarkEnd w:id="41"/>
      <w:bookmarkEnd w:id="42"/>
    </w:p>
    <w:p w14:paraId="25B5F38B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404955DE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Качество предсказаний тренда о количестве необходимых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оценивалось по метрикам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средней абсолютной процентной ошибки формула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MAPE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100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sans-serif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sans-serif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sans-serif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e>
        </m:nary>
      </m:oMath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использована в качестве основной по причинам устойчивости к масштабу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лёгкому переводу в проценты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основной метрикой для задач прогнозирования кадров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как дополнительные метрики используются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мера точности предсказательной модели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RMSE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ad>
          <m:radPr>
            <m:degHide m:val="1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radPr>
          <m:deg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g>
          <m:e>
            <m:f>
              <m:fPr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num>
              <m:den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den>
            </m:f>
            <m:nary>
              <m:naryPr>
                <m:chr m:val="∑"/>
                <m:limLoc m:val="undOvr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naryPr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=1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  <m:sup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(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nary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</m:acc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sSup>
              <m:sSup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p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)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2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</m:sSup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rad>
      </m:oMath>
      <w:r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hAnsi="Cambria Math" w:eastAsia="sans-serif" w:cs="Times New Roman"/>
          <w:i w:val="0"/>
          <w:sz w:val="28"/>
          <w:szCs w:val="28"/>
          <w:lang w:val="ru-RU"/>
        </w:rPr>
        <w:t xml:space="preserve">используется для штрафования модель за большие ошибки - низкий показатель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RMSE</w:t>
      </w:r>
      <w:r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sans-serif" w:cs="Times New Roman"/>
          <w:i w:val="0"/>
          <w:sz w:val="28"/>
          <w:szCs w:val="28"/>
          <w:lang w:val="ru-RU"/>
        </w:rPr>
        <w:t>демонстрирует отсутствие критичных для предсказания потребности сотрудников ошибок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средняя абсолютная ошибка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MAE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|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nary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−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|</m:t>
        </m:r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по результатам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MAE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можно увидеть среднее количество людей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на которых ошиблась модель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также в качестве дополнительных метрик использован коэффициент детерминации</w:t>
      </w:r>
    </w:p>
    <w:p w14:paraId="6FECFE86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p>
          <m:sSupP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  <w:szCs w:val="28"/>
              </w:rPr>
              <m:t>R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=1−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S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res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S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tot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</m:oMath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 служит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для показа доли дисперсии целевой переменной и симметричная средняя абсолютная ошибка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57C15891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SMAPE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200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f>
              <m:fPr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|+|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den>
            </m:f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e>
        </m:nary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}</m:t>
        </m:r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использован для повышения устойчивости к нулевым значениям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.  </w:t>
      </w:r>
    </w:p>
    <w:p w14:paraId="751CF32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Высокая точность была получена путём подбора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перебора нужных гиперпараметров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результаты опытов показаны в таблице 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4A4D42A8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Результаты перебора глубины и ширины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Bi-LSTM.</w:t>
      </w:r>
    </w:p>
    <w:p w14:paraId="3DD38CE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vertAlign w:val="baseline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1404"/>
        <w:gridCol w:w="1008"/>
        <w:gridCol w:w="1012"/>
        <w:gridCol w:w="1376"/>
        <w:gridCol w:w="1937"/>
      </w:tblGrid>
      <w:tr w14:paraId="71201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4C8280F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Конфигурация сети</w:t>
            </w:r>
          </w:p>
        </w:tc>
        <w:tc>
          <w:tcPr>
            <w:tcW w:w="1404" w:type="dxa"/>
          </w:tcPr>
          <w:p w14:paraId="5FE1DCF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 %</w:t>
            </w:r>
          </w:p>
          <w:p w14:paraId="347366A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</w:t>
            </w:r>
          </w:p>
        </w:tc>
        <w:tc>
          <w:tcPr>
            <w:tcW w:w="1008" w:type="dxa"/>
          </w:tcPr>
          <w:p w14:paraId="2D2360E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  <w:tc>
          <w:tcPr>
            <w:tcW w:w="1012" w:type="dxa"/>
          </w:tcPr>
          <w:p w14:paraId="33A092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1376" w:type="dxa"/>
          </w:tcPr>
          <w:p w14:paraId="741E43F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Время эпохи в секундах</w:t>
            </w:r>
          </w:p>
        </w:tc>
        <w:tc>
          <w:tcPr>
            <w:tcW w:w="1937" w:type="dxa"/>
          </w:tcPr>
          <w:p w14:paraId="26BAADE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Примечание</w:t>
            </w:r>
          </w:p>
        </w:tc>
      </w:tr>
      <w:tr w14:paraId="2CA53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77950B0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1 рекуррентный слой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64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ячейки</w:t>
            </w:r>
          </w:p>
        </w:tc>
        <w:tc>
          <w:tcPr>
            <w:tcW w:w="1404" w:type="dxa"/>
          </w:tcPr>
          <w:p w14:paraId="1382AE0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9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,87</w:t>
            </w:r>
          </w:p>
        </w:tc>
        <w:tc>
          <w:tcPr>
            <w:tcW w:w="1008" w:type="dxa"/>
          </w:tcPr>
          <w:p w14:paraId="4AC617F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,41</w:t>
            </w:r>
          </w:p>
        </w:tc>
        <w:tc>
          <w:tcPr>
            <w:tcW w:w="1012" w:type="dxa"/>
          </w:tcPr>
          <w:p w14:paraId="04A9AE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7,12</w:t>
            </w:r>
          </w:p>
        </w:tc>
        <w:tc>
          <w:tcPr>
            <w:tcW w:w="1376" w:type="dxa"/>
          </w:tcPr>
          <w:p w14:paraId="086AEB4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1,9</w:t>
            </w:r>
          </w:p>
        </w:tc>
        <w:tc>
          <w:tcPr>
            <w:tcW w:w="1937" w:type="dxa"/>
          </w:tcPr>
          <w:p w14:paraId="1434B31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  <w:tr w14:paraId="1EA02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414E76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32 ячейки</w:t>
            </w:r>
          </w:p>
        </w:tc>
        <w:tc>
          <w:tcPr>
            <w:tcW w:w="1404" w:type="dxa"/>
          </w:tcPr>
          <w:p w14:paraId="6603EB5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9,12</w:t>
            </w:r>
          </w:p>
        </w:tc>
        <w:tc>
          <w:tcPr>
            <w:tcW w:w="1008" w:type="dxa"/>
          </w:tcPr>
          <w:p w14:paraId="5B5C33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5,03</w:t>
            </w:r>
          </w:p>
        </w:tc>
        <w:tc>
          <w:tcPr>
            <w:tcW w:w="1012" w:type="dxa"/>
          </w:tcPr>
          <w:p w14:paraId="0831DEF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6,88</w:t>
            </w:r>
          </w:p>
        </w:tc>
        <w:tc>
          <w:tcPr>
            <w:tcW w:w="1376" w:type="dxa"/>
          </w:tcPr>
          <w:p w14:paraId="30F8B44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2,1</w:t>
            </w:r>
          </w:p>
        </w:tc>
        <w:tc>
          <w:tcPr>
            <w:tcW w:w="1937" w:type="dxa"/>
          </w:tcPr>
          <w:p w14:paraId="107C6A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  <w:tr w14:paraId="564C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0E0975A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64 ячейки</w:t>
            </w:r>
          </w:p>
        </w:tc>
        <w:tc>
          <w:tcPr>
            <w:tcW w:w="1404" w:type="dxa"/>
          </w:tcPr>
          <w:p w14:paraId="7054C2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1008" w:type="dxa"/>
          </w:tcPr>
          <w:p w14:paraId="41165E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1012" w:type="dxa"/>
          </w:tcPr>
          <w:p w14:paraId="1FBD9D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5,14</w:t>
            </w:r>
          </w:p>
        </w:tc>
        <w:tc>
          <w:tcPr>
            <w:tcW w:w="1376" w:type="dxa"/>
          </w:tcPr>
          <w:p w14:paraId="20BA782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2,8</w:t>
            </w:r>
          </w:p>
        </w:tc>
        <w:tc>
          <w:tcPr>
            <w:tcW w:w="1937" w:type="dxa"/>
          </w:tcPr>
          <w:p w14:paraId="1D5BB53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Лучший вариант</w:t>
            </w:r>
          </w:p>
        </w:tc>
      </w:tr>
      <w:tr w14:paraId="73416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36EF870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128 ячейки</w:t>
            </w:r>
          </w:p>
        </w:tc>
        <w:tc>
          <w:tcPr>
            <w:tcW w:w="1404" w:type="dxa"/>
          </w:tcPr>
          <w:p w14:paraId="79A910D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008" w:type="dxa"/>
          </w:tcPr>
          <w:p w14:paraId="2E24E0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,81</w:t>
            </w:r>
          </w:p>
        </w:tc>
        <w:tc>
          <w:tcPr>
            <w:tcW w:w="1012" w:type="dxa"/>
          </w:tcPr>
          <w:p w14:paraId="5F0EE30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,09</w:t>
            </w:r>
          </w:p>
        </w:tc>
        <w:tc>
          <w:tcPr>
            <w:tcW w:w="1376" w:type="dxa"/>
          </w:tcPr>
          <w:p w14:paraId="03E2E3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6,4</w:t>
            </w:r>
          </w:p>
        </w:tc>
        <w:tc>
          <w:tcPr>
            <w:tcW w:w="1937" w:type="dxa"/>
          </w:tcPr>
          <w:p w14:paraId="62FEF0D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Больше в 2 раза по  времени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небольшой прирост качества</w:t>
            </w:r>
          </w:p>
        </w:tc>
      </w:tr>
      <w:tr w14:paraId="1B60B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10DA620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64 ячейки</w:t>
            </w:r>
          </w:p>
        </w:tc>
        <w:tc>
          <w:tcPr>
            <w:tcW w:w="1404" w:type="dxa"/>
          </w:tcPr>
          <w:p w14:paraId="4E3A395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7,08</w:t>
            </w:r>
          </w:p>
        </w:tc>
        <w:tc>
          <w:tcPr>
            <w:tcW w:w="1008" w:type="dxa"/>
          </w:tcPr>
          <w:p w14:paraId="287B2D7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3,89</w:t>
            </w:r>
          </w:p>
        </w:tc>
        <w:tc>
          <w:tcPr>
            <w:tcW w:w="1012" w:type="dxa"/>
          </w:tcPr>
          <w:p w14:paraId="598061B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5,18</w:t>
            </w:r>
          </w:p>
        </w:tc>
        <w:tc>
          <w:tcPr>
            <w:tcW w:w="1376" w:type="dxa"/>
          </w:tcPr>
          <w:p w14:paraId="0C595F3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4,1</w:t>
            </w:r>
          </w:p>
        </w:tc>
        <w:tc>
          <w:tcPr>
            <w:tcW w:w="1937" w:type="dxa"/>
          </w:tcPr>
          <w:p w14:paraId="1756EF2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Переобучение</w:t>
            </w:r>
          </w:p>
        </w:tc>
      </w:tr>
    </w:tbl>
    <w:p w14:paraId="1AD35F0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66EE7C5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подбора коэффициента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проведены эксперименты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например без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Dropout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сразу пошло переобучение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поставленным значением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наблюдается недообучение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лучший результат для метрик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MAPE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 коэффициент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Dropout 0,2 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ближе всего к полноценному обучению 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,07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%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MAPE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 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,1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% лучший результат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6ED9696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Подбор коэффициента для метода регуляризации отключающего случайные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7"/>
        <w:gridCol w:w="2030"/>
        <w:gridCol w:w="2323"/>
        <w:gridCol w:w="2892"/>
      </w:tblGrid>
      <w:tr w14:paraId="462E6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19C91BC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Dropout</w:t>
            </w:r>
          </w:p>
        </w:tc>
        <w:tc>
          <w:tcPr>
            <w:tcW w:w="2030" w:type="dxa"/>
          </w:tcPr>
          <w:p w14:paraId="41A9D51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  <w:p w14:paraId="6F7B44D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(обучение)</w:t>
            </w:r>
          </w:p>
        </w:tc>
        <w:tc>
          <w:tcPr>
            <w:tcW w:w="2323" w:type="dxa"/>
          </w:tcPr>
          <w:p w14:paraId="1CBF843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  <w:p w14:paraId="1D1B7A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валидация)</w:t>
            </w:r>
          </w:p>
        </w:tc>
        <w:tc>
          <w:tcPr>
            <w:tcW w:w="2892" w:type="dxa"/>
          </w:tcPr>
          <w:p w14:paraId="4C297A2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Разница</w:t>
            </w:r>
          </w:p>
          <w:p w14:paraId="0273416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(переобучение)</w:t>
            </w:r>
          </w:p>
        </w:tc>
      </w:tr>
      <w:tr w14:paraId="1530A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3CCC496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,0</w:t>
            </w:r>
          </w:p>
        </w:tc>
        <w:tc>
          <w:tcPr>
            <w:tcW w:w="2030" w:type="dxa"/>
          </w:tcPr>
          <w:p w14:paraId="09EDC35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4,21</w:t>
            </w:r>
          </w:p>
        </w:tc>
        <w:tc>
          <w:tcPr>
            <w:tcW w:w="2323" w:type="dxa"/>
          </w:tcPr>
          <w:p w14:paraId="0E22723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8,94</w:t>
            </w:r>
          </w:p>
        </w:tc>
        <w:tc>
          <w:tcPr>
            <w:tcW w:w="2892" w:type="dxa"/>
          </w:tcPr>
          <w:p w14:paraId="18E8E19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+4,73%</w:t>
            </w:r>
          </w:p>
        </w:tc>
      </w:tr>
      <w:tr w14:paraId="2E8E1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0B02AC5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0,1</w:t>
            </w:r>
          </w:p>
        </w:tc>
        <w:tc>
          <w:tcPr>
            <w:tcW w:w="2030" w:type="dxa"/>
          </w:tcPr>
          <w:p w14:paraId="4241F4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5,68</w:t>
            </w:r>
          </w:p>
        </w:tc>
        <w:tc>
          <w:tcPr>
            <w:tcW w:w="2323" w:type="dxa"/>
          </w:tcPr>
          <w:p w14:paraId="335439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7,82</w:t>
            </w:r>
          </w:p>
        </w:tc>
        <w:tc>
          <w:tcPr>
            <w:tcW w:w="2892" w:type="dxa"/>
          </w:tcPr>
          <w:p w14:paraId="208891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+2,14%</w:t>
            </w:r>
          </w:p>
        </w:tc>
      </w:tr>
      <w:tr w14:paraId="295EB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41215C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0,2</w:t>
            </w:r>
          </w:p>
        </w:tc>
        <w:tc>
          <w:tcPr>
            <w:tcW w:w="2030" w:type="dxa"/>
          </w:tcPr>
          <w:p w14:paraId="2893FF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6,03</w:t>
            </w:r>
          </w:p>
        </w:tc>
        <w:tc>
          <w:tcPr>
            <w:tcW w:w="2323" w:type="dxa"/>
          </w:tcPr>
          <w:p w14:paraId="6B830D7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2892" w:type="dxa"/>
          </w:tcPr>
          <w:p w14:paraId="5E58FE9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+1,07%</w:t>
            </w:r>
          </w:p>
        </w:tc>
      </w:tr>
      <w:tr w14:paraId="51758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618FBE9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0,3</w:t>
            </w:r>
          </w:p>
        </w:tc>
        <w:tc>
          <w:tcPr>
            <w:tcW w:w="2030" w:type="dxa"/>
          </w:tcPr>
          <w:p w14:paraId="337DC68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6,47</w:t>
            </w:r>
          </w:p>
        </w:tc>
        <w:tc>
          <w:tcPr>
            <w:tcW w:w="2323" w:type="dxa"/>
          </w:tcPr>
          <w:p w14:paraId="3CF4599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7,19</w:t>
            </w:r>
          </w:p>
        </w:tc>
        <w:tc>
          <w:tcPr>
            <w:tcW w:w="2892" w:type="dxa"/>
          </w:tcPr>
          <w:p w14:paraId="6CD1EBB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+0,72%</w:t>
            </w:r>
          </w:p>
        </w:tc>
      </w:tr>
      <w:tr w14:paraId="362DF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41D332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,5</w:t>
            </w:r>
          </w:p>
        </w:tc>
        <w:tc>
          <w:tcPr>
            <w:tcW w:w="2030" w:type="dxa"/>
          </w:tcPr>
          <w:p w14:paraId="70D6B70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7,81</w:t>
            </w:r>
          </w:p>
        </w:tc>
        <w:tc>
          <w:tcPr>
            <w:tcW w:w="2323" w:type="dxa"/>
          </w:tcPr>
          <w:p w14:paraId="06D812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8,03</w:t>
            </w:r>
          </w:p>
        </w:tc>
        <w:tc>
          <w:tcPr>
            <w:tcW w:w="2892" w:type="dxa"/>
          </w:tcPr>
          <w:p w14:paraId="545520D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+0,22%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</w:tbl>
    <w:p w14:paraId="028C4C2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4C1A2A5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Отмечается важность выбора правильной длины входной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захват зависимостей не сможет происходить без правильной длины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двенадцати месяцев модель не может уловить и запомнить сезонную зависимость - нет аналогичного периода в прошлый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поведение за несколько лет брать для улавливания закономерностей сезонности и трендов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восемнадцать месяцев не дают минимального времени для улавливания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брать минимум 24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два полных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можно выделить повторяющиеся пики и спады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использовании полных трех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наблюдается незначительный прирост к точности прирост к точности и заметно увеличивается время обучения около в два раза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Тестирование называется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тест Диболда-Мариано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разница в точности между двумя и тремя годами составила около три десятых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что показывает незначительный прирост к точности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существенных увеличениях временных затрат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74ED6358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Подбор последовательности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3CE73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92078A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Длина последовательности</w:t>
            </w:r>
          </w:p>
        </w:tc>
        <w:tc>
          <w:tcPr>
            <w:tcW w:w="2841" w:type="dxa"/>
          </w:tcPr>
          <w:p w14:paraId="760AF9EE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%</w:t>
            </w:r>
          </w:p>
        </w:tc>
        <w:tc>
          <w:tcPr>
            <w:tcW w:w="2841" w:type="dxa"/>
          </w:tcPr>
          <w:p w14:paraId="2F48BCC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Комментарий</w:t>
            </w:r>
          </w:p>
        </w:tc>
      </w:tr>
      <w:tr w14:paraId="1F8A2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5CC7C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12 месяцев</w:t>
            </w:r>
          </w:p>
        </w:tc>
        <w:tc>
          <w:tcPr>
            <w:tcW w:w="2841" w:type="dxa"/>
          </w:tcPr>
          <w:p w14:paraId="7AA35E4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,41</w:t>
            </w:r>
          </w:p>
        </w:tc>
        <w:tc>
          <w:tcPr>
            <w:tcW w:w="2841" w:type="dxa"/>
          </w:tcPr>
          <w:p w14:paraId="45AFAE6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Недостаточно контекста</w:t>
            </w:r>
          </w:p>
        </w:tc>
      </w:tr>
      <w:tr w14:paraId="6E27A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30CA30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18 месяцев</w:t>
            </w:r>
          </w:p>
        </w:tc>
        <w:tc>
          <w:tcPr>
            <w:tcW w:w="2841" w:type="dxa"/>
          </w:tcPr>
          <w:p w14:paraId="6C67171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,56</w:t>
            </w:r>
          </w:p>
        </w:tc>
        <w:tc>
          <w:tcPr>
            <w:tcW w:w="2841" w:type="dxa"/>
          </w:tcPr>
          <w:p w14:paraId="4F12E2B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Недостаточно контекста</w:t>
            </w:r>
          </w:p>
        </w:tc>
      </w:tr>
      <w:tr w14:paraId="66EB2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3DC2D8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 месяца</w:t>
            </w:r>
          </w:p>
        </w:tc>
        <w:tc>
          <w:tcPr>
            <w:tcW w:w="2841" w:type="dxa"/>
          </w:tcPr>
          <w:p w14:paraId="40B069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</w:t>
            </w:r>
          </w:p>
        </w:tc>
        <w:tc>
          <w:tcPr>
            <w:tcW w:w="2841" w:type="dxa"/>
          </w:tcPr>
          <w:p w14:paraId="18E42AA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Оптимально 2 полных сезонных цикла</w:t>
            </w:r>
          </w:p>
        </w:tc>
      </w:tr>
      <w:tr w14:paraId="72735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7BC2D5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36 месяцев</w:t>
            </w:r>
          </w:p>
        </w:tc>
        <w:tc>
          <w:tcPr>
            <w:tcW w:w="2841" w:type="dxa"/>
          </w:tcPr>
          <w:p w14:paraId="1418E1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,14</w:t>
            </w:r>
          </w:p>
        </w:tc>
        <w:tc>
          <w:tcPr>
            <w:tcW w:w="2841" w:type="dxa"/>
          </w:tcPr>
          <w:p w14:paraId="526006E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Небольшой прирост точности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увеличение времени обучения</w:t>
            </w:r>
          </w:p>
        </w:tc>
      </w:tr>
    </w:tbl>
    <w:p w14:paraId="48C6DCEB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F2D0D9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Грамотная и продуманная настройка сети необходима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увеличения точности прогноза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лучшая конфигурация включает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два рекуррентных слоя по 64 ячейки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 параметром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0,2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два года минимум нужно брать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улавливания закономерностей сезонности и трендов найма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434E58B0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664A7C9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3" w:name="_Toc171423739"/>
      <w:bookmarkStart w:id="44" w:name="_Toc29886"/>
      <w:bookmarkStart w:id="45" w:name="_Toc73211075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3.2.4 Сбор и нормализация данных для обучения нейронной сети</w:t>
      </w:r>
      <w:bookmarkEnd w:id="43"/>
      <w:bookmarkEnd w:id="44"/>
      <w:bookmarkEnd w:id="45"/>
    </w:p>
    <w:p w14:paraId="525023E3">
      <w:pPr>
        <w:rPr>
          <w:rFonts w:hint="default"/>
          <w:lang w:val="en-US"/>
        </w:rPr>
      </w:pPr>
    </w:p>
    <w:p w14:paraId="517BAD8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обучения использовался датасет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IBM HR Analytics Employee Attrition &amp; Perfomance,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причиной выбора стала сложность датасета - большое количество признаков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число записей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длительный период записи информации десять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предсказания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было привести датасет в форму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добавить скользящие статистики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нахождение за временной интервал минимума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среднего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добавить временные задержки в изменении численности рабочего персонала -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обязательно - календарные переменные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квартал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новые признаки в виде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линейного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количества наймов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нормализованного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После изменений датасет приобрёл признаки указанные в таблице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15:</w:t>
      </w:r>
    </w:p>
    <w:p w14:paraId="2E21AC3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Подаваемые на вход модели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2421"/>
        <w:gridCol w:w="3770"/>
        <w:gridCol w:w="1847"/>
      </w:tblGrid>
      <w:tr w14:paraId="299AB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0A15814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2424" w:type="dxa"/>
          </w:tcPr>
          <w:p w14:paraId="417819F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Признак</w:t>
            </w:r>
          </w:p>
        </w:tc>
        <w:tc>
          <w:tcPr>
            <w:tcW w:w="3804" w:type="dxa"/>
          </w:tcPr>
          <w:p w14:paraId="479399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Описание</w:t>
            </w:r>
          </w:p>
        </w:tc>
        <w:tc>
          <w:tcPr>
            <w:tcW w:w="1855" w:type="dxa"/>
          </w:tcPr>
          <w:p w14:paraId="617679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Тип</w:t>
            </w:r>
          </w:p>
        </w:tc>
      </w:tr>
      <w:tr w14:paraId="5AD63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372EE6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2424" w:type="dxa"/>
          </w:tcPr>
          <w:p w14:paraId="3A46724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demand</w:t>
            </w:r>
          </w:p>
        </w:tc>
        <w:tc>
          <w:tcPr>
            <w:tcW w:w="3804" w:type="dxa"/>
          </w:tcPr>
          <w:p w14:paraId="16A760A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Целевая переменная - количество наймов в месяц</w:t>
            </w:r>
          </w:p>
        </w:tc>
        <w:tc>
          <w:tcPr>
            <w:tcW w:w="1855" w:type="dxa"/>
          </w:tcPr>
          <w:p w14:paraId="3CC3F8A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2615D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05E191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2424" w:type="dxa"/>
          </w:tcPr>
          <w:p w14:paraId="491894A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Month_sin, month_cos</w:t>
            </w:r>
          </w:p>
        </w:tc>
        <w:tc>
          <w:tcPr>
            <w:tcW w:w="3804" w:type="dxa"/>
          </w:tcPr>
          <w:p w14:paraId="3A014AA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Циклическое кодирование месяца</w:t>
            </w:r>
          </w:p>
        </w:tc>
        <w:tc>
          <w:tcPr>
            <w:tcW w:w="1855" w:type="dxa"/>
          </w:tcPr>
          <w:p w14:paraId="51D283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[-1;1]</w:t>
            </w:r>
          </w:p>
        </w:tc>
      </w:tr>
      <w:tr w14:paraId="0716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52312DE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</w:t>
            </w:r>
          </w:p>
        </w:tc>
        <w:tc>
          <w:tcPr>
            <w:tcW w:w="2424" w:type="dxa"/>
          </w:tcPr>
          <w:p w14:paraId="6DEE0FB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Quarter_sin, quarter_cos</w:t>
            </w:r>
          </w:p>
        </w:tc>
        <w:tc>
          <w:tcPr>
            <w:tcW w:w="3804" w:type="dxa"/>
          </w:tcPr>
          <w:p w14:paraId="2215695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Циклическое кодирование квартала</w:t>
            </w:r>
          </w:p>
        </w:tc>
        <w:tc>
          <w:tcPr>
            <w:tcW w:w="1855" w:type="dxa"/>
          </w:tcPr>
          <w:p w14:paraId="0A26D0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[-1;1]</w:t>
            </w:r>
          </w:p>
        </w:tc>
      </w:tr>
      <w:tr w14:paraId="2CC79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7D1A451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</w:t>
            </w:r>
          </w:p>
        </w:tc>
        <w:tc>
          <w:tcPr>
            <w:tcW w:w="2424" w:type="dxa"/>
          </w:tcPr>
          <w:p w14:paraId="318BF84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Year_normalized</w:t>
            </w:r>
          </w:p>
        </w:tc>
        <w:tc>
          <w:tcPr>
            <w:tcW w:w="3804" w:type="dxa"/>
          </w:tcPr>
          <w:p w14:paraId="67083EF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Нормализованный год</w:t>
            </w:r>
          </w:p>
        </w:tc>
        <w:tc>
          <w:tcPr>
            <w:tcW w:w="1855" w:type="dxa"/>
          </w:tcPr>
          <w:p w14:paraId="23FE34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[0;1]</w:t>
            </w:r>
          </w:p>
        </w:tc>
      </w:tr>
      <w:tr w14:paraId="235EF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7CC5B2C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</w:t>
            </w:r>
          </w:p>
        </w:tc>
        <w:tc>
          <w:tcPr>
            <w:tcW w:w="2424" w:type="dxa"/>
          </w:tcPr>
          <w:p w14:paraId="24A36DE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Lag_1, lag_3, lag_6, lag_12</w:t>
            </w:r>
          </w:p>
        </w:tc>
        <w:tc>
          <w:tcPr>
            <w:tcW w:w="3804" w:type="dxa"/>
          </w:tcPr>
          <w:p w14:paraId="2944909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Лаги целевой переменной</w:t>
            </w:r>
          </w:p>
        </w:tc>
        <w:tc>
          <w:tcPr>
            <w:tcW w:w="1855" w:type="dxa"/>
          </w:tcPr>
          <w:p w14:paraId="4E76CF0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583D3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257F5F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</w:p>
        </w:tc>
        <w:tc>
          <w:tcPr>
            <w:tcW w:w="2424" w:type="dxa"/>
          </w:tcPr>
          <w:p w14:paraId="0FDC06B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Rolling_mean_3</w:t>
            </w:r>
          </w:p>
        </w:tc>
        <w:tc>
          <w:tcPr>
            <w:tcW w:w="3804" w:type="dxa"/>
          </w:tcPr>
          <w:p w14:paraId="32C902B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среднее за 3 мнсяц</w:t>
            </w:r>
          </w:p>
        </w:tc>
        <w:tc>
          <w:tcPr>
            <w:tcW w:w="1855" w:type="dxa"/>
          </w:tcPr>
          <w:p w14:paraId="26133B3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2C3E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3D11B17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2424" w:type="dxa"/>
          </w:tcPr>
          <w:p w14:paraId="3086E7A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Rolling_mean_12</w:t>
            </w:r>
          </w:p>
        </w:tc>
        <w:tc>
          <w:tcPr>
            <w:tcW w:w="3804" w:type="dxa"/>
          </w:tcPr>
          <w:p w14:paraId="6C98F7B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среднее за 12 месяцев</w:t>
            </w:r>
          </w:p>
        </w:tc>
        <w:tc>
          <w:tcPr>
            <w:tcW w:w="1855" w:type="dxa"/>
          </w:tcPr>
          <w:p w14:paraId="37C958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числвой</w:t>
            </w:r>
          </w:p>
        </w:tc>
      </w:tr>
      <w:tr w14:paraId="1CA68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47BE392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</w:p>
        </w:tc>
        <w:tc>
          <w:tcPr>
            <w:tcW w:w="2424" w:type="dxa"/>
          </w:tcPr>
          <w:p w14:paraId="463B663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Rolling_std_12</w:t>
            </w:r>
          </w:p>
        </w:tc>
        <w:tc>
          <w:tcPr>
            <w:tcW w:w="3804" w:type="dxa"/>
          </w:tcPr>
          <w:p w14:paraId="1E04D7B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 за год</w:t>
            </w:r>
          </w:p>
        </w:tc>
        <w:tc>
          <w:tcPr>
            <w:tcW w:w="1855" w:type="dxa"/>
          </w:tcPr>
          <w:p w14:paraId="3D08111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3BF87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4261B76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9</w:t>
            </w:r>
          </w:p>
        </w:tc>
        <w:tc>
          <w:tcPr>
            <w:tcW w:w="2424" w:type="dxa"/>
          </w:tcPr>
          <w:p w14:paraId="00A0000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trend</w:t>
            </w:r>
          </w:p>
        </w:tc>
        <w:tc>
          <w:tcPr>
            <w:tcW w:w="3804" w:type="dxa"/>
          </w:tcPr>
          <w:p w14:paraId="7E60CFA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 тренд</w:t>
            </w:r>
          </w:p>
        </w:tc>
        <w:tc>
          <w:tcPr>
            <w:tcW w:w="1855" w:type="dxa"/>
          </w:tcPr>
          <w:p w14:paraId="24192B5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[0;1]</w:t>
            </w:r>
          </w:p>
        </w:tc>
      </w:tr>
    </w:tbl>
    <w:p w14:paraId="4DF66A07">
      <w:pPr>
        <w:wordWrap w:val="0"/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2BEC7A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обязательно разбить получившийся временной ряд на обучающую и тестовую выборку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E77787C">
      <w:pPr>
        <w:wordWrap w:val="0"/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Разбиение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5EC6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237120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Выборка</w:t>
            </w:r>
          </w:p>
        </w:tc>
        <w:tc>
          <w:tcPr>
            <w:tcW w:w="2130" w:type="dxa"/>
            <w:vAlign w:val="top"/>
          </w:tcPr>
          <w:p w14:paraId="14E288F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</w:t>
            </w:r>
          </w:p>
        </w:tc>
        <w:tc>
          <w:tcPr>
            <w:tcW w:w="2131" w:type="dxa"/>
            <w:vAlign w:val="top"/>
          </w:tcPr>
          <w:p w14:paraId="15896308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примеров</w:t>
            </w:r>
          </w:p>
        </w:tc>
        <w:tc>
          <w:tcPr>
            <w:tcW w:w="2131" w:type="dxa"/>
            <w:vAlign w:val="top"/>
          </w:tcPr>
          <w:p w14:paraId="6E3F2FF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Доля</w:t>
            </w:r>
          </w:p>
        </w:tc>
      </w:tr>
      <w:tr w14:paraId="6DA06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6E71EC7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Обучающая</w:t>
            </w:r>
          </w:p>
        </w:tc>
        <w:tc>
          <w:tcPr>
            <w:tcW w:w="2130" w:type="dxa"/>
            <w:vAlign w:val="top"/>
          </w:tcPr>
          <w:p w14:paraId="0942AB31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01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.2015 - 12.2021</w:t>
            </w:r>
          </w:p>
        </w:tc>
        <w:tc>
          <w:tcPr>
            <w:tcW w:w="2131" w:type="dxa"/>
            <w:vAlign w:val="top"/>
          </w:tcPr>
          <w:p w14:paraId="1B8609C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72</w:t>
            </w:r>
          </w:p>
        </w:tc>
        <w:tc>
          <w:tcPr>
            <w:tcW w:w="2131" w:type="dxa"/>
            <w:vAlign w:val="top"/>
          </w:tcPr>
          <w:p w14:paraId="1F3F276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75%</w:t>
            </w:r>
          </w:p>
        </w:tc>
      </w:tr>
      <w:tr w14:paraId="65A9D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06DC828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Тестовая</w:t>
            </w:r>
          </w:p>
        </w:tc>
        <w:tc>
          <w:tcPr>
            <w:tcW w:w="2130" w:type="dxa"/>
            <w:vAlign w:val="top"/>
          </w:tcPr>
          <w:p w14:paraId="75421890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01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.2022 - 12.2025</w:t>
            </w:r>
          </w:p>
        </w:tc>
        <w:tc>
          <w:tcPr>
            <w:tcW w:w="2131" w:type="dxa"/>
            <w:vAlign w:val="top"/>
          </w:tcPr>
          <w:p w14:paraId="5CD215C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24</w:t>
            </w:r>
          </w:p>
        </w:tc>
        <w:tc>
          <w:tcPr>
            <w:tcW w:w="2131" w:type="dxa"/>
            <w:vAlign w:val="top"/>
          </w:tcPr>
          <w:p w14:paraId="043ED1F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25%</w:t>
            </w:r>
          </w:p>
        </w:tc>
      </w:tr>
      <w:tr w14:paraId="1DE01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C9F7B2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</w:t>
            </w:r>
          </w:p>
        </w:tc>
        <w:tc>
          <w:tcPr>
            <w:tcW w:w="2130" w:type="dxa"/>
            <w:vAlign w:val="top"/>
          </w:tcPr>
          <w:p w14:paraId="50F2D38F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Встроен в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callbacks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ранняя остановка</w:t>
            </w:r>
          </w:p>
        </w:tc>
        <w:tc>
          <w:tcPr>
            <w:tcW w:w="2131" w:type="dxa"/>
            <w:vAlign w:val="top"/>
          </w:tcPr>
          <w:p w14:paraId="5F81854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-</w:t>
            </w:r>
          </w:p>
        </w:tc>
        <w:tc>
          <w:tcPr>
            <w:tcW w:w="2131" w:type="dxa"/>
            <w:vAlign w:val="top"/>
          </w:tcPr>
          <w:p w14:paraId="4DD942C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-</w:t>
            </w:r>
          </w:p>
        </w:tc>
      </w:tr>
    </w:tbl>
    <w:p w14:paraId="693EEB78">
      <w:pPr>
        <w:wordWrap/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654C164">
      <w:pPr>
        <w:spacing w:after="0" w:line="360" w:lineRule="auto"/>
        <w:jc w:val="both"/>
      </w:pPr>
      <w:r>
        <w:drawing>
          <wp:inline distT="0" distB="0" distL="114300" distR="114300">
            <wp:extent cx="5269230" cy="2591435"/>
            <wp:effectExtent l="0" t="0" r="3810" b="14605"/>
            <wp:docPr id="1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8835E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17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Распределение месячной потребностей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74EFA3D4">
      <w:pPr>
        <w:spacing w:after="0" w:line="360" w:lineRule="auto"/>
        <w:jc w:val="center"/>
      </w:pPr>
      <w:r>
        <w:drawing>
          <wp:inline distT="0" distB="0" distL="114300" distR="114300">
            <wp:extent cx="5272405" cy="2418715"/>
            <wp:effectExtent l="0" t="0" r="635" b="4445"/>
            <wp:docPr id="2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016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18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Накопленная потребность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 кадрах за десять лет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3C883FB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3F9DCD3">
      <w:pPr>
        <w:spacing w:after="0" w:line="360" w:lineRule="auto"/>
        <w:jc w:val="center"/>
      </w:pPr>
      <w:r>
        <w:drawing>
          <wp:inline distT="0" distB="0" distL="114300" distR="114300">
            <wp:extent cx="5272405" cy="3125470"/>
            <wp:effectExtent l="0" t="0" r="635" b="13970"/>
            <wp:docPr id="22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2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97F67">
      <w:pPr>
        <w:spacing w:after="0" w:line="360" w:lineRule="auto"/>
        <w:jc w:val="center"/>
      </w:pPr>
    </w:p>
    <w:p w14:paraId="6A981F13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19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Тепловая карта найма по месяцам и годам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87404F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331A208">
      <w:pPr>
        <w:spacing w:after="0" w:line="360" w:lineRule="auto"/>
        <w:jc w:val="center"/>
      </w:pPr>
      <w:r>
        <w:drawing>
          <wp:inline distT="0" distB="0" distL="114300" distR="114300">
            <wp:extent cx="5265420" cy="2591435"/>
            <wp:effectExtent l="0" t="0" r="7620" b="14605"/>
            <wp:docPr id="23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64185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20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Динамика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5D5150C7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24DAAB7">
      <w:pPr>
        <w:spacing w:after="0" w:line="360" w:lineRule="auto"/>
        <w:jc w:val="both"/>
      </w:pPr>
      <w:r>
        <w:drawing>
          <wp:inline distT="0" distB="0" distL="114300" distR="114300">
            <wp:extent cx="5269230" cy="2587625"/>
            <wp:effectExtent l="0" t="0" r="3810" b="3175"/>
            <wp:docPr id="24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95F2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Динамика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BC447D4">
      <w:pPr>
        <w:spacing w:after="0" w:line="360" w:lineRule="auto"/>
        <w:jc w:val="both"/>
        <w:rPr>
          <w:rFonts w:hint="default"/>
          <w:lang w:val="en-US"/>
        </w:rPr>
      </w:pPr>
    </w:p>
    <w:p w14:paraId="3EA09734">
      <w:pPr>
        <w:spacing w:after="0" w:line="360" w:lineRule="auto"/>
        <w:jc w:val="center"/>
        <w:rPr>
          <w:rFonts w:hint="default"/>
          <w:lang w:val="ru-RU" w:eastAsia="en-US"/>
        </w:rPr>
      </w:pPr>
    </w:p>
    <w:p w14:paraId="258FDE7F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46" w:name="_Toc73211076"/>
      <w:bookmarkStart w:id="47" w:name="_Toc171423740"/>
      <w:bookmarkStart w:id="48" w:name="_Toc9347"/>
      <w:r>
        <w:rPr>
          <w:rFonts w:ascii="Times New Roman" w:hAnsi="Times New Roman"/>
          <w:b/>
          <w:sz w:val="28"/>
          <w:szCs w:val="20"/>
          <w:lang w:eastAsia="en-US"/>
        </w:rPr>
        <w:t>Обучение нейронной сети</w:t>
      </w:r>
      <w:bookmarkEnd w:id="46"/>
      <w:bookmarkEnd w:id="47"/>
      <w:bookmarkEnd w:id="48"/>
    </w:p>
    <w:p w14:paraId="2D73A4FD">
      <w:pPr>
        <w:spacing w:after="0" w:line="240" w:lineRule="auto"/>
        <w:rPr>
          <w:rFonts w:ascii="Times New Roman" w:hAnsi="Times New Roman" w:eastAsia="Calibri"/>
          <w:sz w:val="20"/>
          <w:szCs w:val="20"/>
          <w:lang w:eastAsia="en-US"/>
        </w:rPr>
      </w:pPr>
    </w:p>
    <w:p w14:paraId="69BAF46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Можно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выделить два основных этапа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первый этап обучение с механизмом внимания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двух рекуррентных слоёв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второй этап проходит при помощи стекинга на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LightGBM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B8C4AC0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подобрать подходящие параметры для проведения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таблице 17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показаны использованные параметры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D6D848D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Параметры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321F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E2F25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Параметр</w:t>
            </w:r>
          </w:p>
        </w:tc>
        <w:tc>
          <w:tcPr>
            <w:tcW w:w="4261" w:type="dxa"/>
          </w:tcPr>
          <w:p w14:paraId="1D62AA4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Значение</w:t>
            </w:r>
          </w:p>
        </w:tc>
      </w:tr>
      <w:tr w14:paraId="035CF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723ABB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Оптимизатор</w:t>
            </w:r>
          </w:p>
        </w:tc>
        <w:tc>
          <w:tcPr>
            <w:tcW w:w="4261" w:type="dxa"/>
          </w:tcPr>
          <w:p w14:paraId="041B6C0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Adam (learning rate = 0,001)</w:t>
            </w:r>
          </w:p>
        </w:tc>
      </w:tr>
      <w:tr w14:paraId="0E3DC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A0290C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Функция потерь</w:t>
            </w:r>
          </w:p>
        </w:tc>
        <w:tc>
          <w:tcPr>
            <w:tcW w:w="4261" w:type="dxa"/>
          </w:tcPr>
          <w:p w14:paraId="046FF97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MSE</w:t>
            </w:r>
          </w:p>
        </w:tc>
      </w:tr>
      <w:tr w14:paraId="05787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32F8D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Метрики</w:t>
            </w:r>
          </w:p>
        </w:tc>
        <w:tc>
          <w:tcPr>
            <w:tcW w:w="4261" w:type="dxa"/>
          </w:tcPr>
          <w:p w14:paraId="7F2F86D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</w:tr>
      <w:tr w14:paraId="2AC5A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92E3D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Размер батча</w:t>
            </w:r>
          </w:p>
        </w:tc>
        <w:tc>
          <w:tcPr>
            <w:tcW w:w="4261" w:type="dxa"/>
          </w:tcPr>
          <w:p w14:paraId="7FF3233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16</w:t>
            </w:r>
          </w:p>
        </w:tc>
      </w:tr>
      <w:tr w14:paraId="503F0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A32339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Максимальное число эпох</w:t>
            </w:r>
          </w:p>
        </w:tc>
        <w:tc>
          <w:tcPr>
            <w:tcW w:w="4261" w:type="dxa"/>
          </w:tcPr>
          <w:p w14:paraId="61824E1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200</w:t>
            </w:r>
          </w:p>
        </w:tc>
      </w:tr>
      <w:tr w14:paraId="05EFF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4DB081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Длина последовательности</w:t>
            </w:r>
          </w:p>
        </w:tc>
        <w:tc>
          <w:tcPr>
            <w:tcW w:w="4261" w:type="dxa"/>
          </w:tcPr>
          <w:p w14:paraId="27F2CE9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 месяца</w:t>
            </w:r>
          </w:p>
        </w:tc>
      </w:tr>
      <w:tr w14:paraId="46B16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69BBC1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Callbacks</w:t>
            </w:r>
          </w:p>
        </w:tc>
        <w:tc>
          <w:tcPr>
            <w:tcW w:w="4261" w:type="dxa"/>
          </w:tcPr>
          <w:p w14:paraId="5219667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EarlyStopping(patience=15), ReduceLROnPlateau(factor=0.5, patience=8), ModelCheckpoint</w:t>
            </w:r>
          </w:p>
        </w:tc>
      </w:tr>
    </w:tbl>
    <w:p w14:paraId="69CB972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A40AD6E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drawing>
          <wp:inline distT="0" distB="0" distL="114300" distR="114300">
            <wp:extent cx="5269230" cy="2195195"/>
            <wp:effectExtent l="0" t="0" r="3810" b="14605"/>
            <wp:docPr id="25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9BC9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22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Обучение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Bidirectional LSTM + Bahdanau Attention.</w:t>
      </w:r>
    </w:p>
    <w:p w14:paraId="38C8AB46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3AE58764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9" w:name="_Toc8420"/>
      <w:bookmarkStart w:id="50" w:name="_Toc73211077"/>
      <w:bookmarkStart w:id="51" w:name="_Toc171423741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3.3.1 Выбор способа оценки адекватности результатов обучения</w:t>
      </w:r>
      <w:bookmarkEnd w:id="49"/>
      <w:bookmarkEnd w:id="50"/>
      <w:bookmarkEnd w:id="51"/>
    </w:p>
    <w:p w14:paraId="0D1086C1">
      <w:pPr>
        <w:rPr>
          <w:rFonts w:hint="default"/>
          <w:lang w:val="en-US"/>
        </w:rPr>
      </w:pPr>
    </w:p>
    <w:p w14:paraId="07D5FD7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Оценка качества предсказания потребности в сотрудниках должна включать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количественные метрики ошибки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кросс валидацию по временному ряду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статистические тесты и анализ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проведено сравнение простых стартовых моделей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ведь нужно использовать системный анализ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доказательства отсутствия переобучения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точности прогноза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статистическую значимость получившихся улучшений в результате осмысленного подбора нужной конфигурации параметров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реализации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Bi-LSTM.</w:t>
      </w:r>
    </w:p>
    <w:p w14:paraId="43A6059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Оценка адекватности проводилась метриками приведёнными раньше в предыдущих главах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MAPE, MAE, RMSE, sMAPE, </w:t>
      </w:r>
      <m:oMath>
        <m:sSup>
          <m:sSupPr>
            <m:ctrlPr>
              <w:rPr>
                <w:rFonts w:hint="default" w:ascii="Cambria Math" w:hAnsi="Cambria Math" w:eastAsia="Calibri"/>
                <w:sz w:val="28"/>
              </w:rPr>
            </m:ctrlPr>
          </m:sSupPr>
          <m:e>
            <m:r>
              <m:rPr/>
              <w:rPr>
                <w:rFonts w:hint="default" w:ascii="Cambria Math" w:hAnsi="Cambria Math" w:eastAsia="Calibri"/>
                <w:sz w:val="28"/>
              </w:rPr>
              <m:t>R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Calibri"/>
                <w:sz w:val="28"/>
              </w:rPr>
              <m:t>2</m:t>
            </m:r>
            <m:ctrlPr>
              <w:rPr>
                <w:rFonts w:ascii="Cambria Math" w:hAnsi="Cambria Math" w:eastAsia="Calibri"/>
                <w:sz w:val="28"/>
              </w:rPr>
            </m:ctrlPr>
          </m:sup>
        </m:sSup>
      </m:oMath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подробное описание метрик показано в таблице 18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78F3DE4E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Метрики оценки адекватности результатов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7"/>
        <w:gridCol w:w="1263"/>
        <w:gridCol w:w="4941"/>
        <w:gridCol w:w="1821"/>
      </w:tblGrid>
      <w:tr w14:paraId="4EBEA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30F1CD4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1263" w:type="dxa"/>
          </w:tcPr>
          <w:p w14:paraId="040953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Метрика</w:t>
            </w:r>
          </w:p>
        </w:tc>
        <w:tc>
          <w:tcPr>
            <w:tcW w:w="4941" w:type="dxa"/>
          </w:tcPr>
          <w:p w14:paraId="6211E56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Математическая запись</w:t>
            </w:r>
          </w:p>
        </w:tc>
        <w:tc>
          <w:tcPr>
            <w:tcW w:w="1821" w:type="dxa"/>
          </w:tcPr>
          <w:p w14:paraId="2B95350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Обоснование применения в задаче</w:t>
            </w:r>
          </w:p>
        </w:tc>
      </w:tr>
      <w:tr w14:paraId="06EEA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3D56F41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1263" w:type="dxa"/>
          </w:tcPr>
          <w:p w14:paraId="0675B22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</w:tc>
        <w:tc>
          <w:tcPr>
            <w:tcW w:w="4941" w:type="dxa"/>
          </w:tcPr>
          <w:p w14:paraId="5C2B3D7C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MAPE=(100/n)∑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)/y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</m:t>
                </m:r>
              </m:oMath>
            </m:oMathPara>
          </w:p>
        </w:tc>
        <w:tc>
          <w:tcPr>
            <w:tcW w:w="1821" w:type="dxa"/>
          </w:tcPr>
          <w:p w14:paraId="65FFC9F8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Интерпретируемая в проценты метрика</w:t>
            </w:r>
          </w:p>
        </w:tc>
      </w:tr>
      <w:tr w14:paraId="579AF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046AD2D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263" w:type="dxa"/>
          </w:tcPr>
          <w:p w14:paraId="2603BCB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  <w:tc>
          <w:tcPr>
            <w:tcW w:w="4941" w:type="dxa"/>
          </w:tcPr>
          <w:p w14:paraId="14394E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MAE=(1/n)∑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</m:t>
                </m:r>
              </m:oMath>
            </m:oMathPara>
          </w:p>
        </w:tc>
        <w:tc>
          <w:tcPr>
            <w:tcW w:w="1821" w:type="dxa"/>
          </w:tcPr>
          <w:p w14:paraId="52AA4C3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Абсолютная ошибка в единицах найма</w:t>
            </w:r>
          </w:p>
        </w:tc>
      </w:tr>
      <w:tr w14:paraId="43EA7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21ED426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263" w:type="dxa"/>
          </w:tcPr>
          <w:p w14:paraId="1B2664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4941" w:type="dxa"/>
          </w:tcPr>
          <w:p w14:paraId="29CDDDC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RMSE=√[(1/n)∑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]</m:t>
                </m:r>
              </m:oMath>
            </m:oMathPara>
          </w:p>
        </w:tc>
        <w:tc>
          <w:tcPr>
            <w:tcW w:w="1821" w:type="dxa"/>
          </w:tcPr>
          <w:p w14:paraId="04DF227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Штрафует модель за крупные промахи</w:t>
            </w:r>
          </w:p>
        </w:tc>
      </w:tr>
      <w:tr w14:paraId="492FF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67A4073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</w:p>
        </w:tc>
        <w:tc>
          <w:tcPr>
            <w:tcW w:w="1263" w:type="dxa"/>
          </w:tcPr>
          <w:p w14:paraId="32F4E6D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sMAPE</w:t>
            </w:r>
          </w:p>
        </w:tc>
        <w:tc>
          <w:tcPr>
            <w:tcW w:w="4941" w:type="dxa"/>
          </w:tcPr>
          <w:p w14:paraId="43F5FE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sMAPE=(200/n)∑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|/(|y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|+|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|)</m:t>
                </m:r>
              </m:oMath>
            </m:oMathPara>
          </w:p>
        </w:tc>
        <w:tc>
          <w:tcPr>
            <w:tcW w:w="1821" w:type="dxa"/>
          </w:tcPr>
          <w:p w14:paraId="38A0514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Симметричная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для корректного сравнения</w:t>
            </w:r>
          </w:p>
        </w:tc>
      </w:tr>
      <w:tr w14:paraId="7B42F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0548B4B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</w:p>
        </w:tc>
        <w:tc>
          <w:tcPr>
            <w:tcW w:w="1263" w:type="dxa"/>
          </w:tcPr>
          <w:p w14:paraId="57EEF33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2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4941" w:type="dxa"/>
          </w:tcPr>
          <w:p w14:paraId="6799311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R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=1−[∑(y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/∑(y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ȳ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]</m:t>
                </m:r>
              </m:oMath>
            </m:oMathPara>
          </w:p>
        </w:tc>
        <w:tc>
          <w:tcPr>
            <w:tcW w:w="1821" w:type="dxa"/>
          </w:tcPr>
          <w:p w14:paraId="372AB5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Доля объяснённой дисперсии временного ряда</w:t>
            </w:r>
          </w:p>
        </w:tc>
      </w:tr>
    </w:tbl>
    <w:p w14:paraId="656B02B4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012B66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Скользящая кросс-валидация используется для устранения проблемы смешивания будущего с прошлым - утечки прошлого в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или наоборот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было применено пять фолдов с скользящей кросс-валидацией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таблице 19 продемонстрированы результаты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6D47A2D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6049201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Применение 5 фолдов с скользящей кросс-валидацией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375"/>
        <w:gridCol w:w="1825"/>
        <w:gridCol w:w="1393"/>
        <w:gridCol w:w="1611"/>
        <w:gridCol w:w="1191"/>
      </w:tblGrid>
      <w:tr w14:paraId="6A892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1DA9BFE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Фолд</w:t>
            </w:r>
          </w:p>
        </w:tc>
        <w:tc>
          <w:tcPr>
            <w:tcW w:w="1375" w:type="dxa"/>
          </w:tcPr>
          <w:p w14:paraId="11CFF81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 обучения</w:t>
            </w:r>
          </w:p>
        </w:tc>
        <w:tc>
          <w:tcPr>
            <w:tcW w:w="1825" w:type="dxa"/>
          </w:tcPr>
          <w:p w14:paraId="49AEC79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 тестирования</w:t>
            </w:r>
          </w:p>
        </w:tc>
        <w:tc>
          <w:tcPr>
            <w:tcW w:w="1393" w:type="dxa"/>
          </w:tcPr>
          <w:p w14:paraId="4FBDBC2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%</w:t>
            </w:r>
          </w:p>
        </w:tc>
        <w:tc>
          <w:tcPr>
            <w:tcW w:w="1611" w:type="dxa"/>
          </w:tcPr>
          <w:p w14:paraId="7B03839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MAE,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сотрудники</w:t>
            </w:r>
          </w:p>
        </w:tc>
        <w:tc>
          <w:tcPr>
            <w:tcW w:w="1191" w:type="dxa"/>
          </w:tcPr>
          <w:p w14:paraId="71622AF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</w:tr>
      <w:tr w14:paraId="3BDA2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30B148D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</w:t>
            </w:r>
          </w:p>
        </w:tc>
        <w:tc>
          <w:tcPr>
            <w:tcW w:w="1375" w:type="dxa"/>
          </w:tcPr>
          <w:p w14:paraId="52C23C1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2015.01-2019.12</w:t>
            </w:r>
          </w:p>
        </w:tc>
        <w:tc>
          <w:tcPr>
            <w:tcW w:w="1825" w:type="dxa"/>
          </w:tcPr>
          <w:p w14:paraId="400FF52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2020.01-2020.12</w:t>
            </w:r>
          </w:p>
        </w:tc>
        <w:tc>
          <w:tcPr>
            <w:tcW w:w="1393" w:type="dxa"/>
          </w:tcPr>
          <w:p w14:paraId="5510E96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7,41</w:t>
            </w:r>
          </w:p>
        </w:tc>
        <w:tc>
          <w:tcPr>
            <w:tcW w:w="1611" w:type="dxa"/>
          </w:tcPr>
          <w:p w14:paraId="140206D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3,88</w:t>
            </w:r>
          </w:p>
        </w:tc>
        <w:tc>
          <w:tcPr>
            <w:tcW w:w="1191" w:type="dxa"/>
          </w:tcPr>
          <w:p w14:paraId="771B01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5,11</w:t>
            </w:r>
          </w:p>
        </w:tc>
      </w:tr>
      <w:tr w14:paraId="30688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27" w:type="dxa"/>
          </w:tcPr>
          <w:p w14:paraId="63570E6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</w:t>
            </w:r>
          </w:p>
        </w:tc>
        <w:tc>
          <w:tcPr>
            <w:tcW w:w="1375" w:type="dxa"/>
          </w:tcPr>
          <w:p w14:paraId="12593A9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2015.01-2020.12</w:t>
            </w:r>
          </w:p>
        </w:tc>
        <w:tc>
          <w:tcPr>
            <w:tcW w:w="1825" w:type="dxa"/>
          </w:tcPr>
          <w:p w14:paraId="36ADC61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2021.01-2021.12</w:t>
            </w:r>
          </w:p>
        </w:tc>
        <w:tc>
          <w:tcPr>
            <w:tcW w:w="1393" w:type="dxa"/>
          </w:tcPr>
          <w:p w14:paraId="1ED9A8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7,23</w:t>
            </w:r>
          </w:p>
        </w:tc>
        <w:tc>
          <w:tcPr>
            <w:tcW w:w="1611" w:type="dxa"/>
          </w:tcPr>
          <w:p w14:paraId="0ED6785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3,79</w:t>
            </w:r>
          </w:p>
        </w:tc>
        <w:tc>
          <w:tcPr>
            <w:tcW w:w="1191" w:type="dxa"/>
          </w:tcPr>
          <w:p w14:paraId="23D3B1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5,02</w:t>
            </w:r>
          </w:p>
        </w:tc>
      </w:tr>
      <w:tr w14:paraId="031EF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0030AEF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</w:t>
            </w:r>
          </w:p>
        </w:tc>
        <w:tc>
          <w:tcPr>
            <w:tcW w:w="1375" w:type="dxa"/>
          </w:tcPr>
          <w:p w14:paraId="4F72A4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2015.01-2021.12</w:t>
            </w:r>
          </w:p>
        </w:tc>
        <w:tc>
          <w:tcPr>
            <w:tcW w:w="1825" w:type="dxa"/>
          </w:tcPr>
          <w:p w14:paraId="343BE3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2022.01-2022.12</w:t>
            </w:r>
          </w:p>
        </w:tc>
        <w:tc>
          <w:tcPr>
            <w:tcW w:w="1393" w:type="dxa"/>
          </w:tcPr>
          <w:p w14:paraId="0E64373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611" w:type="dxa"/>
          </w:tcPr>
          <w:p w14:paraId="092A793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3,64</w:t>
            </w:r>
          </w:p>
        </w:tc>
        <w:tc>
          <w:tcPr>
            <w:tcW w:w="1191" w:type="dxa"/>
          </w:tcPr>
          <w:p w14:paraId="59AE298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4,87</w:t>
            </w:r>
          </w:p>
        </w:tc>
      </w:tr>
      <w:tr w14:paraId="13BFC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789DC2E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</w:t>
            </w:r>
          </w:p>
        </w:tc>
        <w:tc>
          <w:tcPr>
            <w:tcW w:w="1375" w:type="dxa"/>
          </w:tcPr>
          <w:p w14:paraId="7DC09BC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2015.01-2022.12</w:t>
            </w:r>
          </w:p>
        </w:tc>
        <w:tc>
          <w:tcPr>
            <w:tcW w:w="1825" w:type="dxa"/>
          </w:tcPr>
          <w:p w14:paraId="0CCF8E5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2023.01-2023.12</w:t>
            </w:r>
          </w:p>
        </w:tc>
        <w:tc>
          <w:tcPr>
            <w:tcW w:w="1393" w:type="dxa"/>
          </w:tcPr>
          <w:p w14:paraId="5060AF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7,12</w:t>
            </w:r>
          </w:p>
        </w:tc>
        <w:tc>
          <w:tcPr>
            <w:tcW w:w="1611" w:type="dxa"/>
          </w:tcPr>
          <w:p w14:paraId="3D91873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3,71</w:t>
            </w:r>
          </w:p>
        </w:tc>
        <w:tc>
          <w:tcPr>
            <w:tcW w:w="1191" w:type="dxa"/>
          </w:tcPr>
          <w:p w14:paraId="3E59AA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4,94</w:t>
            </w:r>
          </w:p>
        </w:tc>
      </w:tr>
      <w:tr w14:paraId="3A029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475F5F9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</w:t>
            </w:r>
          </w:p>
        </w:tc>
        <w:tc>
          <w:tcPr>
            <w:tcW w:w="1375" w:type="dxa"/>
          </w:tcPr>
          <w:p w14:paraId="75C1FB6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2015.01-2023.12</w:t>
            </w:r>
          </w:p>
        </w:tc>
        <w:tc>
          <w:tcPr>
            <w:tcW w:w="1825" w:type="dxa"/>
          </w:tcPr>
          <w:p w14:paraId="030CDBF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2024.01 - 2025.12</w:t>
            </w:r>
          </w:p>
        </w:tc>
        <w:tc>
          <w:tcPr>
            <w:tcW w:w="1393" w:type="dxa"/>
          </w:tcPr>
          <w:p w14:paraId="67CB6D4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7,05</w:t>
            </w:r>
          </w:p>
        </w:tc>
        <w:tc>
          <w:tcPr>
            <w:tcW w:w="1611" w:type="dxa"/>
          </w:tcPr>
          <w:p w14:paraId="26872B4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3,68</w:t>
            </w:r>
          </w:p>
        </w:tc>
        <w:tc>
          <w:tcPr>
            <w:tcW w:w="1191" w:type="dxa"/>
          </w:tcPr>
          <w:p w14:paraId="4C1E1D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4,89</w:t>
            </w:r>
          </w:p>
        </w:tc>
      </w:tr>
    </w:tbl>
    <w:p w14:paraId="4B2732E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6001DA1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23 проведено сравнение простых стартовых моделей с получившиеся в итоге обученной при помощью стекинга итоговой модели использующийся для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Видно что реальная проверка показала что лучший прогноз получается от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Сезонный наивный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это показывает важность сравнения полученной модели с стартовыми простыми моделями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сложные модели могут иметь худший результат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коротких временных рядах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Но для длинных временных рядов подходит именно разработанная и обученная стэкинг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Превосходство простых моделей над сложными получается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причине использования коротких и шумных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международные выводы гласят - ситуации где простые методы превосходят сложные многоуровневые ансамблевые архитектуры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существуют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 не нужно отбрасывать сложные модели в сторону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уметь применять разные методы решения для различных ситуаций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Обученную в работе нейросеть нужно применять для временных рядов больше пятнадцати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сейчас стекинг выдаёт потребность в кадрах близкую к константе по причине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недостаточного размера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45011EB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1135" cy="2381885"/>
            <wp:effectExtent l="0" t="0" r="1905" b="10795"/>
            <wp:docPr id="2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8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6B63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98C5A0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получившийся в результате обучения модели с простыми стартовыми моделями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72A5A4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28EFC93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Остатки важный показатель оценки адекватности работы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 продемонстрированы рисуночки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для обученной модели 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квантиль график указывающий на нормальное распределение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На рисунке двадцать четыре видно остатки расположены без систематического смещения и без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основном около нулевой красной пунктирной линии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видно нет переоценки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 и минимум десять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редкие пики - характер остатков несёт случайный характер и нету признаков гетероскедастичности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BE275A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66F6F13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1135" cy="3674110"/>
            <wp:effectExtent l="0" t="0" r="1905" b="13970"/>
            <wp:docPr id="2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7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88DED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остатков финальной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55AAA07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96234B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25 можно увидеть наличие аномалий в виде редких увеличений показателей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распределение остатков около биссектрисы говорит о нормальном распределении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188D035">
      <w:pPr>
        <w:spacing w:after="0" w:line="360" w:lineRule="auto"/>
        <w:jc w:val="both"/>
      </w:pPr>
      <w:r>
        <w:drawing>
          <wp:inline distT="0" distB="0" distL="114300" distR="114300">
            <wp:extent cx="5273040" cy="3814445"/>
            <wp:effectExtent l="0" t="0" r="0" b="10795"/>
            <wp:docPr id="2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1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B1C3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Квантиль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BBA6069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C17403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Льюнг-Бокс показал успешное извлечение информации из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остатки являются белым шумом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Шапиро-Уилка выявил распределение остатков близкое к нормальному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Диболд-Мариано определил различия между стартовой моделью наивного предсказания и получившейся итоговой моделью - различий значимых нет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простая модель не хуже многоуровневой ансамблевой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554F6171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3674110" cy="1588135"/>
            <wp:effectExtent l="0" t="0" r="13970" b="12065"/>
            <wp:docPr id="2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186B6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Проверка остатков тест Льюнга-Бокса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Диболда-Мариано и Шапиро-Уилка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EF5CFD6">
      <w:pPr>
        <w:spacing w:after="0" w:line="360" w:lineRule="auto"/>
        <w:jc w:val="both"/>
        <w:rPr>
          <w:rFonts w:hint="default"/>
          <w:lang w:val="ru-RU" w:eastAsia="en-US"/>
        </w:rPr>
      </w:pPr>
    </w:p>
    <w:p w14:paraId="3E994F9C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2" w:name="_Toc171423742"/>
      <w:bookmarkStart w:id="53" w:name="_Toc73211078"/>
      <w:bookmarkStart w:id="54" w:name="_Toc5221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3.3.2 Расчёт количества потерь и их минимизация</w:t>
      </w:r>
      <w:bookmarkEnd w:id="52"/>
      <w:bookmarkEnd w:id="53"/>
      <w:bookmarkEnd w:id="54"/>
    </w:p>
    <w:p w14:paraId="2B7155D9"/>
    <w:p w14:paraId="57B1ED19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Важно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отметить экономическую эффективность при оценке количества потерь и качества разработанной нейронной сети</w:t>
      </w:r>
      <w:r>
        <w:rPr>
          <w:rFonts w:ascii="Times New Roman" w:hAnsi="Times New Roman" w:eastAsia="Calibri"/>
          <w:sz w:val="28"/>
          <w:szCs w:val="28"/>
          <w:lang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Угрозу университету представляют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недобор персонала и перебор персонала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обычно рассмотренные проблемы оцениваются в больших для организации деньгах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данным приближенным к реальным по мнению Росстата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один неправильно предсказанный человек обойдётся в 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миллионов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учитывая среднюю ежемесячную зарплату преподавателей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ставки ФОТ Росстата на 2025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отметить стоимость недобора значительно превышает перебор сотрудников по себестоимости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стоимость перебора 870 000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недобора 1500 000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обычных метрик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MAPE, MAE, RMSE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 достаточно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полной оценки денежных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нужна формула для ассиметричной функции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ранее были рассмотрены только симметричные метрики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Снизу показана ассиметричная функция потерь по причине разницы стоимости проблем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1A89924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drawing>
          <wp:inline distT="0" distB="0" distL="114300" distR="114300">
            <wp:extent cx="5420360" cy="669290"/>
            <wp:effectExtent l="0" t="0" r="5080" b="1270"/>
            <wp:docPr id="29" name="2384804F-3998-4D57-9195-F3826E402611-2" descr="C:/Users/Machcreator/AppData/Local/Temp/wps.MLICrW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2384804F-3998-4D57-9195-F3826E402611-2" descr="C:/Users/Machcreator/AppData/Local/Temp/wps.MLICrWwps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178" cy="66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8EF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рассмотрен эксперимент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использованием модели устраняющей недобор сотрудников - завышающей прогноз на потребность был подобран квантиль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,92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завышения прогноза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дальше эксперимент рассматривается в виде таблицы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20. </w:t>
      </w:r>
    </w:p>
    <w:p w14:paraId="11D1A25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A57F40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48CB5F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20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потерь за год МУИВ при использовании разных типов прогнозирования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8E03ED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tbl>
      <w:tblPr>
        <w:tblStyle w:val="12"/>
        <w:tblW w:w="86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4"/>
        <w:gridCol w:w="2548"/>
        <w:gridCol w:w="1308"/>
        <w:gridCol w:w="1320"/>
        <w:gridCol w:w="1752"/>
        <w:gridCol w:w="1296"/>
      </w:tblGrid>
      <w:tr w14:paraId="57B48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0EC57F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2548" w:type="dxa"/>
          </w:tcPr>
          <w:p w14:paraId="4FDE11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Стратегия прогнозирования</w:t>
            </w:r>
          </w:p>
        </w:tc>
        <w:tc>
          <w:tcPr>
            <w:tcW w:w="1308" w:type="dxa"/>
          </w:tcPr>
          <w:p w14:paraId="7EC4F87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Годовой недобор человек</w:t>
            </w:r>
          </w:p>
        </w:tc>
        <w:tc>
          <w:tcPr>
            <w:tcW w:w="1320" w:type="dxa"/>
          </w:tcPr>
          <w:p w14:paraId="5EC005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Годовые потери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млн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руб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</w:t>
            </w:r>
          </w:p>
        </w:tc>
        <w:tc>
          <w:tcPr>
            <w:tcW w:w="1752" w:type="dxa"/>
          </w:tcPr>
          <w:p w14:paraId="2C111A5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Экономия в млн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.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руб</w:t>
            </w:r>
          </w:p>
        </w:tc>
        <w:tc>
          <w:tcPr>
            <w:tcW w:w="1296" w:type="dxa"/>
          </w:tcPr>
          <w:p w14:paraId="41F6DAF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Экономия в %</w:t>
            </w:r>
          </w:p>
        </w:tc>
      </w:tr>
      <w:tr w14:paraId="0C0EE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0241EEA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2548" w:type="dxa"/>
          </w:tcPr>
          <w:p w14:paraId="41F89D7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Наивный</w:t>
            </w:r>
          </w:p>
        </w:tc>
        <w:tc>
          <w:tcPr>
            <w:tcW w:w="1308" w:type="dxa"/>
          </w:tcPr>
          <w:p w14:paraId="59C37D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32,8</w:t>
            </w:r>
          </w:p>
        </w:tc>
        <w:tc>
          <w:tcPr>
            <w:tcW w:w="1320" w:type="dxa"/>
          </w:tcPr>
          <w:p w14:paraId="72637FC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23,1</w:t>
            </w:r>
          </w:p>
        </w:tc>
        <w:tc>
          <w:tcPr>
            <w:tcW w:w="1752" w:type="dxa"/>
          </w:tcPr>
          <w:p w14:paraId="2251F7E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87,4</w:t>
            </w:r>
          </w:p>
        </w:tc>
        <w:tc>
          <w:tcPr>
            <w:tcW w:w="1296" w:type="dxa"/>
          </w:tcPr>
          <w:p w14:paraId="3A31D1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нету</w:t>
            </w:r>
          </w:p>
        </w:tc>
      </w:tr>
      <w:tr w14:paraId="6B73D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21C24AF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2548" w:type="dxa"/>
          </w:tcPr>
          <w:p w14:paraId="0C9215C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XGBoost</w:t>
            </w:r>
          </w:p>
        </w:tc>
        <w:tc>
          <w:tcPr>
            <w:tcW w:w="1308" w:type="dxa"/>
          </w:tcPr>
          <w:p w14:paraId="5590AB9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29,4</w:t>
            </w:r>
          </w:p>
        </w:tc>
        <w:tc>
          <w:tcPr>
            <w:tcW w:w="1320" w:type="dxa"/>
          </w:tcPr>
          <w:p w14:paraId="4FF3C70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27,6</w:t>
            </w:r>
          </w:p>
        </w:tc>
        <w:tc>
          <w:tcPr>
            <w:tcW w:w="1752" w:type="dxa"/>
          </w:tcPr>
          <w:p w14:paraId="4C80E02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82,1</w:t>
            </w:r>
          </w:p>
        </w:tc>
        <w:tc>
          <w:tcPr>
            <w:tcW w:w="1296" w:type="dxa"/>
          </w:tcPr>
          <w:p w14:paraId="33CC38B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,3</w:t>
            </w:r>
          </w:p>
        </w:tc>
      </w:tr>
      <w:tr w14:paraId="2AE62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7A180A2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2548" w:type="dxa"/>
          </w:tcPr>
          <w:p w14:paraId="1917F3B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Квантиль 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,92</w:t>
            </w:r>
          </w:p>
        </w:tc>
        <w:tc>
          <w:tcPr>
            <w:tcW w:w="1308" w:type="dxa"/>
          </w:tcPr>
          <w:p w14:paraId="6C599EE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17,2</w:t>
            </w:r>
          </w:p>
        </w:tc>
        <w:tc>
          <w:tcPr>
            <w:tcW w:w="1320" w:type="dxa"/>
          </w:tcPr>
          <w:p w14:paraId="0268867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38,9</w:t>
            </w:r>
          </w:p>
        </w:tc>
        <w:tc>
          <w:tcPr>
            <w:tcW w:w="1752" w:type="dxa"/>
          </w:tcPr>
          <w:p w14:paraId="1BB3E25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70,8</w:t>
            </w:r>
          </w:p>
        </w:tc>
        <w:tc>
          <w:tcPr>
            <w:tcW w:w="1296" w:type="dxa"/>
          </w:tcPr>
          <w:p w14:paraId="51C6878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16,6</w:t>
            </w:r>
          </w:p>
        </w:tc>
      </w:tr>
    </w:tbl>
    <w:p w14:paraId="77437A91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6B1A27C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Выходит для организации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выгоднее использовать накрученную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заставляющую нанимать больше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текущая экономическая ситуация университета станет лучше за счёт роста прибыли от новых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2EA69BD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5" w:name="_Toc73211079"/>
      <w:bookmarkStart w:id="56" w:name="_Toc171423743"/>
      <w:bookmarkStart w:id="57" w:name="_Toc7402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3.3.3 Анализ адекватности обучения</w:t>
      </w:r>
      <w:bookmarkEnd w:id="55"/>
      <w:bookmarkEnd w:id="56"/>
      <w:bookmarkEnd w:id="57"/>
    </w:p>
    <w:p w14:paraId="60939865"/>
    <w:p w14:paraId="09C4167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Построена кривая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на сто двадцати и более наблюдениях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разрыв  между обучающей и валидационной  незначительный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значит модель не переобучена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модели хватило скормленного набора данных под сложность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p w14:paraId="1447535E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3982085" cy="2620645"/>
            <wp:effectExtent l="0" t="0" r="10795" b="635"/>
            <wp:docPr id="30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2085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28CFE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Кривая обучения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XGBoost.</w:t>
      </w:r>
    </w:p>
    <w:p w14:paraId="223A15A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найти оптимальное количество деревьев до достижения пика роста качества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дальше добавление лишних деревьев увеличит время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экспериментальным путём найдено оптимальное значение деревьев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_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estimators = 400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деревьев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4B98BB4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5268595" cy="3479165"/>
            <wp:effectExtent l="0" t="0" r="4445" b="10795"/>
            <wp:docPr id="31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25C4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8.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Зависимость ошибки от количества деревьев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9C45D4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29 видно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значимыми признаками являются 14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181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это календарные индикаторы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временные признаки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предметная область определения потребности сотрудников включает вышеперечисленные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следовательно для организации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признаками должны быть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сезонность учебного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долгосрочный тренд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A99ADD7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4757420" cy="3383915"/>
            <wp:effectExtent l="0" t="0" r="12700" b="14605"/>
            <wp:docPr id="32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7420" cy="338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47B7F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Важность признаков в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XGBoost.</w:t>
      </w:r>
    </w:p>
    <w:p w14:paraId="741C3A8B">
      <w:pPr>
        <w:spacing w:after="0" w:line="360" w:lineRule="auto"/>
        <w:ind w:firstLine="709"/>
        <w:jc w:val="lef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30 продемонстрирована зависимость периода пандемии с последующим восстановлением и сезонные пики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среднем потребность составляла девять человек по графику видно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 был 25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минимум один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подтверждает выявленную ранее потребность около десяти человек в среднем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08EA3AD3">
      <w:pPr>
        <w:spacing w:after="0" w:line="360" w:lineRule="auto"/>
        <w:ind w:firstLine="709"/>
        <w:jc w:val="both"/>
      </w:pPr>
    </w:p>
    <w:p w14:paraId="15C78D83">
      <w:pPr>
        <w:spacing w:after="0" w:line="360" w:lineRule="auto"/>
        <w:ind w:firstLine="709"/>
        <w:jc w:val="both"/>
        <w:rPr>
          <w:lang w:eastAsia="en-US"/>
        </w:rPr>
      </w:pPr>
      <w:r>
        <w:drawing>
          <wp:inline distT="0" distB="0" distL="114300" distR="114300">
            <wp:extent cx="5271135" cy="2420620"/>
            <wp:effectExtent l="0" t="0" r="1905" b="2540"/>
            <wp:docPr id="3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B1274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Рисунок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30.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прогноза и факта потребности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66E4D4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B563940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21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Показатели адекватности финальной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03B8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B9AD06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Показатель</w:t>
            </w:r>
          </w:p>
        </w:tc>
        <w:tc>
          <w:tcPr>
            <w:tcW w:w="2841" w:type="dxa"/>
          </w:tcPr>
          <w:p w14:paraId="78E3ADE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Значение</w:t>
            </w:r>
          </w:p>
        </w:tc>
        <w:tc>
          <w:tcPr>
            <w:tcW w:w="2841" w:type="dxa"/>
          </w:tcPr>
          <w:p w14:paraId="7B648CA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Вывод</w:t>
            </w:r>
          </w:p>
        </w:tc>
      </w:tr>
      <w:tr w14:paraId="5FC6F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A6B5D4E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Разрыв между обучающей и валидационной</w:t>
            </w:r>
          </w:p>
        </w:tc>
        <w:tc>
          <w:tcPr>
            <w:tcW w:w="2841" w:type="dxa"/>
          </w:tcPr>
          <w:p w14:paraId="14A112F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,175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сотрудников</w:t>
            </w:r>
          </w:p>
        </w:tc>
        <w:tc>
          <w:tcPr>
            <w:tcW w:w="2841" w:type="dxa"/>
          </w:tcPr>
          <w:p w14:paraId="5AF9FBF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Переобучения нет</w:t>
            </w:r>
          </w:p>
        </w:tc>
      </w:tr>
      <w:tr w14:paraId="64718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4A0986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деревьев</w:t>
            </w:r>
          </w:p>
        </w:tc>
        <w:tc>
          <w:tcPr>
            <w:tcW w:w="2841" w:type="dxa"/>
          </w:tcPr>
          <w:p w14:paraId="0916538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400 количество деревьев</w:t>
            </w:r>
          </w:p>
        </w:tc>
        <w:tc>
          <w:tcPr>
            <w:tcW w:w="2841" w:type="dxa"/>
          </w:tcPr>
          <w:p w14:paraId="00AA605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Устойчивость прогноза повысится при добавлении 100 деревьев к оптимальному числу</w:t>
            </w:r>
          </w:p>
        </w:tc>
      </w:tr>
      <w:tr w14:paraId="6AAC5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A87903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Важные признаки</w:t>
            </w:r>
          </w:p>
        </w:tc>
        <w:tc>
          <w:tcPr>
            <w:tcW w:w="2841" w:type="dxa"/>
          </w:tcPr>
          <w:p w14:paraId="5BE3A5A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181 номера признаков</w:t>
            </w:r>
          </w:p>
        </w:tc>
        <w:tc>
          <w:tcPr>
            <w:tcW w:w="2841" w:type="dxa"/>
          </w:tcPr>
          <w:p w14:paraId="3C7F9D7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Опирается на месячную инерцию</w:t>
            </w:r>
          </w:p>
        </w:tc>
      </w:tr>
      <w:tr w14:paraId="2AB37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9FA312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MAE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 отложенной тестовой выборке</w:t>
            </w:r>
          </w:p>
        </w:tc>
        <w:tc>
          <w:tcPr>
            <w:tcW w:w="2841" w:type="dxa"/>
          </w:tcPr>
          <w:p w14:paraId="7096FCE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51 сотрудников в</w:t>
            </w:r>
          </w:p>
          <w:p w14:paraId="639584C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месяц</w:t>
            </w:r>
          </w:p>
        </w:tc>
        <w:tc>
          <w:tcPr>
            <w:tcW w:w="2841" w:type="dxa"/>
          </w:tcPr>
          <w:p w14:paraId="69E853B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 средней численности сотрудников МУИВ 250 человек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высокая точность для определения потребности в кадрах</w:t>
            </w:r>
          </w:p>
        </w:tc>
      </w:tr>
      <w:tr w14:paraId="0CC79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1420AB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2841" w:type="dxa"/>
          </w:tcPr>
          <w:p w14:paraId="2DBAF7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5,34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человек</w:t>
            </w:r>
          </w:p>
        </w:tc>
        <w:tc>
          <w:tcPr>
            <w:tcW w:w="2841" w:type="dxa"/>
          </w:tcPr>
          <w:p w14:paraId="32D02441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Выраженная свтабильность прогноза</w:t>
            </w:r>
          </w:p>
        </w:tc>
      </w:tr>
    </w:tbl>
    <w:p w14:paraId="74310CED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E74FFF1">
      <w:pPr>
        <w:spacing w:after="0" w:line="360" w:lineRule="auto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Итоги анализа показали высокую точность предсказания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стабильность прогноза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следовательно обученная модель готова к использованию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на временных рядах больше пятнадцати лет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в организации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модель будет выдавать стабильный результат в предсказаниях потребности сотрудников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снижать денежные потери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/>
          <w:sz w:val="28"/>
          <w:szCs w:val="28"/>
          <w:lang w:val="ru-RU"/>
        </w:rPr>
        <w:t>организации и увеличивать прибыль от удовлетворения потребности в персонале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расчёты показали выгоднее нанять больше сотрудников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drawing>
          <wp:inline distT="0" distB="0" distL="114300" distR="114300">
            <wp:extent cx="5420360" cy="669290"/>
            <wp:effectExtent l="0" t="0" r="5080" b="1270"/>
            <wp:docPr id="35" name="2384804F-3998-4D57-9195-F3826E402611-3" descr="C:/Users/Machcreator/AppData/Local/Temp/wps.MLICrW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2384804F-3998-4D57-9195-F3826E402611-3" descr="C:/Users/Machcreator/AppData/Local/Temp/wps.MLICrWwps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178" cy="66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 данным Росстата при недонайме сотрудников будут большие денежные убытки на 630 000 рублей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использовании квантильной модели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,92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завышающую количество требуемого найма в совокупности с основной обученной моделью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МУИВ сможет сэкономить 7 560 000 рублей за двенадцать месяцев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430DA63A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EAE4429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  <w:lang w:eastAsia="en-US"/>
        </w:rPr>
      </w:pPr>
      <w:bookmarkStart w:id="58" w:name="_Toc17265"/>
      <w:bookmarkStart w:id="59" w:name="_Toc41935264"/>
      <w:bookmarkStart w:id="60" w:name="_Toc73211080"/>
      <w:bookmarkStart w:id="61" w:name="_Toc171423744"/>
      <w:bookmarkStart w:id="62" w:name="_Toc42166432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58"/>
      <w:bookmarkEnd w:id="59"/>
      <w:bookmarkEnd w:id="60"/>
      <w:bookmarkEnd w:id="61"/>
      <w:bookmarkEnd w:id="62"/>
    </w:p>
    <w:p w14:paraId="410C340C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Разработана нейронная сеть, реализующая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прогнозирование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потребности в сотрудниках для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модель включает квантильную регрессию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градиентный бустинг</w:t>
      </w:r>
      <w:r>
        <w:rPr>
          <w:rFonts w:ascii="Times New Roman" w:hAnsi="Times New Roman" w:eastAsia="Calibri"/>
          <w:sz w:val="28"/>
          <w:szCs w:val="28"/>
          <w:lang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Проведен анализ адекватности полученной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результаты показали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коротких временных рядах сложную архитектуру обгоняет в точности прогноза наивный прогноз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созданы календарные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лаговые признаки для временной последовательности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обучаемой модели получились достаточно высокие показатели по метрикам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= 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,51, RMSE = 5,34,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основываясь на тестовой выборке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анализ показал необходимость создания модели учитывающей ассиметричную формулу регрессии для  специального завышения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нужна для повышения прибыли организации и уменьшения убытков по данным Росстата о средней зарплате преподавателей в частных образовательных организациях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год будет экономия 7 560 000 рублей для Московского университета имени Витте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657A1BB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Получены выводы по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работ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е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предоставленные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таблице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22</w:t>
      </w:r>
      <w:r>
        <w:rPr>
          <w:rFonts w:ascii="Times New Roman" w:hAnsi="Times New Roman" w:eastAsia="Calibri"/>
          <w:sz w:val="28"/>
          <w:szCs w:val="28"/>
          <w:lang w:eastAsia="en-US"/>
        </w:rPr>
        <w:t>:</w:t>
      </w:r>
    </w:p>
    <w:p w14:paraId="650A8D7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>Таблица 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второму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3"/>
        <w:tblW w:w="9634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22"/>
        <w:gridCol w:w="4912"/>
      </w:tblGrid>
      <w:tr w14:paraId="7E1E2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4" w:hRule="atLeast"/>
        </w:trPr>
        <w:tc>
          <w:tcPr>
            <w:tcW w:w="4722" w:type="dxa"/>
            <w:shd w:val="clear" w:color="auto" w:fill="D9D9D9"/>
          </w:tcPr>
          <w:p w14:paraId="77BDBA07">
            <w:pPr>
              <w:spacing w:after="0" w:line="240" w:lineRule="auto"/>
              <w:jc w:val="center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Выводы</w:t>
            </w:r>
          </w:p>
        </w:tc>
        <w:tc>
          <w:tcPr>
            <w:tcW w:w="4912" w:type="dxa"/>
            <w:shd w:val="clear" w:color="auto" w:fill="D9D9D9"/>
          </w:tcPr>
          <w:p w14:paraId="5EDD04E0">
            <w:pPr>
              <w:spacing w:after="0" w:line="240" w:lineRule="auto"/>
              <w:jc w:val="center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Сформированные компетенции</w:t>
            </w:r>
          </w:p>
        </w:tc>
      </w:tr>
      <w:tr w14:paraId="703616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0" w:hRule="atLeast"/>
        </w:trPr>
        <w:tc>
          <w:tcPr>
            <w:tcW w:w="4722" w:type="dxa"/>
            <w:tcBorders>
              <w:bottom w:val="single" w:color="auto" w:sz="4" w:space="0"/>
            </w:tcBorders>
          </w:tcPr>
          <w:p w14:paraId="39DC57EF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Обучена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ансамблевая модель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XGBoost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для решения задачи прогноза потребности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 количестве рабочего персонала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предотвращения убытков в размере 7 560 000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рублей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.  </w:t>
            </w:r>
          </w:p>
          <w:p w14:paraId="32B7547F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</w:p>
          <w:p w14:paraId="1E3834E5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Для обучения был синтезирован временной ряд на основе датасета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WA_Fn-UseC_HR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собранного специально за пятнадцать лет компанией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IBM,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была проведена предобработка датасета - добавление новых параметров для определения сезонности и трендов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удаление лишних параметров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-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номера работника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возраста и т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.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проведена оценка адекватности предсказаний модели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выявлена необходимость использования разных подходов и моделей при различных ситуациях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при коротких временных рядах можно использовать наивный метод предсказания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при последовательности длиннее пятнадцати лет нужно использовать  сложную ансамблевую архитектуру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- стэкингу требуется уловить больше закономерностей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увеличения точности предсказания</w:t>
            </w:r>
          </w:p>
          <w:p w14:paraId="43D77C8C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/>
                <w:iCs/>
                <w:sz w:val="28"/>
                <w:szCs w:val="28"/>
                <w:lang w:val="ru-RU"/>
              </w:rPr>
              <w:t>Для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 увеличения точности подобрана лучшая конфигурация увеличивающая стабильность и точность включающая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размер батча 16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200 эпох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длина последовательности 24 месяца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раняя остановка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>patience=15,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 наличие чекпоинтов для при обучении для сохранения лучшей модели с лучшим прогнозом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dropout = 0,2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фактор уменьшения скорости обучения при остановке роста точности предсказания при обучении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 = 0,5</w:t>
            </w:r>
            <w:r>
              <w:rPr>
                <w:rFonts w:ascii="Times New Roman" w:hAnsi="Times New Roman"/>
                <w:iCs/>
                <w:sz w:val="28"/>
                <w:szCs w:val="28"/>
              </w:rPr>
              <w:t>.</w:t>
            </w:r>
          </w:p>
        </w:tc>
        <w:tc>
          <w:tcPr>
            <w:tcW w:w="4912" w:type="dxa"/>
          </w:tcPr>
          <w:p w14:paraId="2ACE5B01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ПК-1 Разработка сложной многоуровневой архитектуры нейронной сети для решения задач прогнозироваания временных рядов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способность применять разные методы машинного обучения для решения задач имеющих разный контекст и особенности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разработка прикладного программного обеспечения для решения задач на предприятии с интеграции сбора базы данных с датчиков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IoT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и внутренних сборщиков баз данных на предприятии аналогичному Московскому университету имени Витте или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IBM.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 </w:t>
            </w:r>
          </w:p>
          <w:p w14:paraId="31F0211E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</w:p>
          <w:p w14:paraId="13172775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ПК-8 Необходимо уметь находить нужные гипер параметры для выполнения конкретной задачи связанной с предсказанием тренда и сезоности временного ряда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.</w:t>
            </w:r>
          </w:p>
          <w:p w14:paraId="7BBE455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pPr>
          </w:p>
          <w:p w14:paraId="041C390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35237A5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1D4B9CA5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407A297D">
      <w:pPr>
        <w:pStyle w:val="2"/>
        <w:bidi w:val="0"/>
        <w:outlineLvl w:val="1"/>
        <w:rPr>
          <w:sz w:val="28"/>
          <w:szCs w:val="28"/>
        </w:rPr>
      </w:pPr>
      <w:bookmarkStart w:id="63" w:name="_Toc73211081"/>
      <w:bookmarkStart w:id="64" w:name="_Toc5128"/>
      <w:bookmarkStart w:id="65" w:name="_Toc171423745"/>
      <w:r>
        <w:rPr>
          <w:sz w:val="28"/>
          <w:szCs w:val="28"/>
        </w:rPr>
        <w:t>Заключение</w:t>
      </w:r>
      <w:bookmarkEnd w:id="63"/>
      <w:bookmarkEnd w:id="64"/>
      <w:bookmarkEnd w:id="65"/>
    </w:p>
    <w:p w14:paraId="64805B68">
      <w:pPr>
        <w:spacing w:after="0" w:line="360" w:lineRule="auto"/>
        <w:ind w:firstLine="709"/>
        <w:contextualSpacing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363F8B67">
      <w:pPr>
        <w:spacing w:after="0" w:line="360" w:lineRule="auto"/>
        <w:ind w:firstLine="709"/>
        <w:contextualSpacing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Эксплутационная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практика дала возможность решения актуальной проблемы Московского университета имени Витте в области создания автоматизированной системы прогнозирования потребностей в преподавательских ресурсах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рабочих кадров выполняющих необходимый функционал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управленческих кадров при помощи машинного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ансамблевых методов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градиентного бустинга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формулы асимметричной регрессии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ходе анализа ситуации в университете выяснено что на данный момент используется ручная практика кадрового планирования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что является финансовой проблемой университета создающей убытки размером в 7 560 000 рублей в год - приблизительная сумма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связи с проблемой отсутствия данных у Московского университета имени Витте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был синтезирован временной ряд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 основе датасета компании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IBM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найму и увольнению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также для ряда добавлены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сезонность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долгосрочные и краткосрочные 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помогающие прогнозировать потребность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созданная в итоге модель учитывает ассиметричную формулу регрессии для  специального завышения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3E6E53BC">
      <w:pPr>
        <w:spacing w:after="0" w:line="360" w:lineRule="auto"/>
        <w:ind w:firstLine="709"/>
        <w:contextualSpacing/>
        <w:jc w:val="both"/>
        <w:rPr>
          <w:rFonts w:ascii="Times New Roman" w:hAnsi="Times New Roman"/>
          <w:sz w:val="18"/>
          <w:szCs w:val="18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Понятно что применение разработанной модели в организации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почти полностью устранит недобор сотрудников для оптимального функционирования организации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высокие показатели качества получены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тестовой выборке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существующая проблемная ситуация решается внедрением на предприятие разработанной модели и системой автоматического сбора данных о устройстве новых сотрудников и увольнению старых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синтеза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нужного для осуществления прогноза модели по потребности персонала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реализовано сохранение обучившийся модели в формате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Keras,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готова к загрузке и использованию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виртуальном пространстве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Python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качестве подключаемого модуля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решения проблем прогноза потребности в рабочем персонале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разработанное решение для автоматизации прогноза потребности кадров превосходит существующее решение прогнозирования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основанное на ручном анализе и отсутствии автоматизированного сбора данных по тренду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разработанная система оценки и применения различных методов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анализа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может быть адаптирована под нужды разных образовательных организаций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проделанная работа имеет научную новизну - первое использование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 ассиметричной функцией потерь при использовании в университете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прогнозирования необходимого количества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структура получившейся системы адаптируема для других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организаций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Выполненные цели и задачи учитывают поставленные профессиональные компетенций ПК-1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ПК-6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ПК-8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можно считать поставленные задачи с целями успешно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выполненными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ascii="Times New Roman" w:hAnsi="Times New Roman"/>
          <w:sz w:val="18"/>
          <w:szCs w:val="18"/>
        </w:rPr>
        <w:br w:type="page" w:clear="all"/>
      </w:r>
    </w:p>
    <w:p w14:paraId="4DD2DF41">
      <w:pPr>
        <w:pStyle w:val="2"/>
        <w:bidi w:val="0"/>
        <w:outlineLvl w:val="1"/>
        <w:rPr>
          <w:rFonts w:ascii="Times New Roman" w:hAnsi="Times New Roman" w:eastAsia="Calibri"/>
          <w:b/>
          <w:caps/>
          <w:sz w:val="28"/>
          <w:szCs w:val="20"/>
        </w:rPr>
      </w:pPr>
      <w:bookmarkStart w:id="66" w:name="_Toc171423746"/>
      <w:bookmarkStart w:id="67" w:name="_Toc41935271"/>
      <w:bookmarkStart w:id="68" w:name="_Toc2157"/>
      <w:bookmarkStart w:id="69" w:name="_Toc73211082"/>
      <w:r>
        <w:rPr>
          <w:rFonts w:ascii="Times New Roman Полужирный" w:hAnsi="Times New Roman Полужирный" w:eastAsiaTheme="minorEastAsia" w:cstheme="minorBidi"/>
          <w:b/>
          <w:bCs/>
          <w:caps/>
          <w:sz w:val="28"/>
          <w:szCs w:val="28"/>
          <w:lang w:val="en-US" w:eastAsia="zh-CN" w:bidi="ar-SA"/>
        </w:rPr>
        <w:t>Список используемых источников и литературы</w:t>
      </w:r>
      <w:bookmarkEnd w:id="66"/>
      <w:bookmarkEnd w:id="67"/>
      <w:bookmarkEnd w:id="68"/>
      <w:bookmarkEnd w:id="69"/>
      <w:r>
        <w:rPr>
          <w:rFonts w:ascii="Times New Roman" w:hAnsi="Times New Roman" w:eastAsia="Calibri"/>
          <w:b/>
          <w:caps/>
          <w:sz w:val="28"/>
          <w:szCs w:val="20"/>
        </w:rPr>
        <w:t xml:space="preserve">  </w:t>
      </w:r>
    </w:p>
    <w:p w14:paraId="3806591F"/>
    <w:p w14:paraId="2B480753">
      <w:pPr>
        <w:rPr>
          <w:rFonts w:hint="default"/>
        </w:rPr>
      </w:pPr>
    </w:p>
    <w:p w14:paraId="5F5DEF77">
      <w:pPr>
        <w:numPr>
          <w:ilvl w:val="0"/>
          <w:numId w:val="5"/>
        </w:num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Айвазян С. А., Мхитарян В. С. Прикладная статистика и основы эконометрики: учебник. — 3-е изд. — М.: Юрайт, 2024. — 1088 с. — ISBN 978-5-534-17085-6.</w:t>
      </w:r>
    </w:p>
    <w:p w14:paraId="22254E4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Акаев А. А., Садовничий В. А. Математические модели прогнозирования социально-экономических процессов. — М.: Ленанд, 2023. — 312 с. — ISBN 978-5-9710-9876-4.</w:t>
      </w:r>
    </w:p>
    <w:p w14:paraId="0C535D42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Бакунович Е. А. Градиентный бустинг в задачах анализа данных: учебное пособие. — СПб.: Лань, 2025. — 256 с. — ISBN 978-5-507-49023-4.</w:t>
      </w:r>
    </w:p>
    <w:p w14:paraId="14B7B95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Бреиман Л. Случайные леса // Математические методы распознавания образов. — 2021. — Т. 20. — С. 5–32.</w:t>
      </w:r>
    </w:p>
    <w:p w14:paraId="0EE502EC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Васильев А. Н., Иванова Е. С. Прогнозирование временных рядов с помощью XGBoost и LightGBM. — М.: ДМК Пресс, 2024. — 288 с. — ISBN 978-5-97060-987-6.</w:t>
      </w:r>
    </w:p>
    <w:p w14:paraId="7CE4AB4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Ватутин Э. И. Машинное обучение на Python: учебное пособие. — М.: ИНФРА-М, 2025. — 416 с. — ISBN 978-5-16-018345-9.</w:t>
      </w:r>
    </w:p>
    <w:p w14:paraId="4B82EFF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Гашников М. В., Мясников В. В. Машинное обучение в управлении персоналом: монография. — Самара: Самарский университет, 2023. — 196 с. — ISBN 978-5-6047892-3-8.</w:t>
      </w:r>
    </w:p>
    <w:p w14:paraId="32E212D5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Гроппели А., Никбахт Э. Финансы: учебник. — 4-е изд. — М.: Юрайт, 2024. — 672 с. — ISBN 978-5-9916-9876-2.</w:t>
      </w:r>
    </w:p>
    <w:p w14:paraId="28E6155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Гудфеллоу Я., Бенджио И., Курвилль А. Глубокое обучение. — М.: ДМК Пресс, 2022. — 852 с. — ISBN 978-5-97060-987-6.</w:t>
      </w:r>
    </w:p>
    <w:p w14:paraId="3A1D1A0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Дорофеюк А. А., Покровская И. В. Искусственный интеллект в управлении человеческими ресурсами. — М.: КноРус, 2024. — 240 с. — ISBN 978-5-406-11234-5.</w:t>
      </w:r>
    </w:p>
    <w:p w14:paraId="6769774F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Ежов А. А., Шумский С. А. Нейрокомпьютинг и его применения в экономике и бизнесе. — М.: Физматлит, 2023. — 304 с. — ISBN 978-5-9221-1987-6.</w:t>
      </w:r>
    </w:p>
    <w:p w14:paraId="5EC9086A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Журавлёв Ю. И., Рудаков К. В. Математические методы обработки данных и принятия решений. — М.: Физматкнига, 2024. — 368 с. — ISBN 978-5-89155-345-6.</w:t>
      </w:r>
    </w:p>
    <w:p w14:paraId="6FA14B4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Згуровский М. З., Зеленский А. А. Основы машинного обучения: учебник. — М.: Лаборатория знаний, 2025. — 512 с. — ISBN 978-5-93208-567-8.</w:t>
      </w:r>
    </w:p>
    <w:p w14:paraId="768C7DD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Иванов В. В., Малинецкий Г. Г. Цифровая экономика: модели и методы прогнозирования. — М.: Ленанд, 2023. — 280 с. — ISBN 978-5-9710-9987-7.</w:t>
      </w:r>
    </w:p>
    <w:p w14:paraId="67EE88D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Козлов В. В. Анализ временных рядов в экономике и финансах: учебное пособие. — М.: КноРус, 2024. — 224 с. — ISBN 978-5-406-10987-8.</w:t>
      </w:r>
    </w:p>
    <w:p w14:paraId="1FE6EC1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Колмогоров А. Н., Фомин С. В. Элементы теории функций и функционального анализа. — 9-е изд. — М.: Физматлит, 2023. — 576 с. — ISBN 978-5-9221-1987-6.</w:t>
      </w:r>
    </w:p>
    <w:p w14:paraId="4642A9C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Кормен Т., Лейзерсон Ч., Ривест Р., Стайн К. Алгоритмы: построение и анализ. — 4-е изд. — М.: Вильямс, 2024. — 1328 с. — ISBN 978-5-907714-12-0.</w:t>
      </w:r>
    </w:p>
    <w:p w14:paraId="35458DC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Котельников И. А. Прогнозирование спроса на персонал с использованием машинного обучения. — М.: Инфра-М, 2025. — 192 с. — ISBN 978-5-16-018765-8.</w:t>
      </w:r>
    </w:p>
    <w:p w14:paraId="1911454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Кувшинов М. С. Искусственный интеллект в HR: практическое руководство. — М.: Альпина Паблишер, 2024. — 368 с. — ISBN 978-5-9614-8123-7.</w:t>
      </w:r>
    </w:p>
    <w:p w14:paraId="24698F9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Лебедев А. В. Python для анализа данных и машинного обучения. — СПб.: БХВ-Петербург, 2025. — 640 с. — ISBN 978-5-9775-6876-4.</w:t>
      </w:r>
    </w:p>
    <w:p w14:paraId="6C13022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Лукашин Ю. П. Адаптивные методы краткосрочного прогнозирования временных рядов. — М.: Финансы и статистика, 2022. — 416 с. — ISBN 978-5-279-03648-3.</w:t>
      </w:r>
    </w:p>
    <w:p w14:paraId="632733E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Магнус Я. Р., Катышев П. К., Пересецкий А. А. Эконометрика. Начальный курс: учебник. — 11-е изд. — М.: Дело, 2024. — 512 с. — ISBN 978-5-7749-1678-4.</w:t>
      </w:r>
    </w:p>
    <w:p w14:paraId="6F41951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Мастяева И. Н. Управление персоналом в цифровую эпоху. — М.: Дашков и К, 2025. — 288 с. — ISBN 978-5-394-05432-6.</w:t>
      </w:r>
    </w:p>
    <w:p w14:paraId="3DB2B802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Мхитарян В. С., Агапов А. С. Машинное обучение в экономике и финансах. — М.: Юрайт, 2025. — 320 с. — ISBN 978-5-534-17890-6.</w:t>
      </w:r>
    </w:p>
    <w:p w14:paraId="3F52300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Нейман Дж. фон, Моргенштерн О. Теория игр и экономическое поведение. — М.: Ленанд, 2023. — 712 с. — ISBN 978-5-9710-9876-4.</w:t>
      </w:r>
    </w:p>
    <w:p w14:paraId="4303C07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Раскин Л. Г., Серова И. О. Прогнозирование и принятие решений в условиях неопределённости. — М.: Финансы и статистика, 2024. — 384 с. — ISBN 978-5-279-03789-6.</w:t>
      </w:r>
    </w:p>
    <w:p w14:paraId="761446EB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Рашитов Р. Р. Моделирование и прогнозирование кадровых процессов в организациях. — Казань: КФУ, 2023. — 164 с. — ISBN 978-5-00130-876-8.</w:t>
      </w:r>
    </w:p>
    <w:p w14:paraId="1D3A2407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Секей Г. Парадоксы в теории вероятностей и математической статистике. — М.: Ленанд, 2024. — 320 с. — ISBN 978-5-9710-9876-4.</w:t>
      </w:r>
    </w:p>
    <w:p w14:paraId="5B5A10D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Терелянский П. В. Математические модели в управлении персоналом. — М.: ИНФРА-М, 2025. — 272 с. — ISBN 978-5-16-018987-8.</w:t>
      </w:r>
    </w:p>
    <w:p w14:paraId="401AE107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Фридман Дж., Хасти Т., Тибширани Р. Элементы статистического обучения. — М.: ДМК Пресс, 2024. — 848 с. — ISBN 978-5-97060-876-2.</w:t>
      </w:r>
    </w:p>
    <w:p w14:paraId="7EFE8DCB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Хасти Т., Тибширани Р., Фридман Дж. Статистическое обучение: Data Mining, Inference, and Prediction. — 3-е изд. — М.: ДМК Пресс, 2025. — 832 с. — ISBN 978-5-97060-999-8.</w:t>
      </w:r>
    </w:p>
    <w:p w14:paraId="74981A1A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Чжоу Ч., Сунь Ц., Лю Ц., С., Лю Ф. Краткий курс машинного обучения. — М.: ДМК Пресс, 2024. — 384 с. — ISBN 978-5-97060-888-8.</w:t>
      </w:r>
    </w:p>
    <w:p w14:paraId="7292C3A9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Alsheref F. K., Tantawi M. M., Sharkas M. A. Deep Learning Approaches for Employee Turnover Prediction // IEEE Access. — 2021. — Vol. 9. — P. 103891–103902. — DOI: 10.1109/ACCESS.2021.3100610.</w:t>
      </w:r>
    </w:p>
    <w:p w14:paraId="53A92C2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Bahdanau D., Cho K., Bengio Y. Neural Machine Translation by Jointly Learning to Align and Translate // arXiv preprint arXiv:1409.0473. — 2022 (обновлённая версия).</w:t>
      </w:r>
    </w:p>
    <w:p w14:paraId="1CC2465F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Chen T., Guestrin C. XGBoost: A Scalable Tree Boosting System // Proceedings of the 22nd ACM SIGKDD. — 2022. — P. 785–794. — DOI: 10.1145/2939672.2939785.</w:t>
      </w:r>
    </w:p>
    <w:p w14:paraId="5B5711B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Davenport T. H., Harris J. Competing on Analytics: Updated, with a New Introduction. — Harvard Business Review Press, 2023. — 320 p. — ISBN 978-1-63369-672-3.</w:t>
      </w:r>
    </w:p>
    <w:p w14:paraId="749386D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Garg S., Sinha S., Kar A. K. A Review of Machine Learning Applications in Human Resource Management // International Journal of Productivity and Performance Management. — 2021. — Vol. 70, № 7. — P. 1390–1415. — DOI: 10.1108/IJPPM-08-2020-0427.</w:t>
      </w:r>
    </w:p>
    <w:p w14:paraId="7E75952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Goodfellow I., Bengio Y., Courville A. Deep Learning. — MIT Press, 2024. — 800 p. — ISBN 978-0262035613.</w:t>
      </w:r>
    </w:p>
    <w:p w14:paraId="0FED804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Hyndman R. J., Athanasopoulos G. Forecasting: Principles and Practice. — 3rd ed. — OTexts, 2024. — 440 p. — ISBN 978-0-9875071</w:t>
      </w:r>
    </w:p>
    <w:p w14:paraId="6DA41D0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Ссылка на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Git Hub: </w:t>
      </w:r>
      <w:r>
        <w:rPr>
          <w:rFonts w:hint="default" w:ascii="Times New Roman" w:hAnsi="Times New Roman"/>
          <w:sz w:val="28"/>
          <w:szCs w:val="28"/>
          <w:lang w:val="en-US"/>
        </w:rPr>
        <w:t>https://github.com/Slavik993/Explytacionnaya_Practica_Machine_Learning_5semestr.git</w:t>
      </w:r>
    </w:p>
    <w:p w14:paraId="278842A8">
      <w:pPr>
        <w:rPr>
          <w:rFonts w:hint="default"/>
        </w:rPr>
      </w:pPr>
    </w:p>
    <w:p w14:paraId="4B2DAF3A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Полужирный">
    <w:altName w:val="Times New Roman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imSun-ExtB">
    <w:panose1 w:val="02010609060101010101"/>
    <w:charset w:val="86"/>
    <w:family w:val="modern"/>
    <w:pitch w:val="default"/>
    <w:sig w:usb0="00000001" w:usb1="02000000" w:usb2="00000000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Times New Roman;Times New Roman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TimesNewRoman;MS Gothic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-"/>
      <w:lvlJc w:val="left"/>
      <w:pPr>
        <w:ind w:left="720" w:hanging="360"/>
      </w:pPr>
      <w:rPr>
        <w:rFonts w:hint="eastAsia" w:ascii="SimSun-ExtB" w:hAnsi="SimSun-ExtB" w:eastAsia="SimSun-ExtB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D77A328A"/>
    <w:multiLevelType w:val="multilevel"/>
    <w:tmpl w:val="D77A328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DC23611C"/>
    <w:multiLevelType w:val="singleLevel"/>
    <w:tmpl w:val="DC23611C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vanish w:val="0"/>
        <w:color w:val="000000"/>
        <w:spacing w:val="0"/>
        <w:position w:val="0"/>
        <w:sz w:val="0"/>
        <w:szCs w:val="0"/>
        <w:u w:val="none"/>
        <w:shd w:val="clear" w:color="000000" w:fill="000000"/>
        <w:vertAlign w:val="baseline"/>
        <w14:ligatures w14:val="none"/>
      </w:r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2B4E1B9F"/>
    <w:multiLevelType w:val="multilevel"/>
    <w:tmpl w:val="2B4E1B9F"/>
    <w:lvl w:ilvl="0" w:tentative="0">
      <w:start w:val="1"/>
      <w:numFmt w:val="decimal"/>
      <w:pStyle w:val="10"/>
      <w:lvlText w:val="%1."/>
      <w:lvlJc w:val="left"/>
      <w:pPr>
        <w:ind w:left="360" w:hanging="360"/>
      </w:pPr>
      <w:rPr>
        <w:i w:val="0"/>
      </w:r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F2DF9"/>
    <w:rsid w:val="002A355E"/>
    <w:rsid w:val="003B0253"/>
    <w:rsid w:val="005E7DE7"/>
    <w:rsid w:val="006276AE"/>
    <w:rsid w:val="007731BA"/>
    <w:rsid w:val="008D0FCA"/>
    <w:rsid w:val="00933997"/>
    <w:rsid w:val="00AC07A4"/>
    <w:rsid w:val="00BF7DE5"/>
    <w:rsid w:val="00F737B1"/>
    <w:rsid w:val="013A0CBD"/>
    <w:rsid w:val="013F48F6"/>
    <w:rsid w:val="01417C64"/>
    <w:rsid w:val="01775219"/>
    <w:rsid w:val="01E37098"/>
    <w:rsid w:val="01E866F0"/>
    <w:rsid w:val="01EF13EE"/>
    <w:rsid w:val="02007CB3"/>
    <w:rsid w:val="022F338E"/>
    <w:rsid w:val="026F7379"/>
    <w:rsid w:val="02730925"/>
    <w:rsid w:val="02875B78"/>
    <w:rsid w:val="028926DF"/>
    <w:rsid w:val="029B1831"/>
    <w:rsid w:val="02AE56F2"/>
    <w:rsid w:val="02CC116F"/>
    <w:rsid w:val="02CF14AA"/>
    <w:rsid w:val="02EF7833"/>
    <w:rsid w:val="02F46278"/>
    <w:rsid w:val="031650B0"/>
    <w:rsid w:val="035508BA"/>
    <w:rsid w:val="035D3D0B"/>
    <w:rsid w:val="0366599D"/>
    <w:rsid w:val="03713232"/>
    <w:rsid w:val="03BE76CA"/>
    <w:rsid w:val="03DC2C52"/>
    <w:rsid w:val="03EF1DB7"/>
    <w:rsid w:val="042538CC"/>
    <w:rsid w:val="0426646C"/>
    <w:rsid w:val="0446275E"/>
    <w:rsid w:val="045C5F9D"/>
    <w:rsid w:val="04724BCD"/>
    <w:rsid w:val="04AC4FFA"/>
    <w:rsid w:val="04B638C9"/>
    <w:rsid w:val="04DC287B"/>
    <w:rsid w:val="04F94F5F"/>
    <w:rsid w:val="050C783E"/>
    <w:rsid w:val="055943D7"/>
    <w:rsid w:val="05690402"/>
    <w:rsid w:val="05710B18"/>
    <w:rsid w:val="057161FA"/>
    <w:rsid w:val="05862CF6"/>
    <w:rsid w:val="05AD0B6B"/>
    <w:rsid w:val="05E80A3D"/>
    <w:rsid w:val="0617220C"/>
    <w:rsid w:val="062C43E7"/>
    <w:rsid w:val="06602E5E"/>
    <w:rsid w:val="0669602D"/>
    <w:rsid w:val="06A93A70"/>
    <w:rsid w:val="06F56377"/>
    <w:rsid w:val="072262F7"/>
    <w:rsid w:val="07465CE6"/>
    <w:rsid w:val="076C2B3D"/>
    <w:rsid w:val="078B0F5C"/>
    <w:rsid w:val="07CF70FB"/>
    <w:rsid w:val="07E6794D"/>
    <w:rsid w:val="07F46FEF"/>
    <w:rsid w:val="07F71A6E"/>
    <w:rsid w:val="081B19DC"/>
    <w:rsid w:val="08306DEB"/>
    <w:rsid w:val="08367069"/>
    <w:rsid w:val="08BC52C9"/>
    <w:rsid w:val="08C47915"/>
    <w:rsid w:val="08F2025D"/>
    <w:rsid w:val="095E47B9"/>
    <w:rsid w:val="0985741A"/>
    <w:rsid w:val="098B5BDC"/>
    <w:rsid w:val="099111BE"/>
    <w:rsid w:val="09A20F25"/>
    <w:rsid w:val="09C14DB9"/>
    <w:rsid w:val="09E21E49"/>
    <w:rsid w:val="09F50F48"/>
    <w:rsid w:val="0A025C68"/>
    <w:rsid w:val="0A43792E"/>
    <w:rsid w:val="0A4A6522"/>
    <w:rsid w:val="0A883567"/>
    <w:rsid w:val="0A891756"/>
    <w:rsid w:val="0AA73D54"/>
    <w:rsid w:val="0ADF27E4"/>
    <w:rsid w:val="0B622204"/>
    <w:rsid w:val="0B6636C2"/>
    <w:rsid w:val="0B6F078F"/>
    <w:rsid w:val="0B76395D"/>
    <w:rsid w:val="0B930EA1"/>
    <w:rsid w:val="0BC00DEE"/>
    <w:rsid w:val="0BE62322"/>
    <w:rsid w:val="0BE93E1F"/>
    <w:rsid w:val="0BFE313E"/>
    <w:rsid w:val="0C12168A"/>
    <w:rsid w:val="0C151650"/>
    <w:rsid w:val="0C7708D8"/>
    <w:rsid w:val="0C90792D"/>
    <w:rsid w:val="0CBF0B1F"/>
    <w:rsid w:val="0CC81697"/>
    <w:rsid w:val="0CDF5AB9"/>
    <w:rsid w:val="0D2C0E87"/>
    <w:rsid w:val="0D3C5D11"/>
    <w:rsid w:val="0D4D44A5"/>
    <w:rsid w:val="0D7766FF"/>
    <w:rsid w:val="0D9C32E2"/>
    <w:rsid w:val="0DC823EA"/>
    <w:rsid w:val="0DCB2402"/>
    <w:rsid w:val="0DD55AD2"/>
    <w:rsid w:val="0DDC3BD8"/>
    <w:rsid w:val="0E4B33CD"/>
    <w:rsid w:val="0E956D7D"/>
    <w:rsid w:val="0ECE66B2"/>
    <w:rsid w:val="0EF51157"/>
    <w:rsid w:val="0F00541F"/>
    <w:rsid w:val="0F415B8D"/>
    <w:rsid w:val="0F4E5569"/>
    <w:rsid w:val="0F5752EC"/>
    <w:rsid w:val="0F6C700F"/>
    <w:rsid w:val="0FC44875"/>
    <w:rsid w:val="0FDC4E2D"/>
    <w:rsid w:val="0FEE1C08"/>
    <w:rsid w:val="10583A7A"/>
    <w:rsid w:val="1058777E"/>
    <w:rsid w:val="107C2907"/>
    <w:rsid w:val="10A95523"/>
    <w:rsid w:val="10E7084B"/>
    <w:rsid w:val="10F12112"/>
    <w:rsid w:val="1112388E"/>
    <w:rsid w:val="1114617F"/>
    <w:rsid w:val="113B0827"/>
    <w:rsid w:val="114C4D3F"/>
    <w:rsid w:val="11863010"/>
    <w:rsid w:val="119051EF"/>
    <w:rsid w:val="119442FC"/>
    <w:rsid w:val="11BB0A26"/>
    <w:rsid w:val="12047456"/>
    <w:rsid w:val="1242393C"/>
    <w:rsid w:val="126C687D"/>
    <w:rsid w:val="127218E8"/>
    <w:rsid w:val="12B06352"/>
    <w:rsid w:val="12C17730"/>
    <w:rsid w:val="131C6333"/>
    <w:rsid w:val="135D1BEF"/>
    <w:rsid w:val="138F279B"/>
    <w:rsid w:val="139D2683"/>
    <w:rsid w:val="13A60B79"/>
    <w:rsid w:val="13D31C1F"/>
    <w:rsid w:val="13D86F0D"/>
    <w:rsid w:val="1402229A"/>
    <w:rsid w:val="142432AD"/>
    <w:rsid w:val="14300EAC"/>
    <w:rsid w:val="143C3459"/>
    <w:rsid w:val="14BE7B39"/>
    <w:rsid w:val="14C0309A"/>
    <w:rsid w:val="14C05076"/>
    <w:rsid w:val="15134326"/>
    <w:rsid w:val="15314596"/>
    <w:rsid w:val="15507CFD"/>
    <w:rsid w:val="157E1963"/>
    <w:rsid w:val="15DA10F2"/>
    <w:rsid w:val="15DF08B8"/>
    <w:rsid w:val="16257E16"/>
    <w:rsid w:val="162C7035"/>
    <w:rsid w:val="16997DC9"/>
    <w:rsid w:val="16AE479B"/>
    <w:rsid w:val="16CC53F5"/>
    <w:rsid w:val="16D9191F"/>
    <w:rsid w:val="16DB4F08"/>
    <w:rsid w:val="173536D4"/>
    <w:rsid w:val="177A138D"/>
    <w:rsid w:val="17A76AD1"/>
    <w:rsid w:val="17D578FC"/>
    <w:rsid w:val="17DD5BBA"/>
    <w:rsid w:val="17EF68CD"/>
    <w:rsid w:val="17FE4CD2"/>
    <w:rsid w:val="18881D37"/>
    <w:rsid w:val="1888436F"/>
    <w:rsid w:val="188E7CDB"/>
    <w:rsid w:val="189552C2"/>
    <w:rsid w:val="18976AF0"/>
    <w:rsid w:val="189B6BED"/>
    <w:rsid w:val="18AD4853"/>
    <w:rsid w:val="18B9619D"/>
    <w:rsid w:val="18FD081D"/>
    <w:rsid w:val="18FE2868"/>
    <w:rsid w:val="190C1C6C"/>
    <w:rsid w:val="191A1878"/>
    <w:rsid w:val="191E6BCD"/>
    <w:rsid w:val="195B19B9"/>
    <w:rsid w:val="19B51395"/>
    <w:rsid w:val="19DA6FC4"/>
    <w:rsid w:val="19F02DAB"/>
    <w:rsid w:val="19F177F1"/>
    <w:rsid w:val="19FF275E"/>
    <w:rsid w:val="1A661BDB"/>
    <w:rsid w:val="1A6A4BCA"/>
    <w:rsid w:val="1AAB1406"/>
    <w:rsid w:val="1AB32FF2"/>
    <w:rsid w:val="1B100279"/>
    <w:rsid w:val="1B1500B3"/>
    <w:rsid w:val="1B1A7CD4"/>
    <w:rsid w:val="1B731482"/>
    <w:rsid w:val="1B7C43B8"/>
    <w:rsid w:val="1B901651"/>
    <w:rsid w:val="1B9F104C"/>
    <w:rsid w:val="1BA3321E"/>
    <w:rsid w:val="1BA63FD7"/>
    <w:rsid w:val="1BCC78C6"/>
    <w:rsid w:val="1BDF3BF5"/>
    <w:rsid w:val="1BF53751"/>
    <w:rsid w:val="1C0221CE"/>
    <w:rsid w:val="1C08267A"/>
    <w:rsid w:val="1C177AE5"/>
    <w:rsid w:val="1C2870E7"/>
    <w:rsid w:val="1C4D6DEF"/>
    <w:rsid w:val="1C597334"/>
    <w:rsid w:val="1CF33244"/>
    <w:rsid w:val="1CFC00EB"/>
    <w:rsid w:val="1D144C6E"/>
    <w:rsid w:val="1D323B04"/>
    <w:rsid w:val="1D3C3403"/>
    <w:rsid w:val="1D5C71BB"/>
    <w:rsid w:val="1D7652EC"/>
    <w:rsid w:val="1D7D279D"/>
    <w:rsid w:val="1D8058CD"/>
    <w:rsid w:val="1D8B1923"/>
    <w:rsid w:val="1D9E3C5A"/>
    <w:rsid w:val="1DC97276"/>
    <w:rsid w:val="1E070116"/>
    <w:rsid w:val="1E0C1A8B"/>
    <w:rsid w:val="1E177140"/>
    <w:rsid w:val="1E1C37CD"/>
    <w:rsid w:val="1E310498"/>
    <w:rsid w:val="1E495B3F"/>
    <w:rsid w:val="1E635C56"/>
    <w:rsid w:val="1E656462"/>
    <w:rsid w:val="1E672BF1"/>
    <w:rsid w:val="1E885BE3"/>
    <w:rsid w:val="1EB14ED1"/>
    <w:rsid w:val="1ECC643B"/>
    <w:rsid w:val="1EE869A7"/>
    <w:rsid w:val="1F1A2460"/>
    <w:rsid w:val="1F6B6906"/>
    <w:rsid w:val="1F70522D"/>
    <w:rsid w:val="1FA77BE8"/>
    <w:rsid w:val="1FC34FCA"/>
    <w:rsid w:val="1FDC2234"/>
    <w:rsid w:val="200A1C59"/>
    <w:rsid w:val="201259D3"/>
    <w:rsid w:val="20207CC4"/>
    <w:rsid w:val="20335368"/>
    <w:rsid w:val="203E4CF5"/>
    <w:rsid w:val="203F1FE1"/>
    <w:rsid w:val="204233A4"/>
    <w:rsid w:val="2062144A"/>
    <w:rsid w:val="206A606B"/>
    <w:rsid w:val="207033FB"/>
    <w:rsid w:val="20713407"/>
    <w:rsid w:val="208C0092"/>
    <w:rsid w:val="20C364F3"/>
    <w:rsid w:val="20D720FE"/>
    <w:rsid w:val="20E45483"/>
    <w:rsid w:val="20F94EA8"/>
    <w:rsid w:val="21017BB1"/>
    <w:rsid w:val="21044483"/>
    <w:rsid w:val="2155679B"/>
    <w:rsid w:val="215B49ED"/>
    <w:rsid w:val="21B33F47"/>
    <w:rsid w:val="21B45B5C"/>
    <w:rsid w:val="21BC5AC6"/>
    <w:rsid w:val="21BF609E"/>
    <w:rsid w:val="21E80C21"/>
    <w:rsid w:val="221B36F9"/>
    <w:rsid w:val="22264B96"/>
    <w:rsid w:val="223831B7"/>
    <w:rsid w:val="223C59A9"/>
    <w:rsid w:val="22904E84"/>
    <w:rsid w:val="22C6598A"/>
    <w:rsid w:val="22D12547"/>
    <w:rsid w:val="22E307CC"/>
    <w:rsid w:val="22E604C6"/>
    <w:rsid w:val="22E77207"/>
    <w:rsid w:val="230011AB"/>
    <w:rsid w:val="23080E3F"/>
    <w:rsid w:val="232113BF"/>
    <w:rsid w:val="234A7D37"/>
    <w:rsid w:val="235D255C"/>
    <w:rsid w:val="23B05AC1"/>
    <w:rsid w:val="23B52D23"/>
    <w:rsid w:val="23D3314B"/>
    <w:rsid w:val="23E866E5"/>
    <w:rsid w:val="241A4E26"/>
    <w:rsid w:val="242B219E"/>
    <w:rsid w:val="243D75F3"/>
    <w:rsid w:val="245272C7"/>
    <w:rsid w:val="246A3ACB"/>
    <w:rsid w:val="247E276B"/>
    <w:rsid w:val="249E0AA2"/>
    <w:rsid w:val="24A6668C"/>
    <w:rsid w:val="24A75360"/>
    <w:rsid w:val="24B027D4"/>
    <w:rsid w:val="24BB2CAD"/>
    <w:rsid w:val="24EE3D24"/>
    <w:rsid w:val="25063411"/>
    <w:rsid w:val="25116886"/>
    <w:rsid w:val="2511775C"/>
    <w:rsid w:val="25577ED0"/>
    <w:rsid w:val="255933B9"/>
    <w:rsid w:val="255C7F9B"/>
    <w:rsid w:val="255D690A"/>
    <w:rsid w:val="256C658B"/>
    <w:rsid w:val="25743A87"/>
    <w:rsid w:val="258F07B6"/>
    <w:rsid w:val="25987046"/>
    <w:rsid w:val="25A07EAF"/>
    <w:rsid w:val="25DB3C35"/>
    <w:rsid w:val="25FE1963"/>
    <w:rsid w:val="2624681B"/>
    <w:rsid w:val="263404C4"/>
    <w:rsid w:val="26347D90"/>
    <w:rsid w:val="26440B42"/>
    <w:rsid w:val="26455466"/>
    <w:rsid w:val="266B4476"/>
    <w:rsid w:val="268044BB"/>
    <w:rsid w:val="26910688"/>
    <w:rsid w:val="26A6577E"/>
    <w:rsid w:val="26B23E49"/>
    <w:rsid w:val="26EA1C7A"/>
    <w:rsid w:val="26EF354B"/>
    <w:rsid w:val="27001ADD"/>
    <w:rsid w:val="272C23FA"/>
    <w:rsid w:val="272C7198"/>
    <w:rsid w:val="276247B6"/>
    <w:rsid w:val="278D69BB"/>
    <w:rsid w:val="27940DA0"/>
    <w:rsid w:val="27994E67"/>
    <w:rsid w:val="27B84691"/>
    <w:rsid w:val="27BA566D"/>
    <w:rsid w:val="27C70F4E"/>
    <w:rsid w:val="27CB1C9E"/>
    <w:rsid w:val="27DA216D"/>
    <w:rsid w:val="27FD03A1"/>
    <w:rsid w:val="285932E7"/>
    <w:rsid w:val="28E06745"/>
    <w:rsid w:val="28E765AF"/>
    <w:rsid w:val="28FB5AC8"/>
    <w:rsid w:val="28FF7467"/>
    <w:rsid w:val="290F204E"/>
    <w:rsid w:val="29171565"/>
    <w:rsid w:val="296F013F"/>
    <w:rsid w:val="29971746"/>
    <w:rsid w:val="29A3424B"/>
    <w:rsid w:val="29BE1A68"/>
    <w:rsid w:val="29C072C7"/>
    <w:rsid w:val="29C8661E"/>
    <w:rsid w:val="29E219B7"/>
    <w:rsid w:val="29F60818"/>
    <w:rsid w:val="29FF6A12"/>
    <w:rsid w:val="2A2E6D8F"/>
    <w:rsid w:val="2A382112"/>
    <w:rsid w:val="2A4E11F7"/>
    <w:rsid w:val="2A67434F"/>
    <w:rsid w:val="2A955869"/>
    <w:rsid w:val="2AA116A1"/>
    <w:rsid w:val="2AAF6204"/>
    <w:rsid w:val="2AB9094D"/>
    <w:rsid w:val="2AD873FD"/>
    <w:rsid w:val="2AE17EE7"/>
    <w:rsid w:val="2AF35C03"/>
    <w:rsid w:val="2B226752"/>
    <w:rsid w:val="2B2A6A31"/>
    <w:rsid w:val="2B4D4158"/>
    <w:rsid w:val="2B6F6851"/>
    <w:rsid w:val="2B88503C"/>
    <w:rsid w:val="2BB91F9A"/>
    <w:rsid w:val="2BBF0D03"/>
    <w:rsid w:val="2BC43604"/>
    <w:rsid w:val="2BCD0952"/>
    <w:rsid w:val="2BE9306A"/>
    <w:rsid w:val="2C1E07A6"/>
    <w:rsid w:val="2CD61610"/>
    <w:rsid w:val="2CE231CD"/>
    <w:rsid w:val="2D047A30"/>
    <w:rsid w:val="2D1F0559"/>
    <w:rsid w:val="2D2A1950"/>
    <w:rsid w:val="2D6B03C7"/>
    <w:rsid w:val="2D817536"/>
    <w:rsid w:val="2D835CC8"/>
    <w:rsid w:val="2D835EDD"/>
    <w:rsid w:val="2D8800B2"/>
    <w:rsid w:val="2D9B4C73"/>
    <w:rsid w:val="2DD033D6"/>
    <w:rsid w:val="2DDD51FA"/>
    <w:rsid w:val="2DEF7CA9"/>
    <w:rsid w:val="2DF01A0C"/>
    <w:rsid w:val="2E1C30BA"/>
    <w:rsid w:val="2E262354"/>
    <w:rsid w:val="2EA709F6"/>
    <w:rsid w:val="2EB37960"/>
    <w:rsid w:val="2EB775B3"/>
    <w:rsid w:val="2EBD258D"/>
    <w:rsid w:val="2EC2295B"/>
    <w:rsid w:val="2F3F4928"/>
    <w:rsid w:val="2F452A6A"/>
    <w:rsid w:val="2F4F4680"/>
    <w:rsid w:val="2F523ABD"/>
    <w:rsid w:val="2F611FCA"/>
    <w:rsid w:val="2F66459C"/>
    <w:rsid w:val="2F72726C"/>
    <w:rsid w:val="2FBB2678"/>
    <w:rsid w:val="2FCA6D7F"/>
    <w:rsid w:val="2FDC0137"/>
    <w:rsid w:val="2FE80A81"/>
    <w:rsid w:val="3028070E"/>
    <w:rsid w:val="304B702F"/>
    <w:rsid w:val="305F5CBD"/>
    <w:rsid w:val="306453B6"/>
    <w:rsid w:val="3066058D"/>
    <w:rsid w:val="30753A60"/>
    <w:rsid w:val="309B7884"/>
    <w:rsid w:val="30F82350"/>
    <w:rsid w:val="30FA3A5F"/>
    <w:rsid w:val="310857FE"/>
    <w:rsid w:val="31290532"/>
    <w:rsid w:val="312C1182"/>
    <w:rsid w:val="313C3C3D"/>
    <w:rsid w:val="31673B61"/>
    <w:rsid w:val="316C01F1"/>
    <w:rsid w:val="31742B75"/>
    <w:rsid w:val="318769F7"/>
    <w:rsid w:val="319A6273"/>
    <w:rsid w:val="31DA6D2F"/>
    <w:rsid w:val="31E14B66"/>
    <w:rsid w:val="31F11FD7"/>
    <w:rsid w:val="31FE7C56"/>
    <w:rsid w:val="323050A8"/>
    <w:rsid w:val="32605F39"/>
    <w:rsid w:val="328E70C6"/>
    <w:rsid w:val="32C273B3"/>
    <w:rsid w:val="32C77F74"/>
    <w:rsid w:val="32D51876"/>
    <w:rsid w:val="32E15179"/>
    <w:rsid w:val="32EC7E12"/>
    <w:rsid w:val="32ED176D"/>
    <w:rsid w:val="32F24425"/>
    <w:rsid w:val="32F64FD4"/>
    <w:rsid w:val="330F3435"/>
    <w:rsid w:val="332A7E02"/>
    <w:rsid w:val="33395737"/>
    <w:rsid w:val="334C711C"/>
    <w:rsid w:val="33DE3B45"/>
    <w:rsid w:val="33EE16BD"/>
    <w:rsid w:val="34012BCE"/>
    <w:rsid w:val="341C562B"/>
    <w:rsid w:val="34427750"/>
    <w:rsid w:val="347B7D77"/>
    <w:rsid w:val="348D6FB6"/>
    <w:rsid w:val="34B13C28"/>
    <w:rsid w:val="34C77608"/>
    <w:rsid w:val="34E02B31"/>
    <w:rsid w:val="34F63E7E"/>
    <w:rsid w:val="352136FB"/>
    <w:rsid w:val="353C70AD"/>
    <w:rsid w:val="35423C8E"/>
    <w:rsid w:val="3548237A"/>
    <w:rsid w:val="35682720"/>
    <w:rsid w:val="356D4F55"/>
    <w:rsid w:val="357F3BAB"/>
    <w:rsid w:val="35CD1445"/>
    <w:rsid w:val="35DA0D9B"/>
    <w:rsid w:val="363302A0"/>
    <w:rsid w:val="365903E1"/>
    <w:rsid w:val="36630549"/>
    <w:rsid w:val="36B57593"/>
    <w:rsid w:val="36F206C5"/>
    <w:rsid w:val="37160652"/>
    <w:rsid w:val="374A6C10"/>
    <w:rsid w:val="376828FD"/>
    <w:rsid w:val="378D25B5"/>
    <w:rsid w:val="379D7414"/>
    <w:rsid w:val="37FE2ED9"/>
    <w:rsid w:val="38091759"/>
    <w:rsid w:val="38117DB1"/>
    <w:rsid w:val="3828112E"/>
    <w:rsid w:val="383E7EED"/>
    <w:rsid w:val="390A7522"/>
    <w:rsid w:val="390C1143"/>
    <w:rsid w:val="390C22BF"/>
    <w:rsid w:val="39494CC1"/>
    <w:rsid w:val="3973632A"/>
    <w:rsid w:val="398E773F"/>
    <w:rsid w:val="3A0E55C0"/>
    <w:rsid w:val="3A625555"/>
    <w:rsid w:val="3A717D6E"/>
    <w:rsid w:val="3A727464"/>
    <w:rsid w:val="3A7B57D6"/>
    <w:rsid w:val="3AC726AF"/>
    <w:rsid w:val="3ACC0959"/>
    <w:rsid w:val="3AD45894"/>
    <w:rsid w:val="3B337CD7"/>
    <w:rsid w:val="3B624474"/>
    <w:rsid w:val="3B8A33D0"/>
    <w:rsid w:val="3BF67023"/>
    <w:rsid w:val="3C0B5911"/>
    <w:rsid w:val="3C2643F4"/>
    <w:rsid w:val="3C777494"/>
    <w:rsid w:val="3C7F5A1D"/>
    <w:rsid w:val="3C983396"/>
    <w:rsid w:val="3CA71725"/>
    <w:rsid w:val="3CB52527"/>
    <w:rsid w:val="3CBE35EF"/>
    <w:rsid w:val="3D0A17A7"/>
    <w:rsid w:val="3D3103CE"/>
    <w:rsid w:val="3D5D3C39"/>
    <w:rsid w:val="3D9A0E8C"/>
    <w:rsid w:val="3D9A3611"/>
    <w:rsid w:val="3DA77123"/>
    <w:rsid w:val="3DAE129E"/>
    <w:rsid w:val="3DB356E1"/>
    <w:rsid w:val="3DCF3B14"/>
    <w:rsid w:val="3DF60935"/>
    <w:rsid w:val="3E2406E9"/>
    <w:rsid w:val="3E2A4F1B"/>
    <w:rsid w:val="3E3B7F73"/>
    <w:rsid w:val="3E4E3BAF"/>
    <w:rsid w:val="3E4E72A6"/>
    <w:rsid w:val="3E5A656F"/>
    <w:rsid w:val="3E826884"/>
    <w:rsid w:val="3E8A11F9"/>
    <w:rsid w:val="3EDC0451"/>
    <w:rsid w:val="3F163D1F"/>
    <w:rsid w:val="3F2D5ACE"/>
    <w:rsid w:val="3F620FE1"/>
    <w:rsid w:val="3F687520"/>
    <w:rsid w:val="3F7202A0"/>
    <w:rsid w:val="3F8810CB"/>
    <w:rsid w:val="3FC83B58"/>
    <w:rsid w:val="3FE63663"/>
    <w:rsid w:val="3FF3077A"/>
    <w:rsid w:val="3FFB4739"/>
    <w:rsid w:val="3FFC1167"/>
    <w:rsid w:val="401D43BA"/>
    <w:rsid w:val="4024246B"/>
    <w:rsid w:val="40595BA0"/>
    <w:rsid w:val="406079C5"/>
    <w:rsid w:val="40D47477"/>
    <w:rsid w:val="40E00562"/>
    <w:rsid w:val="40E70C87"/>
    <w:rsid w:val="40F407F7"/>
    <w:rsid w:val="40F732A4"/>
    <w:rsid w:val="40F9630B"/>
    <w:rsid w:val="41087004"/>
    <w:rsid w:val="414304FC"/>
    <w:rsid w:val="41AD61AF"/>
    <w:rsid w:val="41B11ADD"/>
    <w:rsid w:val="41BC57E8"/>
    <w:rsid w:val="41BD3110"/>
    <w:rsid w:val="41BE50D3"/>
    <w:rsid w:val="41F27582"/>
    <w:rsid w:val="41FD0AC8"/>
    <w:rsid w:val="4205704C"/>
    <w:rsid w:val="422C0E20"/>
    <w:rsid w:val="42371199"/>
    <w:rsid w:val="42427B2C"/>
    <w:rsid w:val="424512BE"/>
    <w:rsid w:val="42CB1ACF"/>
    <w:rsid w:val="42D52512"/>
    <w:rsid w:val="42E30E32"/>
    <w:rsid w:val="42E85458"/>
    <w:rsid w:val="430414DA"/>
    <w:rsid w:val="431C3D77"/>
    <w:rsid w:val="43484BF9"/>
    <w:rsid w:val="43677203"/>
    <w:rsid w:val="43706CF3"/>
    <w:rsid w:val="43824EB5"/>
    <w:rsid w:val="439A4D79"/>
    <w:rsid w:val="43A04D63"/>
    <w:rsid w:val="43BB74AB"/>
    <w:rsid w:val="43BF34BE"/>
    <w:rsid w:val="43E1253E"/>
    <w:rsid w:val="44120A94"/>
    <w:rsid w:val="441B2C89"/>
    <w:rsid w:val="4448348A"/>
    <w:rsid w:val="444E76B3"/>
    <w:rsid w:val="446177F6"/>
    <w:rsid w:val="446961BB"/>
    <w:rsid w:val="446D70D4"/>
    <w:rsid w:val="448A4681"/>
    <w:rsid w:val="448B4301"/>
    <w:rsid w:val="44EC0A31"/>
    <w:rsid w:val="44F3512F"/>
    <w:rsid w:val="45046868"/>
    <w:rsid w:val="45510E4D"/>
    <w:rsid w:val="45533A70"/>
    <w:rsid w:val="4567122B"/>
    <w:rsid w:val="459C7046"/>
    <w:rsid w:val="45A706E8"/>
    <w:rsid w:val="45C444FC"/>
    <w:rsid w:val="45F73E72"/>
    <w:rsid w:val="466E0B17"/>
    <w:rsid w:val="469D27CB"/>
    <w:rsid w:val="469E6370"/>
    <w:rsid w:val="46A11BA1"/>
    <w:rsid w:val="46FC6031"/>
    <w:rsid w:val="470E2204"/>
    <w:rsid w:val="472E48D4"/>
    <w:rsid w:val="477A5A9E"/>
    <w:rsid w:val="479357EC"/>
    <w:rsid w:val="47A6578C"/>
    <w:rsid w:val="47C85450"/>
    <w:rsid w:val="47DF3A74"/>
    <w:rsid w:val="47F26D8C"/>
    <w:rsid w:val="480C42C3"/>
    <w:rsid w:val="482B7039"/>
    <w:rsid w:val="48391369"/>
    <w:rsid w:val="48C9234E"/>
    <w:rsid w:val="48D732BA"/>
    <w:rsid w:val="48D905B9"/>
    <w:rsid w:val="49026C22"/>
    <w:rsid w:val="490779DE"/>
    <w:rsid w:val="490B65E1"/>
    <w:rsid w:val="49307AC0"/>
    <w:rsid w:val="4959661D"/>
    <w:rsid w:val="495A04B4"/>
    <w:rsid w:val="49670139"/>
    <w:rsid w:val="499D2E36"/>
    <w:rsid w:val="49A1306E"/>
    <w:rsid w:val="49B7374A"/>
    <w:rsid w:val="49DD6C65"/>
    <w:rsid w:val="4A0764D3"/>
    <w:rsid w:val="4A5B288E"/>
    <w:rsid w:val="4A5B6AE5"/>
    <w:rsid w:val="4A7C62C7"/>
    <w:rsid w:val="4A876BD5"/>
    <w:rsid w:val="4A97538A"/>
    <w:rsid w:val="4AC63BD9"/>
    <w:rsid w:val="4AFC2895"/>
    <w:rsid w:val="4B0A3F31"/>
    <w:rsid w:val="4B1B446B"/>
    <w:rsid w:val="4B246149"/>
    <w:rsid w:val="4B351DC6"/>
    <w:rsid w:val="4B4E4840"/>
    <w:rsid w:val="4B5A49AF"/>
    <w:rsid w:val="4B790A51"/>
    <w:rsid w:val="4BD26D40"/>
    <w:rsid w:val="4BD304AC"/>
    <w:rsid w:val="4BD44628"/>
    <w:rsid w:val="4BE7296C"/>
    <w:rsid w:val="4BF17159"/>
    <w:rsid w:val="4BF9435B"/>
    <w:rsid w:val="4BFB7B1E"/>
    <w:rsid w:val="4C005593"/>
    <w:rsid w:val="4C1C48A2"/>
    <w:rsid w:val="4C2B55CD"/>
    <w:rsid w:val="4C635797"/>
    <w:rsid w:val="4CA4292F"/>
    <w:rsid w:val="4CB61F97"/>
    <w:rsid w:val="4CC139F7"/>
    <w:rsid w:val="4CD5641A"/>
    <w:rsid w:val="4CE56DB0"/>
    <w:rsid w:val="4CE64136"/>
    <w:rsid w:val="4D0A2F51"/>
    <w:rsid w:val="4D3B4EC4"/>
    <w:rsid w:val="4D3D6CE2"/>
    <w:rsid w:val="4D583E78"/>
    <w:rsid w:val="4D91777C"/>
    <w:rsid w:val="4DA4588A"/>
    <w:rsid w:val="4DB87D11"/>
    <w:rsid w:val="4DBA5862"/>
    <w:rsid w:val="4DE63DC0"/>
    <w:rsid w:val="4DEB7267"/>
    <w:rsid w:val="4E105DDD"/>
    <w:rsid w:val="4E2448D3"/>
    <w:rsid w:val="4E400EEF"/>
    <w:rsid w:val="4E4125AE"/>
    <w:rsid w:val="4E500AF1"/>
    <w:rsid w:val="4E5474AD"/>
    <w:rsid w:val="4E565839"/>
    <w:rsid w:val="4E757E04"/>
    <w:rsid w:val="4E816E39"/>
    <w:rsid w:val="4E8D3A8D"/>
    <w:rsid w:val="4EAA3AA0"/>
    <w:rsid w:val="4EB93137"/>
    <w:rsid w:val="4EBF723F"/>
    <w:rsid w:val="4F003E56"/>
    <w:rsid w:val="4F0E361E"/>
    <w:rsid w:val="4F3D23BC"/>
    <w:rsid w:val="4F4A4F3E"/>
    <w:rsid w:val="4F707062"/>
    <w:rsid w:val="4F7930E1"/>
    <w:rsid w:val="4FBC76EF"/>
    <w:rsid w:val="4FE122E3"/>
    <w:rsid w:val="4FE17210"/>
    <w:rsid w:val="4FF91545"/>
    <w:rsid w:val="5026588C"/>
    <w:rsid w:val="504321F5"/>
    <w:rsid w:val="504E60B8"/>
    <w:rsid w:val="50BE014B"/>
    <w:rsid w:val="51063BCA"/>
    <w:rsid w:val="517E7143"/>
    <w:rsid w:val="51861B4F"/>
    <w:rsid w:val="51954F37"/>
    <w:rsid w:val="51A3386B"/>
    <w:rsid w:val="51AE022E"/>
    <w:rsid w:val="51BD06B4"/>
    <w:rsid w:val="52225103"/>
    <w:rsid w:val="52354064"/>
    <w:rsid w:val="523956D4"/>
    <w:rsid w:val="523E4390"/>
    <w:rsid w:val="526428B8"/>
    <w:rsid w:val="526540F4"/>
    <w:rsid w:val="528043E7"/>
    <w:rsid w:val="52954E5A"/>
    <w:rsid w:val="52A335AA"/>
    <w:rsid w:val="53444904"/>
    <w:rsid w:val="534D4075"/>
    <w:rsid w:val="5390390E"/>
    <w:rsid w:val="53EA66CB"/>
    <w:rsid w:val="540B3A76"/>
    <w:rsid w:val="54542CF5"/>
    <w:rsid w:val="54A87544"/>
    <w:rsid w:val="55292078"/>
    <w:rsid w:val="55346B5F"/>
    <w:rsid w:val="553760AD"/>
    <w:rsid w:val="55590643"/>
    <w:rsid w:val="555F71DF"/>
    <w:rsid w:val="556472A9"/>
    <w:rsid w:val="55652AC3"/>
    <w:rsid w:val="55664241"/>
    <w:rsid w:val="55797948"/>
    <w:rsid w:val="55B003E1"/>
    <w:rsid w:val="55B55408"/>
    <w:rsid w:val="55C67A47"/>
    <w:rsid w:val="55D74822"/>
    <w:rsid w:val="55F8618A"/>
    <w:rsid w:val="56177F93"/>
    <w:rsid w:val="561F12B3"/>
    <w:rsid w:val="56211C62"/>
    <w:rsid w:val="56243368"/>
    <w:rsid w:val="56532C9B"/>
    <w:rsid w:val="567C6D10"/>
    <w:rsid w:val="56A14C13"/>
    <w:rsid w:val="56B77C50"/>
    <w:rsid w:val="56C0689F"/>
    <w:rsid w:val="56D106EB"/>
    <w:rsid w:val="57154464"/>
    <w:rsid w:val="57213681"/>
    <w:rsid w:val="57620C73"/>
    <w:rsid w:val="577479A3"/>
    <w:rsid w:val="5787250B"/>
    <w:rsid w:val="579726EA"/>
    <w:rsid w:val="57BF5603"/>
    <w:rsid w:val="57DB09A7"/>
    <w:rsid w:val="57EE07B9"/>
    <w:rsid w:val="58133704"/>
    <w:rsid w:val="583C7B24"/>
    <w:rsid w:val="584B45E2"/>
    <w:rsid w:val="58840844"/>
    <w:rsid w:val="58A34D89"/>
    <w:rsid w:val="58DC348C"/>
    <w:rsid w:val="58EF1AD1"/>
    <w:rsid w:val="5910252B"/>
    <w:rsid w:val="595465C4"/>
    <w:rsid w:val="59615513"/>
    <w:rsid w:val="59F34BDD"/>
    <w:rsid w:val="5A050D40"/>
    <w:rsid w:val="5A353866"/>
    <w:rsid w:val="5A6545DD"/>
    <w:rsid w:val="5A832D04"/>
    <w:rsid w:val="5A8C0F2A"/>
    <w:rsid w:val="5A93401E"/>
    <w:rsid w:val="5A950AB4"/>
    <w:rsid w:val="5AA80549"/>
    <w:rsid w:val="5AC01473"/>
    <w:rsid w:val="5AF50835"/>
    <w:rsid w:val="5AFE2EBC"/>
    <w:rsid w:val="5B4F1FDC"/>
    <w:rsid w:val="5B6E1EEF"/>
    <w:rsid w:val="5BC24519"/>
    <w:rsid w:val="5BF63A6F"/>
    <w:rsid w:val="5C0056E3"/>
    <w:rsid w:val="5C036B11"/>
    <w:rsid w:val="5C5060C3"/>
    <w:rsid w:val="5C50630F"/>
    <w:rsid w:val="5C650063"/>
    <w:rsid w:val="5C6E7D9F"/>
    <w:rsid w:val="5C792BB7"/>
    <w:rsid w:val="5C7D0D7C"/>
    <w:rsid w:val="5C8C3A7D"/>
    <w:rsid w:val="5CA222E6"/>
    <w:rsid w:val="5CA3329C"/>
    <w:rsid w:val="5CB54D70"/>
    <w:rsid w:val="5CC8034D"/>
    <w:rsid w:val="5CD808C6"/>
    <w:rsid w:val="5CF96E2D"/>
    <w:rsid w:val="5CFE649F"/>
    <w:rsid w:val="5D2F4A70"/>
    <w:rsid w:val="5D3024F2"/>
    <w:rsid w:val="5D310D37"/>
    <w:rsid w:val="5D3874C9"/>
    <w:rsid w:val="5D421438"/>
    <w:rsid w:val="5D676456"/>
    <w:rsid w:val="5D783363"/>
    <w:rsid w:val="5D7E2A17"/>
    <w:rsid w:val="5D921A7A"/>
    <w:rsid w:val="5DE02CF0"/>
    <w:rsid w:val="5DEB6233"/>
    <w:rsid w:val="5DFF5FA4"/>
    <w:rsid w:val="5E463C77"/>
    <w:rsid w:val="5E653095"/>
    <w:rsid w:val="5E872AA3"/>
    <w:rsid w:val="5E8D242E"/>
    <w:rsid w:val="5EB739F6"/>
    <w:rsid w:val="5ECF7C52"/>
    <w:rsid w:val="5EDA6CAA"/>
    <w:rsid w:val="5EDE236A"/>
    <w:rsid w:val="5EEC6CF3"/>
    <w:rsid w:val="5F1D7298"/>
    <w:rsid w:val="5F244CE3"/>
    <w:rsid w:val="5F422460"/>
    <w:rsid w:val="5F865E8D"/>
    <w:rsid w:val="5FBE05A1"/>
    <w:rsid w:val="5FD90725"/>
    <w:rsid w:val="5FEA46B3"/>
    <w:rsid w:val="5FEE5FA9"/>
    <w:rsid w:val="5FFA49E8"/>
    <w:rsid w:val="600914DE"/>
    <w:rsid w:val="602314CB"/>
    <w:rsid w:val="602821CF"/>
    <w:rsid w:val="602F4723"/>
    <w:rsid w:val="60582C11"/>
    <w:rsid w:val="609F5D2B"/>
    <w:rsid w:val="60B718BC"/>
    <w:rsid w:val="60CC075F"/>
    <w:rsid w:val="60F76A09"/>
    <w:rsid w:val="611115F9"/>
    <w:rsid w:val="61616CF0"/>
    <w:rsid w:val="61764A40"/>
    <w:rsid w:val="61925EEC"/>
    <w:rsid w:val="61CB229C"/>
    <w:rsid w:val="61E9114E"/>
    <w:rsid w:val="61F96E5C"/>
    <w:rsid w:val="61FC15EF"/>
    <w:rsid w:val="62574A14"/>
    <w:rsid w:val="627611FC"/>
    <w:rsid w:val="62A328E3"/>
    <w:rsid w:val="62C400C1"/>
    <w:rsid w:val="62DA4137"/>
    <w:rsid w:val="62EE674D"/>
    <w:rsid w:val="62FB2C69"/>
    <w:rsid w:val="63053881"/>
    <w:rsid w:val="63142095"/>
    <w:rsid w:val="636715F1"/>
    <w:rsid w:val="63722616"/>
    <w:rsid w:val="639E22E8"/>
    <w:rsid w:val="64002E59"/>
    <w:rsid w:val="642D6052"/>
    <w:rsid w:val="646036C4"/>
    <w:rsid w:val="64B67287"/>
    <w:rsid w:val="64C5571C"/>
    <w:rsid w:val="64FB0ADF"/>
    <w:rsid w:val="65026AFE"/>
    <w:rsid w:val="6537132A"/>
    <w:rsid w:val="65481EDD"/>
    <w:rsid w:val="6565362D"/>
    <w:rsid w:val="65685C3E"/>
    <w:rsid w:val="65741399"/>
    <w:rsid w:val="65875F01"/>
    <w:rsid w:val="65893C4A"/>
    <w:rsid w:val="65FE648C"/>
    <w:rsid w:val="65FF22E5"/>
    <w:rsid w:val="660E4375"/>
    <w:rsid w:val="667635FA"/>
    <w:rsid w:val="669917A1"/>
    <w:rsid w:val="66A06104"/>
    <w:rsid w:val="66D502BD"/>
    <w:rsid w:val="66D71017"/>
    <w:rsid w:val="66EC1DA3"/>
    <w:rsid w:val="673F17B5"/>
    <w:rsid w:val="675C7F85"/>
    <w:rsid w:val="676D5D3F"/>
    <w:rsid w:val="6785559A"/>
    <w:rsid w:val="67AB5A2C"/>
    <w:rsid w:val="67B01133"/>
    <w:rsid w:val="67C55AD7"/>
    <w:rsid w:val="67D76FBF"/>
    <w:rsid w:val="67EB4DFC"/>
    <w:rsid w:val="68305313"/>
    <w:rsid w:val="684F6332"/>
    <w:rsid w:val="68697CB0"/>
    <w:rsid w:val="687F1BA9"/>
    <w:rsid w:val="68AB1726"/>
    <w:rsid w:val="68D06A0D"/>
    <w:rsid w:val="68FB1781"/>
    <w:rsid w:val="69124CA8"/>
    <w:rsid w:val="6976125D"/>
    <w:rsid w:val="699A0A87"/>
    <w:rsid w:val="69D1581B"/>
    <w:rsid w:val="69E47E59"/>
    <w:rsid w:val="69F97B76"/>
    <w:rsid w:val="6A100F3D"/>
    <w:rsid w:val="6A352BC4"/>
    <w:rsid w:val="6A527BFB"/>
    <w:rsid w:val="6ADD43E2"/>
    <w:rsid w:val="6AE76469"/>
    <w:rsid w:val="6B005CDC"/>
    <w:rsid w:val="6B6A1FC2"/>
    <w:rsid w:val="6B6D4417"/>
    <w:rsid w:val="6BAB0FCC"/>
    <w:rsid w:val="6BCD56C2"/>
    <w:rsid w:val="6BD623FB"/>
    <w:rsid w:val="6BD84130"/>
    <w:rsid w:val="6BEF1CA0"/>
    <w:rsid w:val="6BFD7F7A"/>
    <w:rsid w:val="6C2C74B2"/>
    <w:rsid w:val="6C3C1DA0"/>
    <w:rsid w:val="6C533408"/>
    <w:rsid w:val="6C6770B8"/>
    <w:rsid w:val="6C7A1884"/>
    <w:rsid w:val="6CE04AAC"/>
    <w:rsid w:val="6CE46703"/>
    <w:rsid w:val="6CF2784B"/>
    <w:rsid w:val="6D0B14CF"/>
    <w:rsid w:val="6D1B36B8"/>
    <w:rsid w:val="6D236E20"/>
    <w:rsid w:val="6D392725"/>
    <w:rsid w:val="6D3D6554"/>
    <w:rsid w:val="6D480C98"/>
    <w:rsid w:val="6D49674F"/>
    <w:rsid w:val="6DC361B7"/>
    <w:rsid w:val="6DCA4AEE"/>
    <w:rsid w:val="6E26335F"/>
    <w:rsid w:val="6E2D6D68"/>
    <w:rsid w:val="6E4C6576"/>
    <w:rsid w:val="6E507C22"/>
    <w:rsid w:val="6E7251F6"/>
    <w:rsid w:val="6E8B7991"/>
    <w:rsid w:val="6E8E12EF"/>
    <w:rsid w:val="6E946A7C"/>
    <w:rsid w:val="6E9A0C18"/>
    <w:rsid w:val="6ECD55A7"/>
    <w:rsid w:val="6F031688"/>
    <w:rsid w:val="6F822B79"/>
    <w:rsid w:val="6F822E81"/>
    <w:rsid w:val="6F855772"/>
    <w:rsid w:val="6F9802C5"/>
    <w:rsid w:val="6FA028AE"/>
    <w:rsid w:val="6FA03D02"/>
    <w:rsid w:val="6FAB3E4D"/>
    <w:rsid w:val="6FBB68F4"/>
    <w:rsid w:val="6FED7F61"/>
    <w:rsid w:val="6FF9431C"/>
    <w:rsid w:val="704100DD"/>
    <w:rsid w:val="708264EB"/>
    <w:rsid w:val="70B11649"/>
    <w:rsid w:val="71072D19"/>
    <w:rsid w:val="71074DB7"/>
    <w:rsid w:val="71471A43"/>
    <w:rsid w:val="716B07A3"/>
    <w:rsid w:val="71784236"/>
    <w:rsid w:val="71A20991"/>
    <w:rsid w:val="71A666BE"/>
    <w:rsid w:val="71AC27FA"/>
    <w:rsid w:val="71ED7A78"/>
    <w:rsid w:val="72084977"/>
    <w:rsid w:val="722424EC"/>
    <w:rsid w:val="722F39CB"/>
    <w:rsid w:val="72546622"/>
    <w:rsid w:val="7264344F"/>
    <w:rsid w:val="72930F27"/>
    <w:rsid w:val="72E2003D"/>
    <w:rsid w:val="731A6C33"/>
    <w:rsid w:val="73582660"/>
    <w:rsid w:val="735A3430"/>
    <w:rsid w:val="73A66A49"/>
    <w:rsid w:val="73A957CF"/>
    <w:rsid w:val="73D51816"/>
    <w:rsid w:val="74A03654"/>
    <w:rsid w:val="74C5400D"/>
    <w:rsid w:val="74E9714C"/>
    <w:rsid w:val="755C79D6"/>
    <w:rsid w:val="756979AE"/>
    <w:rsid w:val="7576351C"/>
    <w:rsid w:val="759F3625"/>
    <w:rsid w:val="75A93410"/>
    <w:rsid w:val="75F76FC9"/>
    <w:rsid w:val="7613496D"/>
    <w:rsid w:val="762516A5"/>
    <w:rsid w:val="76976F5D"/>
    <w:rsid w:val="76A325FB"/>
    <w:rsid w:val="76A60936"/>
    <w:rsid w:val="76AA2CD3"/>
    <w:rsid w:val="76BE285E"/>
    <w:rsid w:val="76D0636B"/>
    <w:rsid w:val="76D10FD2"/>
    <w:rsid w:val="7719636A"/>
    <w:rsid w:val="776F5FF4"/>
    <w:rsid w:val="77792FF9"/>
    <w:rsid w:val="777D7350"/>
    <w:rsid w:val="77822286"/>
    <w:rsid w:val="77D97364"/>
    <w:rsid w:val="77EB3F28"/>
    <w:rsid w:val="78206C22"/>
    <w:rsid w:val="782E0D4D"/>
    <w:rsid w:val="784B0FF1"/>
    <w:rsid w:val="786B327E"/>
    <w:rsid w:val="786E0052"/>
    <w:rsid w:val="787F6001"/>
    <w:rsid w:val="78A2235B"/>
    <w:rsid w:val="78E811D1"/>
    <w:rsid w:val="78E93ADE"/>
    <w:rsid w:val="79014D58"/>
    <w:rsid w:val="790B5629"/>
    <w:rsid w:val="792451CB"/>
    <w:rsid w:val="79512248"/>
    <w:rsid w:val="79891677"/>
    <w:rsid w:val="799338D8"/>
    <w:rsid w:val="7993454D"/>
    <w:rsid w:val="79CD5E57"/>
    <w:rsid w:val="7A141937"/>
    <w:rsid w:val="7A225D2C"/>
    <w:rsid w:val="7A3370D3"/>
    <w:rsid w:val="7A41346F"/>
    <w:rsid w:val="7A4A3EBE"/>
    <w:rsid w:val="7A4A422C"/>
    <w:rsid w:val="7A80238E"/>
    <w:rsid w:val="7A922611"/>
    <w:rsid w:val="7AB46E9F"/>
    <w:rsid w:val="7ADA6863"/>
    <w:rsid w:val="7AEE1351"/>
    <w:rsid w:val="7AFB13A5"/>
    <w:rsid w:val="7AFB4CD4"/>
    <w:rsid w:val="7B2C0B37"/>
    <w:rsid w:val="7B4959ED"/>
    <w:rsid w:val="7B5438FF"/>
    <w:rsid w:val="7B716274"/>
    <w:rsid w:val="7B86755B"/>
    <w:rsid w:val="7BB153E0"/>
    <w:rsid w:val="7BC42E63"/>
    <w:rsid w:val="7BFD7E77"/>
    <w:rsid w:val="7C29336A"/>
    <w:rsid w:val="7C353AFC"/>
    <w:rsid w:val="7C611D76"/>
    <w:rsid w:val="7CD50CFC"/>
    <w:rsid w:val="7CEA5CAA"/>
    <w:rsid w:val="7D206CD5"/>
    <w:rsid w:val="7D5457CE"/>
    <w:rsid w:val="7D84412B"/>
    <w:rsid w:val="7DF85F36"/>
    <w:rsid w:val="7DFB5E34"/>
    <w:rsid w:val="7E6142BA"/>
    <w:rsid w:val="7E627D6D"/>
    <w:rsid w:val="7E784ECC"/>
    <w:rsid w:val="7E8958C4"/>
    <w:rsid w:val="7E9479A4"/>
    <w:rsid w:val="7EAC2092"/>
    <w:rsid w:val="7EB459DD"/>
    <w:rsid w:val="7EF014CF"/>
    <w:rsid w:val="7F24018A"/>
    <w:rsid w:val="7F37710A"/>
    <w:rsid w:val="7F383DB8"/>
    <w:rsid w:val="7F776DB3"/>
    <w:rsid w:val="7F7878FB"/>
    <w:rsid w:val="7F9C3EF5"/>
    <w:rsid w:val="7FAB616B"/>
    <w:rsid w:val="7FCA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widowControl w:val="0"/>
      <w:numPr>
        <w:ilvl w:val="0"/>
        <w:numId w:val="1"/>
      </w:numPr>
      <w:spacing w:after="0" w:line="240" w:lineRule="auto"/>
      <w:jc w:val="both"/>
      <w:outlineLvl w:val="0"/>
    </w:pPr>
    <w:rPr>
      <w:rFonts w:ascii="Times New Roman Полужирный" w:hAnsi="Times New Roman Полужирный"/>
      <w:b/>
      <w:bCs/>
      <w:caps/>
      <w:sz w:val="24"/>
      <w:szCs w:val="32"/>
    </w:rPr>
  </w:style>
  <w:style w:type="paragraph" w:styleId="3">
    <w:name w:val="heading 2"/>
    <w:basedOn w:val="1"/>
    <w:next w:val="1"/>
    <w:link w:val="17"/>
    <w:qFormat/>
    <w:uiPriority w:val="0"/>
    <w:pPr>
      <w:widowControl w:val="0"/>
      <w:numPr>
        <w:ilvl w:val="1"/>
        <w:numId w:val="1"/>
      </w:numPr>
      <w:spacing w:after="0" w:line="240" w:lineRule="auto"/>
      <w:jc w:val="both"/>
      <w:outlineLvl w:val="1"/>
    </w:pPr>
    <w:rPr>
      <w:rFonts w:ascii="Times New Roman" w:hAnsi="Times New Roman"/>
      <w:b/>
      <w:bCs/>
      <w:iCs/>
      <w:sz w:val="24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yperlink"/>
    <w:qFormat/>
    <w:uiPriority w:val="99"/>
    <w:rPr>
      <w:rFonts w:cs="Times New Roman"/>
      <w:color w:val="0000FF"/>
      <w:u w:val="single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Title"/>
    <w:basedOn w:val="1"/>
    <w:next w:val="1"/>
    <w:qFormat/>
    <w:uiPriority w:val="0"/>
    <w:pPr>
      <w:numPr>
        <w:ilvl w:val="0"/>
        <w:numId w:val="2"/>
      </w:numPr>
      <w:spacing w:before="240" w:after="60"/>
      <w:outlineLvl w:val="0"/>
    </w:pPr>
    <w:rPr>
      <w:rFonts w:ascii="Times New Roman" w:hAnsi="Times New Roman"/>
      <w:b/>
      <w:bCs/>
      <w:sz w:val="24"/>
      <w:szCs w:val="32"/>
    </w:rPr>
  </w:style>
  <w:style w:type="paragraph" w:styleId="11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2">
    <w:name w:val="Table Grid"/>
    <w:basedOn w:val="6"/>
    <w:qFormat/>
    <w:uiPriority w:val="0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3">
    <w:name w:val="Сетка таблицы4"/>
    <w:basedOn w:val="6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customStyle="1" w:styleId="14">
    <w:name w:val="Загаловок Оглавления"/>
    <w:basedOn w:val="1"/>
    <w:next w:val="15"/>
    <w:link w:val="16"/>
    <w:qFormat/>
    <w:uiPriority w:val="0"/>
    <w:pPr>
      <w:keepNext/>
      <w:pageBreakBefore/>
      <w:spacing w:after="0" w:line="360" w:lineRule="auto"/>
      <w:outlineLvl w:val="0"/>
    </w:pPr>
    <w:rPr>
      <w:rFonts w:ascii="Times New Roman" w:hAnsi="Times New Roman" w:eastAsia="Calibri"/>
      <w:b/>
      <w:caps/>
      <w:sz w:val="28"/>
      <w:szCs w:val="20"/>
    </w:rPr>
  </w:style>
  <w:style w:type="paragraph" w:customStyle="1" w:styleId="15">
    <w:name w:val="TOC Heading"/>
    <w:basedOn w:val="2"/>
    <w:next w:val="1"/>
    <w:qFormat/>
    <w:uiPriority w:val="39"/>
    <w:pPr>
      <w:keepLines/>
      <w:spacing w:before="480"/>
      <w:outlineLvl w:val="9"/>
    </w:pPr>
    <w:rPr>
      <w:rFonts w:ascii="Cambria" w:hAnsi="Cambria"/>
      <w:color w:val="365F91"/>
      <w:sz w:val="28"/>
      <w:szCs w:val="28"/>
    </w:rPr>
  </w:style>
  <w:style w:type="character" w:customStyle="1" w:styleId="16">
    <w:name w:val="Загаловок Оглавления_character"/>
    <w:link w:val="14"/>
    <w:qFormat/>
    <w:uiPriority w:val="0"/>
    <w:rPr>
      <w:rFonts w:ascii="Times New Roman" w:hAnsi="Times New Roman" w:eastAsia="Calibri"/>
      <w:b/>
      <w:caps/>
      <w:sz w:val="28"/>
      <w:szCs w:val="20"/>
    </w:rPr>
  </w:style>
  <w:style w:type="character" w:customStyle="1" w:styleId="17">
    <w:name w:val="Заголовок 2 Знак"/>
    <w:link w:val="3"/>
    <w:qFormat/>
    <w:uiPriority w:val="0"/>
    <w:rPr>
      <w:rFonts w:ascii="Times New Roman" w:hAnsi="Times New Roman"/>
      <w:b/>
      <w:bCs/>
      <w:iCs/>
      <w:sz w:val="24"/>
      <w:szCs w:val="28"/>
    </w:rPr>
  </w:style>
  <w:style w:type="paragraph" w:customStyle="1" w:styleId="18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9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0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customXml" Target="../customXml/item1.xml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sv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2384804F-3998-4D57-9195-F3826E402611-2">
      <extobjdata type="2384804F-3998-4D57-9195-F3826E402611" data="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ZdFZFVllMVTR0TWtVaUlHUTlJazAzT0NBMk1GRTNPQ0E0TkNBNU5TQXhNREpVTVRNNElERXlNRkV4TmpJZ01USXdJREU0TUNBeE1EUlVNVGs1SURZeFVURTVPU0F6TmlBeE9ESWdNVGhVTVRNNUlEQlVPVFlnTVRkVU56Z2dOakJhSWk4K1BIQmhkR2dnYVdROUlrMUtXQzAy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m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W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y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A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Mk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O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m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OaT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DJMVlJGV0MxT0xUSXlNVElpSUdROUlrMDROQ0F5TXpkVU9EUWdNalV3VkRrNElESTNNRWcyTnpsUk5qazBJREkyTWlBMk9UUWdNalV3VkRZM09TQXlNekJJT1RoUk9EUWdNak0zSURnMElESTFNRm9pTHo0OGNHRjBhQ0JwWkQwaVRVcFlMVFl0VkVWWUxVNHROVVVpSUdROUlrMHhNVElnTlRZd1RESTBPU0EyT1RSTU1qVTNJRFk0TmxFek9EY2dOVFl5SURNNE55QTFOakJNTXpZeElEVXpNVkV6TlRrZ05UTXlJRE13TXlBMU9ERk1NalV3SURZeU4wd3hPVFVnTlRnd1VURTRNaUExTmprZ01UWTVJRFUxTjFReE5EZ2dOVE00VERFME1DQTFNekpSTVRNNElEVXpNQ0F4TWpVZ05UUTJUREV4TWlBMU5qQmFJaTgrUEhCaGRHZ2dhV1E5SWsxS1dDMDJ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5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W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J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Z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h3WVhSb0lHbGtQU0pOU2xndE5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"/>
    </extobj>
    <extobj name="2384804F-3998-4D57-9195-F3826E402611-3">
      <extobjdata type="2384804F-3998-4D57-9195-F3826E402611" data="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ZdFZFVllMVTR0TWtVaUlHUTlJazAzT0NBMk1GRTNPQ0E0TkNBNU5TQXhNREpVTVRNNElERXlNRkV4TmpJZ01USXdJREU0TUNBeE1EUlVNVGs1SURZeFVURTVPU0F6TmlBeE9ESWdNVGhVTVRNNUlEQlVPVFlnTVRkVU56Z2dOakJhSWk4K1BIQmhkR2dnYVdROUlrMUtXQzAy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m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W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y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A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Mk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O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m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OaT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DJMVlJGV0MxT0xUSXlNVElpSUdROUlrMDROQ0F5TXpkVU9EUWdNalV3VkRrNElESTNNRWcyTnpsUk5qazBJREkyTWlBMk9UUWdNalV3VkRZM09TQXlNekJJT1RoUk9EUWdNak0zSURnMElESTFNRm9pTHo0OGNHRjBhQ0JwWkQwaVRVcFlMVFl0VkVWWUxVNHROVVVpSUdROUlrMHhNVElnTlRZd1RESTBPU0EyT1RSTU1qVTNJRFk0TmxFek9EY2dOVFl5SURNNE55QTFOakJNTXpZeElEVXpNVkV6TlRrZ05UTXlJRE13TXlBMU9ERk1NalV3SURZeU4wd3hPVFVnTlRnd1VURTRNaUExTmprZ01UWTVJRFUxTjFReE5EZ2dOVE00VERFME1DQTFNekpSTVRNNElEVXpNQ0F4TWpVZ05UUTJUREV4TWlBMU5qQmFJaTgrUEhCaGRHZ2dhV1E5SWsxS1dDMDJ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5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W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J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Z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h3WVhSb0lHbGtQU0pOU2xndE5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46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2025-11-21T07:51:00Z</dcterms:created>
  <dc:creator>Machcreator</dc:creator>
  <cp:lastModifiedBy>Вячеслав Шебанов</cp:lastModifiedBy>
  <dcterms:modified xsi:type="dcterms:W3CDTF">2025-12-19T09:02:30Z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2C856A9FDDD847479100B34DB8E2AD28_12</vt:lpwstr>
  </property>
</Properties>
</file>