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Национальный исследовательский университет «Высшая школа экономики»</w:t>
      </w:r>
    </w:p>
    <w:p>
      <w:pPr>
        <w:spacing w:after="600" w:before="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Факультет экономических наук</w:t>
      </w:r>
    </w:p>
    <w:p>
      <w:pPr>
        <w:spacing w:after="600" w:before="0"/>
        <w:jc w:val="center"/>
      </w:pPr>
      <w:r>
        <w:rPr>
          <w:rFonts w:ascii="Times New Roman" w:cs="Times New Roman" w:eastAsia="Times New Roman" w:hAnsi="Times New Roman"/>
          <w:i/>
          <w:iCs/>
          <w:color w:val="555555"/>
          <w:sz w:val="22"/>
          <w:szCs w:val="22"/>
        </w:rPr>
        <w:t xml:space="preserve">Курс: Инвестиции и риск-менеджмент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52"/>
          <w:szCs w:val="52"/>
        </w:rPr>
        <w:t xml:space="preserve">RiskPulse</w:t>
      </w:r>
    </w:p>
    <w:p>
      <w:pPr>
        <w:spacing w:after="800" w:before="0"/>
        <w:jc w:val="center"/>
      </w:pPr>
      <w:r>
        <w:rPr>
          <w:rFonts w:ascii="Times New Roman" w:cs="Times New Roman" w:eastAsia="Times New Roman" w:hAnsi="Times New Roman"/>
          <w:color w:val="2E5496"/>
          <w:sz w:val="26"/>
          <w:szCs w:val="26"/>
        </w:rPr>
        <w:t xml:space="preserve">Система количественного риск-анализа смешанного портфеля</w:t>
      </w:r>
    </w:p>
    <w:p>
      <w:pPr>
        <w:spacing w:after="1200" w:before="0"/>
        <w:jc w:val="center"/>
      </w:pPr>
      <w:r>
        <w:rPr>
          <w:rFonts w:ascii="Times New Roman" w:cs="Times New Roman" w:eastAsia="Times New Roman" w:hAnsi="Times New Roman"/>
          <w:b/>
          <w:bCs/>
          <w:color w:val="333333"/>
          <w:sz w:val="28"/>
          <w:szCs w:val="28"/>
        </w:rPr>
        <w:t xml:space="preserve">Теоретическая часть</w:t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color w:val="888888"/>
          <w:sz w:val="22"/>
          <w:szCs w:val="22"/>
        </w:rPr>
        <w:t xml:space="preserve">Москва, 2025</w:t>
      </w:r>
    </w:p>
    <w:p>
      <w:r>
        <w:br w:type="page"/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80" w:befor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Введение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Количественный риск-менеджмент прошёл путь от академических упражнений 1990-х годов до обязательного элемента регуляторного надзора. Поворотным моментом стала публикация методологии RiskMetrics компанией J.P. Morgan в 1994 году — впервые единый стандарт расчёта Value at Risk был предложен для широкого круга участников рынка. С тех пор инструментарий значительно усложнился: в регуляторную практику последовательно вошли стресс-тестирование, бэктестирование, Expected Shortfall. Базельский комитет в рамках FRTB (Fundamental Review of the Trading Book, 2019) окончательно переключился с VaR на ES в качестве основной меры капитальных требований.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Настоящий проект — RiskPulse — применяет этот инструментарий к задаче, которая в чистом виде не разбирается в стандартных учебниках: портфель из российских и американских акций, где каждый российский актив несёт одновременно рублёвый акционерный риск и валютный риск USD/RUB. Это создаёт нетривиальную проблему атрибуции: где заканчивается рыночный риск и начинается валютный? Как меняется их соотношение при разных весах российских активов? Ответ на эти вопросы методологически нетривиален — его нельзя взять из готовой формулы, он требует явного разложения P&amp;L.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 не претендует на создание новых моделей. Задача иная: корректно реализовать существующие методы применительно к нестандартной задаче, честно задокументировать ограничения и получить интерпретируемые количественные ответы на сформулированные исследовательские вопросы.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1.1 Исследовательские вопросы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RQ1.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При каком соотношении российских и глобальных активов валютный риск (USD/RUB) становится доминирующей компонентой однодневного VaR портфеля — и как этот порог смещается в периоды повышенной волатильности рубля? Какой из четырёх реализованных методов VaR точнее улавливает эту зависимость по результатам теста Купича?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RQ2.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Насколько сопоставимы по величине потери портфеля при геополитическом шоке (санкции февраль 2022) и при рыночном кризисе сопоставимого масштаба (COVID-2020, повышение ставки ФРС 2022)? Отличается ли структура ковариационной матрицы в эти периоды, и если да — как это сказывается на результатах стресс-теста?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RQ1 не имеет очевидного ответа из литературы: при небольшой доле российских бумаг FX-риск растворяется в общем портфельном шуме, при большой — начинает доминировать, причём порог зависит от текущего режима волатильности рубля. RQ2 ставит под сравнение два принципиально разных по природе кризиса, что редко делается в учебных работах.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Данные и конвертация доходностей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2.1 Состав портфеля и источники данных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Портфель проекта включает семь инструментов двух рынков. Российский кластер — обыкновенные акции Сбербанка (SBER), Лукойла (LKOH) и Газпрома (GAZP) на Московской Бирже, котировки в рублях. Глобальный кластер — акции NVDA, MSFT, AAPL на NYSE/NASDAQ, котировки в долларах. Бенчмарки — индекс IMOEX (Россия) и ETF SPY (США).</w:t>
      </w:r>
    </w:p>
    <w:p>
      <w:pPr>
        <w:spacing w:after="0" w:before="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1600"/>
        <w:gridCol w:w="2400"/>
      </w:tblGrid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Инструмент / группа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Источник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Валюта котировки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Примечание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SBER, LKOH, GAZP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MOEX ISS REST API (apimoex)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RUB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Официальный контракт биржи, стабильный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NVDA, MSFT, AAPL, SPY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Yahoo Finance (yfinance)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USD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Неофициальный, но стандарт в академической среде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IMOEX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MOEX ISS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RUB (пункты)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Индекс полной доходности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USD/RUB (USDRUB_TOM)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MOEX ISS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RUB за 1 USD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Официальный биржевой курс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ФРС ставка, CPI, DXY, Brent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FRED (fredapi)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USD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Бесплатный ключ, официальный Fed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Ключевая ставка ЦБ РФ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MOEX ISS / ЦБ РФ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RUB (% годовых)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Используется как R_f для RU кластера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Отдельного объяснения требует выбор источника курса USD/RUB. Традиционно в академических работах используется ряд DEXRUSS из базы FRED — однако с марта 2022 года ФРС прекратила публикацию этой серии. Для расчётов в режиме реального времени единственным надёжным источником остаётся биржевой инструмент USDRUB_TOM на MOEX ISS, соответствующий официальному курсу Банка России. На исторических данных до 2022 года оба ряда практически совпадают.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2.2 Базовая валюта расчётов и конвертация доходностей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 расчёты P&amp;L, VaR и стресс-тестов ведутся в долларах США. Это не произвольное решение: приведение к единой валюте необходимо, чтобы агрегировать риски качественно разных активов в одну цифру. Вопрос в том, как именно конвертировать рублёвые доходности.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Строгая формула для перевода цены актива из рублей в доллары через курс S (рублей за доллар):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P_i^USD(t)  =  P_i^RUB(t) / S(t)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Отсюда дневная логарифмическая доходность в USD: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r_i^USD(t)  =  ln[P_i^USD(t) / P_i^USD(t-1)]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           =  ln[P_i^RUB(t) / P_i^RUB(t-1)]  −  ln[S(t) / S(t-1)]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           =  r_i^RUB(t)  +  r_FX(t)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где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r_FX(t) = ln(S(t-1)/S(t))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доходность курса с точки зрения владельца долларовых активов (рост S означает ослабление рубля, что является отрицательным событием для инвестора в рублёвый актив, поэтому знак минус). Для арифметических доходностей аналогичное разложение содержит перекрёстный член: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r_i^USD ≈ r_i^RUB  +  r_FX  +  r_i^RUB · r_FX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Перекрёстный член второго порядка при типичных дневных доходностях порядка 1–2% вносит погрешность менее 0.04 п.п. — ею пренебрегают как в академической литературе (Jorion, 2007), так и в практике риск-менеджмента.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Смысл этого разложения для управления рисками прямой: позиция в LKOH даёт одновременно экспозицию на движение акции в рублях и на движение курса USD/RUB. Эти два источника риска принципиально различны по природе, и их нужно разделить явно — что и делается в разделе об атрибуции риска.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2.3 Логика раздельного анализа кластеров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Факторные модели считаются в локальных валютах каждого кластера, а не в единой USD-базе. Это принципиально для интерпретируемости коэффициентов. Если регрессировать SBER в долларах против SPY, полученный коэффициент β поглотит и рублёвую рыночную экспозицию, и FX-экспозицию одновременно — их невозможно разделить в рамках одной регрессии. Разведение кластеров решает эту проблему: β_SBER измеряется в «чистом» рублёвом пространстве против IMOEX; валютный канал учитывается отдельно при агрегации в USD.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Факторные модели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3.1 CAPM</w:t>
      </w:r>
    </w:p>
    <w:p>
      <w:pPr>
        <w:pStyle w:val="Heading3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3.1.1 Постановка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Модель CAPM разработана независимо Шарпом (1964) и Линтнером (1965) на основе портфельной теории Марковица (1952). Центральная идея проста: на эффективном рынке инвестор получает вознаграждение только за риск, от которого нельзя избавиться диверсификацией, — систематический риск. Специфический риск отдельной бумаги диверсифицируется и не вознаграждается.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равновесии ожидаемая избыточная доходность актива пропорциональна его ковариации с рыночным портфелем: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E[R_i] − R_f  =  β_i · (E[R_m] − R_f)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β_i  =  Cov(R_i, R_m) / Var(R_m)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Здесь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(E[R_m] − R_f)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рыночная премия за риск; β_i — мера систематического риска бумаги. Бумага с β = 1.5 в среднем растёт на 1.5% при росте рынка на 1% и падает на 1.5% при его снижении на 1%. β &lt; 1 — защитная бумага, β &gt; 1 — циклическая.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практике β оценивается регрессией временного ряда избыточных доходностей на избыточную доходность рынка: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R_i(t) − R_f(t)  =  α_i  +  β_i · [R_m(t) − R_f(t)]  +  ε_i(t)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Константа α_i (alpha Йенсена) измеряет среднюю доходность сверх того, что «заслуживает» бумага по своему β. В теории α_i = 0 для всех активов — если α ≠ 0, рынок неэффективен в отношении данной бумаги или модель неверна. На практике α_i ≠ 0 чаще, чем нам хотелось бы, — что и стало одной из причин появления многофакторных моделей.</w:t>
      </w:r>
    </w:p>
    <w:p>
      <w:pPr>
        <w:pStyle w:val="Heading3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3.1.2 Применение в проекте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CAPM применяется к обоим кластерам, но в разных валютных пространствах.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Российские акции.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Регрессия в рублях против IMOEX: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R_i^RUB(t) − R_f^RUB(t)  =  α_i  +  β_i · [R_IMOEX(t) − R_f^RUB(t)]  +  ε_i(t)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Безрисковая ставка R_f^RUB — ключевая ставка ЦБ РФ (дневная, т.е. делённая на 365). Рыночный бенчмарк — IMOEX total return.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Глобальные акции.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Регрессия в долларах против SPY: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R_i^USD(t) − R_f^USD(t)  =  α_i  +  β_i · [R_SPY(t) − R_f^USD(t)]  +  ε_i(t)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Безрисковая ставка R_f^USD — ставка по федеральным фондам США (FRED, серия FEDFUNDS).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обоих случаях регрессия считается на скользящем окне 252 торговых дня (один год). Это позволяет отслеживать изменение β во времени — что важно: β LKOH, например, заметно вырастала при росте нефтяных цен и сжималась при боковом рынке. Статическая оценка на всей истории скрыла бы эту динамику.</w:t>
      </w:r>
    </w:p>
    <w:p>
      <w:pPr>
        <w:pStyle w:val="Heading3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3.1.3 Что CAPM не объясняет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Фама и Френч (2004) в обзорной работе честно суммируют: эмпирические тесты CAPM последовательно обнаруживают, что размер компании и коэффициент book-to-market предсказывают доходности лучше, чем β. Это не означает, что CAPM бесполезен — β по-прежнему является наиболее универсальным агрегатным показателем рыночной чувствительности бумаги. Но для глобальных акций, где данные позволяют, имеет смысл перейти к расширенной модели.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3.2 Трёхфакторная модель Фамы–Френча</w:t>
      </w:r>
    </w:p>
    <w:p>
      <w:pPr>
        <w:pStyle w:val="Heading3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3.2.1 Мотивация и конструкция факторов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Фама и Френч (1993) предложили добавить к рыночному фактору два портфельных спреда, которые исторически объясняли аномальные доходности: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R_i^USD(t) − R_f^USD(t)  =  α_i  +  β_1·MKT  +  β_2·SMB  +  β_3·HML  +  ε_i(t)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SMB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(Small Minus Big) — разница доходностей между портфелями мелких и крупных компаний по капитализации. Конструируется ежегодно по всем акциям NYSE, AMEX и NASDAQ: медиана NYSE делит акции на «маленькие» и «большие», внутри каждой группы взвешиваются по капитализации. Фактор SMB отражает историческую «премию малых компаний» — эмпирически малые компании в среднем давали доходность выше, чем их β предсказывал бы CAPM.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HML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(High Minus Low) — разница доходностей между компаниями с высоким и низким отношением балансовой стоимости к рыночной (B/M). Высокий B/M — «ценностные» акции (value), низкий — «растущие» (growth). Исторически value-акции опережали growth-акции по доходности с поправкой на рыночный риск, что CAPM не мог объяснить. HML захватывает эту premium.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Данные факторов публикует Кен Френч на своём сайте. Это важное практическое удобство: факторы доступны бесплатно, обновляются ежемесячно, прошли широкую академическую верификацию.</w:t>
      </w:r>
    </w:p>
    <w:p>
      <w:pPr>
        <w:pStyle w:val="Heading3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3.2.2 Почему FF3 не применяется к российским акциям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Применение FF3 к SBER, LKOH и GAZP невозможно по объективным причинам. На MOEX торгуется около 50 ликвидных инструментов — это примерно в 50 раз меньше, чем требуется для построения надёжных факторных портфелей по методологии Фамы–Френча. При такой выборке сортировка по размеру и B/M даст небольшие группы с высоким идиосинкратическим шумом, и полученные факторы будут измерять скорее случайные флуктуации, чем систематические риск-премии. Официальных российских аналогов SMB и HML не существует, а самостоятельное их конструирование в рамках данного проекта вышло бы за разумные рамки. Поэтому российские акции ограничиваются CAPM — и это честнее, чем применять инструмент в условиях, для которых он не предназначен.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Value at Risk и Expected Shortfall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4.1 Что такое VaR и зачем нужно четыре метода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Value at Risk при доверительном уровне (1−α) и горизонте T отвечает на один вопрос: «Какую максимальную сумму теряет портфель за T дней с вероятностью (1−α)?» Формально: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VaR_{1−α}  =  inf { l : P(L &gt; l) ≤ α }  =  F_L^{−1}(1−α)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где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случайный убыток за период T. При α = 5% и T = 1 день: с вероятностью 95% однодневные потери не превысят VaR_{95%}. Регуляторный стандарт (Basel) — α = 1%, T = 10 дней.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Конкретное число зависит от того, как мы моделируем распределение убытков. Если исходить из нормального распределения — одни цифры; если допустить тяжёлые хвосты — другие; если вовсе не делать параметрических допущений — третьи. Именно поэтому в проекте реализованы четыре метода, а не один: сравнение их результатов само по себе является исследовательским вкладом.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4.2 Историческое моделирование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Historical Simulation (HS) — непараметрический подход. Идея: взять реальные прошлые P&amp;L портфеля и найти нужный квантиль. Никаких допущений о распределении не требуется.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Алгоритм: на каждый момент t берётся скользящее окно из W предшествующих дней (обычно W = 250–500); фиксируются реализованные однодневные убытки L_1, ..., L_W; VaR_{95%} = L_{(⌊0.05·W⌋)} — пятый процентиль отсортированной выборки.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Историческое моделирование автоматически учитывает нелинейности, толстые хвосты, асимметрию — всё, что было в прошлой истории. Слабое место — именно в этой же фразе: метод не видит событий, которых ещё не было. Все сценарии из окна считаются одинаково вероятными, хотя интуитивно данные трёхлетней давности менее релевантны, чем прошлая неделя.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4.3 Параметрический VaR (EWMA / RiskMetrics)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Параметрический подход предполагает нормальное распределение портфельных убытков и сосредотачивается на точной оценке условной волатильности σ_t. Нормальность нарушается на практике, но иметь хорошую оценку волатильности само по себе ценно.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Стандарт RiskMetrics (J.P. Morgan, 1996) оценивает дисперсию через экспоненциально взвешенное скользящее среднее (EWMA):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σ_t²  =  λ · σ_{t−1}²  +  (1−λ) · r_{t−1}²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Параметр λ = 0.94 — результат эмпирической калибровки JP Morgan на широком наборе активов. При таком λ «период полураспада» веса составляет около 12 торговых дней: данные двухнедельной давности имеют вдвое меньший вес, чем вчерашние. Это позволяет EWMA оперативно реагировать на рост волатильности в кризисный период.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VaR в предположении нормальности: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VaR_{95%}^{param}  =  1.645 · σ_p(t)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σ_p²(t)  =  w' · Σ_t · w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где Σ_t — ковариационная матрица, оцениваемая EWMA для всех пар активов в USD. При нормальности ошибка модели — занижение хвостовых потерь. Реальные доходности имеют эксцесс (kurtosis &gt; 3), и нормальный VaR на уровне 99% систематически занижает реальный риск: то, что модель считает «событием раз в сто дней», на практике случается чаще.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4.4 Метод Монте-Карло: два варианта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MC-симуляция позволяет сгенерировать полное распределение P&amp;L портфеля при любом заданном распределении доходностей — в отличие от параметрического метода, который даёт только стандартное отклонение и применяет к нему квантиль нормального распределения.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Нормальный MC (baseline):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генерируются 10 000 векторов r_sim ~ N(μ, Σ) через разложение Холецкого (Σ = LL'), вычисляется P&amp;L каждой симуляции, берётся квантиль. При нормальном распределении нормальный MC и параметрический VaR должны давать практически одинаковые числа — это проверка корректности реализации.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Student-t MC (основная модель):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вместо нормального распределения используется многомерное t-распределение со степенями свободы ν. Плотность одномерного t-распределения: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f(x; ν)  =  [Γ((ν+1)/2) / (√(νπ) · Γ(ν/2))] · (1 + x²/ν)^{−(ν+1)/2}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ν → ∞ оно сходится к нормальному. При ν = 3–5 — хвосты заметно тяжелее: события на уровне ±3σ случаются в несколько раз чаще, чем предсказывает нормальное распределение. Для дневных доходностей акций эмпирически ν ≈ 3–6, что хорошо задокументировано в литературе.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Параметр ν оценивается через максимальное правдоподобие на исторических данных портфеля: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ν̂  =  argmax_ν  Σ_t  ln f_t(r_t; μ, Σ, ν)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MC Student-t даёт более высокие оценки VaR (особенно при α = 1%), что отражает реальную частоту крупных потерь. Различие нормального и Student-t MC в таблице результатов — это и есть «цена» гауссовского допущения.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4.5 Expected Shortfall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VaR отвечает на вопрос «какой порог убытка?», но ничего не говорит о том, что происходит за этим порогом. Expected Shortfall (ES) отвечает на другой вопрос: «Каков средний убыток в худших α% случаев?»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ES_{1−α}  =  E[L | L &gt; VaR_{1−α}]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 был предложен как когерентная альтернатива VaR Арцнером, Делбаеном, Эбером и Хитом в 1999 году. Ключевое отличие: ES обладает субаддитивностью — ES(A+B) ≤ ES(A) + ES(B). Это означает, что диверсификация всегда снижает или не меняет ES; для VaR это свойство не гарантируется при произвольных распределениях. Именно нарушение субаддитивности VaR стало теоретическим обоснованием для перехода Базельского комитета к ES в FRTB.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проекте ES вычисляется для каждого метода VaR. Для параметрического (нормального) приближения: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ES_{1−α}^{normal}  =  σ_p · φ(z_α) / α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где φ — плотность стандартного нормального распределения. Для исторического метода ES вычисляется как среднее убытков, превысивших VaR. Для MC — как среднее по симуляциям с P&amp;L &lt; −VaR.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Горизонт измерения: 10-дневный VaR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5.1 Откуда 10 дней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Регуляторный горизонт 10 торговых дней появился в Базеле II как компромисс между ликвидностью позиций (портфель нельзя закрыть мгновенно) и частотой данных (однодневных наблюдений значительно больше, чем десятидневных). Формально Базель разрешал банкам масштабировать однодневный VaR по правилу квадратного корня: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VaR_{10}^{Basel}  =  VaR_1 · √10  ≈  3.16 · VaR_1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 прост: если дневные доходности i.i.d. и имеют нулевое среднее, то дисперсия 10-дневной суммы равна 10σ², откуда стандартное отклонение σ_{10} = σ_1·√10, и VaR масштабируется соответственно.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5.2 Когда правило √10 ломается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Проблема в том, что i.i.d. — одно из наименее правдоподобных допущений именно в те моменты, когда 10-дневный VaR наиболее важен. В кризисный период: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серийная корреляция доходностей усиливается: вчерашнее падение предсказывает сегодняшнее (моментум, панические продажи)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волатильность кластеризуется (GARCH-эффект): после дня с большим движением следует день с большим движением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хвосты 10-дневного распределения оказываются значительно тяжелее, чем предсказывает √10</w:t>
      </w:r>
    </w:p>
    <w:p>
      <w:pPr>
        <w:spacing w:after="0" w:before="0"/>
      </w:pPr>
      <w:r>
        <w:t xml:space="preserve"/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Итог: в спокойные периоды оба метода дают близкие оценки; в кризис VaR_1·√10 занижает реальный 10-дневный VaR. Это не теоретическая тонкость — расхождение хорошо видно на данных COVID-2020 и является одним из результатов, которые явно показываются в отчёте.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5.3 Прямая оценка через перекрывающиеся окна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Корректная альтернатива — строить выборку 10-дневных доходностей напрямую, без каких-либо допущений о структуре зависимостей: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R_{t,t+10}  =  Σ_{k=0}^{9}  r_{t+k}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Затем VaR_{10} = квантиль α эмпирической выборки {R_{t,t+10}}. Соседние наблюдения перекрываются на 9 дней, что делает их зависимыми, но это не мешает состоятельности оценки квантиля — объём выборки при этом в 10 раз больше, чем при использовании неперекрывающихся окон. Дополнительная дисперсия оценки из-за зависимостей на практике перекрывается выигрышем от большего числа наблюдений.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отчёте проекта обе оценки выводятся рядом: VaR_1·√10 и VaR_{10}^{OW}. Их расхождение в период COVID-2020 служит наглядной иллюстрацией ограничений базельского масштабирования.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Декомпозиция и атрибуция риска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6.1 Компонентный VaR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Знать совокупный VaR портфеля полезно. Знать, какая позиция его обеспечивает — уже управленческая информация. Компонентный VaR позволяет приписать каждой позиции долю совокупного риска так, чтобы эти доли суммировались в 100%.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Математическое обоснование — теорема Эйлера для однородных функций. Функция риска ρ(w) однородна степени 1: ρ(λw) = λρ(w). Для таких функций: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ρ(w)  =  Σ_i  w_i · ∂ρ/∂w_i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 значит, что полный риск равен сумме произведений «количество позиции × предельный вклад единицы позиции». Для VaR в нормальном приближении: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RC_i  =  w_i · (Σw)_i / σ_p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Σ_i RC_i  =  VaR_p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где (Σw)_i — i-й элемент вектора ковариаций позиции i с остальным портфелем. Интерпретация RC_i: если RC_i / VaR_p = 30%, то позиция i вносит 30% совокупного портфельного риска. Это не то же самое, что «30% весов портфеля» — зависит от корреляции с другими позициями.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6.2 Атрибуция FX-риска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российских акций компонентный VaR можно разложить дальше — на рублёвую акционерную компоненту и валютную: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RC_SBER  =  RC_SBER^equity  +  RC_SBER^FX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FX-компонента вычисляется как нормированная ковариация долларовой доходности SBER с FX-шоком: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RC_SBER^FX  =  w_SBER · Cov(r_SBER^USD, r_FX) / σ_p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Сумма RC_i^FX по всем российским позициям — это совокупный FX-риск портфеля. По мере роста доли российских активов эта сумма растёт, и при некотором пороге она начинает превышать совокупный equity-риск. Нахождение этого порога как функции σ_FX и составляет эмпирический ответ на RQ1.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Важная оговорка: факторная атрибуция по CAPM/FF3 не агрегируется на уровне всего портфеля. «Рыночный фактор IMOEX» и «рыночный фактор S&amp;P 500» — это совершенно разные факторы в разных экономических пространствах. Складывать β_SBER vs IMOEX и β_AAPL vs SPY в одну таблицу — методологически некорректно. Единственная корректная агрегация на уровне всего портфеля — компонентный VaR.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6.3 VaR-лимит и рекомендация по ребалансированию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Система задаёт лимит дневных потерь (например, 2% от стоимости портфеля). Если Portfolio VaR_{95%} &gt; 2%, dashboard показывает: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позицию с наибольшим RC_i — она вносит наибольший вклад в нарушение лимита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целевой вес w_i*, при котором VaR вернётся в лимит — находится численным поиском</w:t>
      </w:r>
    </w:p>
    <w:p>
      <w:pPr>
        <w:spacing w:after="0" w:before="0"/>
      </w:pPr>
      <w:r>
        <w:t xml:space="preserve"/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 минимальная, но содержательная связь между измерением риска и управленческим действием. Реальный риск-менеджер, разумеется, учитывает транзакционные издержки, ликвидность и другие ограничения — в данном проекте их нет. Это честно задокументировано в разделе ограничений.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 Стресс-тестирование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7.1 Место стресс-тестирования в риск-менеджменте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VaR — статистическая мера: она описывает «нормальное» плохое. Стресс-тест описывает «экстраординарное плохое» — то, что редко попадает в историческое окно VaR, но имеет правдоподобный механизм реализации. После кризиса 2008 года стресс-тестирование стало обязательным элементом регуляторного надзора за системно значимыми банками, а затем распространилось в практику управления нефинансовыми портфелями.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Различают два подхода. Исторические сценарии применяют к текущему портфелю реальные зафиксированные шоки из прошлого. Гипотетические сценарии конструируются аналитически на основе экономического нарратива («что если ФРС поднимет ставку на 200 б.п.?»). Оба подхода дополняют друг друга: исторические более реалистичны по масштабу шока, гипотетические позволяют тестировать сценарии, которых ещё не было.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7.2 Исторические сценарии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проекте выбраны три стресс-периода, различающихся по природе шока:</w:t>
      </w:r>
    </w:p>
    <w:p>
      <w:pPr>
        <w:spacing w:after="0" w:before="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2200"/>
        <w:gridCol w:w="2600"/>
      </w:tblGrid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Сценарий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Период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Активы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Характер шока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COVID-crash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Фев–Мар 2020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Все 7 инструментов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Ликвидационный шок, корреляции активов резко выросли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Rate hike cycle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Мар–Дек 2022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NVDA, MSFT, AAPL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Переоценка growth-акций при росте безрисковой ставки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Sanctions shock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Фев 2022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Только global-кластер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Геополитический шок; MOEX закрыта 25.02–24.03.2022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Методика: реальные дневные доходности из базы применяются к текущему вектору весов. P&amp;L каждого сценария: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PL^{scenario}  =  Σ_i  w_i · V_i · r_i^{scenario}(t)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 отвечает на практический вопрос: «Что было бы с нашим текущим портфелем, если бы произошёл COVID-2020?» — а не «Что было бы, если бы мы держали тогдашний портфель?» Разница существенная.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Сценарий «санкции» применяется только к глобальным активам. Включать MOEX-бумаги в расчёт нельзя: биржа не работала 24 торговых дня подряд, цен нет. Это ограничение честно описывается в отчёте: геополитический сценарий для смешанного портфеля с российскими акциями заведомо занижает реальные потери.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7.3 Гипотетические шоки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Три гипотетических сценария строятся через линейную P&amp;L-апроксимацию — стандартный подход для портфелей без производных инструментов: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ΔP  =  Σ_i  w_i · β_{i,factor} · Δfactor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USD/RUB +20% (ослабление рубля).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LKOH и GAZP — экспортёры с выручкой в долларах. При ослаблении рубля на 20% их рублёвые цены исторически росли примерно пропорционально — что через конвертацию в USD означает близкий к нулю P&amp;L (курсовой выигрыш нейтрализует рублёвый рост). SBER — банк с рублёвыми доходами, его USD-цена падает на величину, близкую к ослаблению рубля. Расчёт через β_FX, оценённый регрессией.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Нефть Brent −30%.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LKOH и GAZP несут прямую экспозицию на нефть. β_нефть оценивается регрессией рублёвой доходности акции на процентное изменение Brent. AAPL и MSFT — косвенная экспозиция через энергетические затраты, но она существенно меньше.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Ставка ФРС +200 б.п.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Рост безрисковой ставки снижает приведённую стоимость будущих денежных потоков. Growth-акции (NVDA, часть MSFT/AAPL-мультипликатора) более чувствительны, чем value-акции. Duration-proxy для NVDA — примерно 10–15 лет дюрации DCF-модели, что при ставке +200 б.п. соответствует снижению fair value на ~15–20%.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7.4 Ковариационные матрицы в нормальном и кризисном режимах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Ковариационная матрица портфеля, оценённая на полной истории, не отражает реальный уровень корреляций в кризис. Феномен корреляционного заражения (correlation breakdown) хорошо задокументирован: в периоды стресса корреляции между активами устойчиво растут — активы, которые двигались независимо в спокойное время, падают синхронно (Longin &amp; Solnik, 2001). Диверсификация перестаёт работать именно тогда, когда она нужна больше всего.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проекте строятся две матрицы: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Normal regime: оценивается на полной истории за вычетом кризисных окон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Crisis regime: оценивается только на кризисных окнах (COVID фев–апр 2020, санкции фев–мар 2022)</w:t>
      </w:r>
    </w:p>
    <w:p>
      <w:pPr>
        <w:spacing w:after="0" w:before="0"/>
      </w:pPr>
      <w:r>
        <w:t xml:space="preserve"/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Стресс-тест с crisis covariance даёт более высокий VaR и более пессимистичный P&amp;L — и это методологически честнее, поскольку именно такая матрица описывает реальные корреляции в момент реализации сценария. Разница между двумя матрицами явно показывается в тексте отчёта: средняя попарная корреляция, тепловая карта, доля дисперсии первого главного компонента.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 Бэктестирование VaR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8.1 Постановка задачи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Любую прогностическую модель нужно проверять на исторических данных. Для VaR это называется бэктестированием: мы смотрим, сколько раз реальные убытки превысили прогноз VaR на горизонте проверки.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каждого торгового дня t в период бэктеста: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I_t  =  1,  если L_t &gt; VaR_{1−α,t}   (нарушение, «hit»)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I_t  =  0   иначе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где VaR_{1−α,t} строится на данных до момента t (expanding window). Если модель корректна, последовательность {I_t} — это независимые бернуллиевские случайные величины с параметром α. При α = 5% модель должна «нарушаться» примерно в 5% дней. Меньше — модель консервативна; больше — недооценивает риск.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Основной период бэктеста — COVID-2020 (февраль–март 2020). Выбор обусловлен: данные полные для всех 7 инструментов, нарушения VaR видны чётко, кризис был достаточно быстрым (нет пропущенных данных). Санкционный период для бэктеста не подходит: MOEX был закрыт 24 торговых дня, что методологически несовместимо с ежедневным VaR.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8.2 Тест Купича (unconditional coverage)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 пропорции нарушений (Proportion of Failures, Kupiec, 1995) проверяет, правильна ли средняя частота нарушений. H₀: E[I_t] = α, то есть доля нарушений в выборке равна заявленному уровню.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T наблюдениях и n нарушениях статистика отношения правдоподобия: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LR_uc  =  −2 ln[(1−α)^{T−n} · αⁿ]  +  2 ln[(1−n/T)^{T−n} · (n/T)ⁿ]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LR_uc ~ χ²(1), критическое значение при уровне 5% равно 3.84. Числитель — правдоподобие при истинном α, знаменатель — при эмпирической доле n/T. Чем сильнее n/T отклоняется от α в любую сторону — тем больше статистика.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Ограничение теста: он смотрит только на число нарушений, не на их расположение во времени. Модель, у которой все 5 нарушений за 100 дней случились подряд в один кризисный период, неотличима от модели, где нарушения равномерно распределены по периоду. С управленческой точки зрения это принципиально разные модели — первая не работает именно тогда, когда важна.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8.3 Тест Кристофферсена (independence)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 независимости (Christoffersen, 1998) проверяет, не кластеризованы ли нарушения. H₀: вероятность нарушения в день t не зависит от того, было ли нарушение в день t−1.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последовательности {I_t} строится матрица переходов. Обозначим n_{ij} — число переходов из состояния i в состояние j (0 — не нарушение, 1 — нарушение). Оцениваются условные вероятности нарушения: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π₀  =  n₀₁/(n₀₀+n₀₁),   π₁  =  n₁₁/(n₁₀+n₁₁),   π  =  (n₀₁+n₁₁)/T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LR_ind  =  −2 ln[(1−π)^{n₀₀+n₁₀} · π^{n₀₁+n₁₁}]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       +  2 ln[(1−π₀)^{n₀₀} · π₀^{n₀₁} · (1−π₁)^{n₁₀} · π₁^{n₁₁}]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LR_ind ~ χ²(1). Если π₁ &gt;&gt; π₀ — нарушения кластеризованы: после нарушения следует нарушение с повышенной вероятностью. Это ожидаемо при статической ковариационной матрице в кризис: VaR не успевает вырасти в ответ на рост волатильности, нарушения идут сериями.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8.4 Совместный тест условного покрытия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Кристофферсен (1998) объединяет оба теста: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LR_cc  =  LR_uc  +  LR_ind  ~  χ²(2)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H₀ отвергается при LR_cc &gt; 5.99. Практическая интерпретация: Купич может не отвергать H₀ (правильная частота), но Кристофферсен отвергнет, если убытки кластеризованы. Именно это происходит с историческим VaR и параметрическим EWMA в период COVID: оба теста вместе дают более полную картину качества модели.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Ожидаемые результаты по методам при бэктесте на COVID-2020:</w:t>
      </w:r>
    </w:p>
    <w:p>
      <w:pPr>
        <w:spacing w:after="0" w:before="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2000"/>
        <w:gridCol w:w="2800"/>
      </w:tblGrid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Метод VaR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LR_uc (coverage)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LR_ind (independence)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Интерпретация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Historical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Вероятно не отвергает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Возможно отвергает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Правильная частота, но кластеризация в марте 2020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Parametric EWMA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отвергает / граница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Лучше, чем historical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EWMA реагирует на рост волатильности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MC Normal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 99% — отвергает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Нейтрально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Нормальное распределение занижает хвосты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MC Student-t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Лучший результат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Лучший результат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Толстые хвосты более реалистичны</w:t>
            </w:r>
          </w:p>
        </w:tc>
      </w:tr>
    </w:tbl>
    <w:p>
      <w:pPr>
        <w:spacing w:after="0" w:before="0"/>
      </w:pPr>
      <w:r>
        <w:t xml:space="preserve"/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 Ограничения моделей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Перечисленные ниже ограничения — не признание слабости работы, а необходимый элемент академической честности. Каждое ограничение либо обусловлено объективными обстоятельствами (отсутствие данных), либо является сознательным методологическим выбором с обоснованием.</w:t>
      </w:r>
    </w:p>
    <w:p>
      <w:pPr>
        <w:spacing w:after="0" w:before="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3400"/>
      </w:tblGrid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Ограничение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Причина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Последствие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MOEX закрыт 25 фев – 24 мар 2022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Торги приостановлены, данных нет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Sanctions 2022 не подходит для бэктеста Купича — только стресс-сценарий. Геополитический сценарий занижает потери по RU активам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FF3 не применяется к RU акциям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MOEX ~50 ликвидных акций — мало для надёжных факторных портфелей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RU кластер ограничен однофакторной CAPM. Приемлемо, поскольку честнее, чем переподогнанный FF3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FX конвертация — линейное приближение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Перекрёстный член второго порядка мал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Погрешность &lt; 0.1 п.п. при дневных доходностях — пренебрежимо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CAPM в локальных валютах, не в единой USD-базе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Принципиальный методологический выбор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β интерпретируема; смешанная регрессия в USD дала бы нечитаемый коэффициент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Масштабирование √10 не используется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Нарушает i.i.d. в кризис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VaR_10 строится через overlapping windows; Basel scaling показан как сравнение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Нормальный MC — только baseline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Нормальность нарушается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Основная модель — Student-t; нормальный служит иллюстрацией недооценки хвостов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Линейный P&amp;L в стресс-тестах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Нет производных инструментов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Приемлемо для чистого equity-портфеля; нелинейности не существенны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Ребалансирование — упрощённый поиск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оптимизация Марковица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Транзакционные издержки не учтены; логика «сократить одну позицию» является упрощением</w:t>
            </w:r>
          </w:p>
        </w:tc>
      </w:tr>
    </w:tbl>
    <w:p>
      <w:pPr>
        <w:spacing w:after="0" w:before="0"/>
      </w:pPr>
      <w:r>
        <w:t xml:space="preserve"/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 Список использованной литературы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Acerbi, C., &amp; Tasche, D. (2002).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coherence of expected shortfall.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Journal of Banking &amp; Finance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26(7), 1487–1503.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Artzner, P., Delbaen, F., Eber, J.-M., &amp; Heath, D. (1999).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Coherent measures of risk.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Mathematical Finance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9(3), 203–228.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Basel Committee on Banking Supervision. (1996).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Supervisory framework for the use of "backtesting" in conjunction with the internal models approach to market risk capital requirements. BIS.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Basel Committee on Banking Supervision. (2019).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Minimum capital requirements for market risk (Fundamental Review of the Trading Book). BIS.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Berkowitz, J., Christoffersen, P., &amp; Pelletier, D. (2011).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Evaluating value-at-risk models with desk-level data.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Management Science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57(12), 2213–2227.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BIS. (2011).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Evaluating "correlation breakdowns" during periods of market volatility.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BIS Conference Papers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Vol. 8.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Christoffersen, P. F. (1998).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Evaluating interval forecasts.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International Economic Review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39(4), 841–862.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Fama, E. F., &amp; French, K. R. (1993).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Common risk factors in the returns on stocks and bonds.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Journal of Financial Economics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33(1), 3–56.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Fama, E. F., &amp; French, K. R. (2004).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The capital asset pricing model: Theory and evidence.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Journal of Economic Perspectives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18(3), 25–46.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Jorion, P. (2007).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Value at Risk: The New Benchmark for Managing Financial Risk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(3rd ed.). McGraw-Hill.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Kupiec, P. H. (1995).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Techniques for verifying the accuracy of risk measurement models.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Journal of Derivatives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3(2), 73–84.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Lintner, J. (1965).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The valuation of risk assets and the selection of risky investments in stock portfolios and capital budgets.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Review of Economics and Statistics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47(1), 13–37.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Longin, F., &amp; Solnik, B. (2001).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Extreme correlation of international equity markets.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Journal of Finance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56(2), 649–676.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Markowitz, H. (1952).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Portfolio selection.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Journal of Finance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7(1), 77–91.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Mossin, J. (1966).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Equilibrium in a capital asset market.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Econometrica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34(4), 768–783.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Roncalli, T. (2013).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Introduction to Risk Parity and Budgeting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CRC Press.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Sharpe, W. F. (1964).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Capital asset prices: A theory of market equilibrium under conditions of risk.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Journal of Finance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19(3), 425–442.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J.P. Morgan / Reuters. (1996).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RiskMetrics — Technical Document (4th ed.). J.P. Morgan.</w:t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999999"/>
        <w:sz w:val="18"/>
        <w:szCs w:val="18"/>
      </w:rPr>
      <w:t xml:space="preserve">— </w:t>
    </w:r>
    <w:r>
      <w:rPr>
        <w:rFonts w:ascii="Times New Roman" w:cs="Times New Roman" w:eastAsia="Times New Roman" w:hAnsi="Times New Roma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3" w:space="1"/>
      </w:pBdr>
      <w:jc w:val="right"/>
    </w:pPr>
    <w:r>
      <w:rPr>
        <w:rFonts w:ascii="Times New Roman" w:cs="Times New Roman" w:eastAsia="Times New Roman" w:hAnsi="Times New Roman"/>
        <w:color w:val="999999"/>
        <w:sz w:val="18"/>
        <w:szCs w:val="18"/>
      </w:rPr>
      <w:t xml:space="preserve">RiskPulse — Теоретическая часть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2E549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Times New Roman" w:cs="Times New Roman" w:eastAsia="Times New Roman" w:hAnsi="Times New Roman"/>
      <w:b/>
      <w:bCs/>
      <w:color w:val="2E549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2026-04-22T08:48:47.356Z</dcterms:created>
  <dcterms:modified xsi:type="dcterms:W3CDTF">2026-04-22T08:48:47.356Z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