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Национальный исследовательский университет «Высшая школа экономики»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Факультет экономических наук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2"/>
          <w:szCs w:val="22"/>
        </w:rPr>
        <w:t xml:space="preserve">Курс: Инвестиции и риск-менеджмент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52"/>
          <w:szCs w:val="52"/>
        </w:rPr>
        <w:t xml:space="preserve">RiskPulse</w:t>
      </w:r>
    </w:p>
    <w:p>
      <w:pPr>
        <w:spacing w:after="800" w:before="0"/>
        <w:jc w:val="center"/>
      </w:pPr>
      <w:r>
        <w:rPr>
          <w:rFonts w:ascii="Times New Roman" w:cs="Times New Roman" w:eastAsia="Times New Roman" w:hAnsi="Times New Roman"/>
          <w:color w:val="2E5496"/>
          <w:sz w:val="26"/>
          <w:szCs w:val="26"/>
        </w:rPr>
        <w:t xml:space="preserve">Система количественного риск-анализа смешанного портфеля</w:t>
      </w:r>
    </w:p>
    <w:p>
      <w:pPr>
        <w:spacing w:after="120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333333"/>
          <w:sz w:val="28"/>
          <w:szCs w:val="28"/>
        </w:rPr>
        <w:t xml:space="preserve">Теоретическая часть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color w:val="888888"/>
          <w:sz w:val="22"/>
          <w:szCs w:val="22"/>
        </w:rPr>
        <w:t xml:space="preserve">Москва, 2025</w:t>
      </w:r>
    </w:p>
    <w:p>
      <w:r>
        <w:br w:type="page"/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Введение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Количественный риск-менеджмент прошёл путь от академических упражнений 1990-х годов до обязательного элемента регуляторного надзора. Поворотным моментом стала публикация методологии RiskMetrics компанией J.P. Morgan в 1994 году — впервые единый стандарт расчёта Value at Risk был предложен для широкого круга участников рынка. С тех пор инструментарий значительно усложнился: в регуляторную практику последовательно вошли стресс-тестирование, бэктестирование, Expected Shortfall. Базельский комитет в рамках FRTB (Fundamental Review of the Trading Book, 2019) окончательно переключился с VaR на ES в качестве основной меры капитальных требований.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проект — RiskPulse — применяет этот инструментарий к задаче, которая в чистом виде не разбирается в стандартных учебниках: портфель из российских и американских акций, где каждый российский актив несёт одновременно рублёвый акционерный риск и валютный риск USD/RUB. Это создаёт нетривиальную проблему атрибуции: где заканчивается рыночный риск и начинается валютный? Как меняется их соотношение при разных весах российских активов? Ответ на эти вопросы методологически нетривиален — его нельзя взять из готовой формулы, он требует явного разложения P&amp;L.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не претендует на создание новых моделей. Задача иная: корректно реализовать существующие методы применительно к нестандартной задаче, честно задокументировать ограничения и получить интерпретируемые количественные ответы на сформулированные исследовательские вопросы.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1.1 Исследовательские вопросы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RQ1.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каком соотношении российских и глобальных активов валютный риск (USD/RUB) становится доминирующей компонентой однодневного VaR портфеля — и как этот порог смещается в периоды повышенной волатильности рубля? Какой из четырёх реализованных методов VaR точнее улавливает эту зависимость по результатам теста Купича?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RQ2.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Насколько сопоставимы по величине потери портфеля при геополитическом шоке (санкции февраль 2022) и при рыночном кризисе сопоставимого масштаба (COVID-2020, повышение ставки ФРС 2022)? Отличается ли структура ковариационной матрицы в эти периоды, и если да — как это сказывается на результатах стресс-теста?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RQ1 не имеет очевидного ответа из литературы: при небольшой доле российских бумаг FX-риск растворяется в общем портфельном шуме, при большой — начинает доминировать, причём порог зависит от текущего режима волатильности рубля. RQ2 ставит под сравнение два принципиально разных по природе кризиса, что редко делается в учебных работах.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Данные и конвертация доходностей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 Состав портфеля и источники данных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Портфель проекта включает семь инструментов двух рынков. Российский кластер — обыкновенные акции Сбербанка (SBER), Лукойла (LKOH) и Газпрома (GAZP) на Московской Бирже, котировки в рублях. Глобальный кластер — акции NVDA, MSFT, AAPL на NYSE/NASDAQ, котировки в долларах. Бенчмарки — индекс IMOEX (Россия) и ETF SPY (США).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1600"/>
        <w:gridCol w:w="2400"/>
      </w:tblGrid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Инструмент / группа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Валюта котировки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SBER, LKOH, GAZP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ISS REST API (apimoex)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RUB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Официальный контракт биржи, стабильный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NVDA, MSFT, AAPL, SPY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Yahoo Finance (yfinance)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Неофициальный, но стандарт в академической среде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IMOEX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ISS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RUB (пункты)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Индекс полной доходности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USD/RUB (USDRUB_TOM)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ISS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RUB за 1 USD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Официальный биржевой курс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ФРС ставка, CPI, DXY, Brent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FRED (fredapi)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Бесплатный ключ, официальный Fed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Ключевая ставка ЦБ РФ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ISS / ЦБ РФ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RUB (% годовых)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Используется как R_f для RU кластера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Отдельного объяснения требует выбор источника курса USD/RUB. Традиционно в академических работах используется ряд DEXRUSS из базы FRED — однако с марта 2022 года ФРС прекратила публикацию этой серии. Для расчётов в режиме реального времени единственным надёжным источником остаётся биржевой инструмент USDRUB_TOM на MOEX ISS, соответствующий официальному курсу Банка России. На исторических данных до 2022 года оба ряда практически совпадают.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2.2 Базовая валюта расчётов и конвертация доходностей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расчёты P&amp;L, VaR и стресс-тестов ведутся в долларах США. Это не произвольное решение: приведение к единой валюте необходимо, чтобы агрегировать риски качественно разных активов в одну цифру. Вопрос в том, как именно конвертировать рублёвые доходности.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Строгая формула для перевода цены актива из рублей в доллары через курс S (рублей за доллар):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P_i^USD(t)  =  P_i^RUB(t) / S(t)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дневная логарифмическая доходность в USD: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r_i^USD(t)  =  ln[P_i^USD(t) / P_i^USD(t-1)]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           =  ln[P_i^RUB(t) / P_i^RUB(t-1)]  −  ln[S(t) / S(t-1)]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           =  r_i^RUB(t)  +  r_FX(t)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r_FX(t) = ln(S(t-1)/S(t))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доходность курса с точки зрения владельца долларовых активов (рост S означает ослабление рубля, что является отрицательным событием для инвестора в рублёвый актив, поэтому знак минус). Для арифметических доходностей аналогичное разложение содержит перекрёстный член: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r_i^USD ≈ r_i^RUB  +  r_FX  +  r_i^RUB · r_FX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Перекрёстный член второго порядка при типичных дневных доходностях порядка 1–2% вносит погрешность менее 0.04 п.п. — ею пренебрегают как в академической литературе (Jorion, 2007), так и в практике риск-менеджмента.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Смысл этого разложения для управления рисками прямой: позиция в LKOH даёт одновременно экспозицию на движение акции в рублях и на движение курса USD/RUB. Эти два источника риска принципиально различны по природе, и их нужно разделить явно — что и делается в разделе об атрибуции риска.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2.3 Логика раздельного анализа кластеров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Факторные модели считаются в локальных валютах каждого кластера, а не в единой USD-базе. Это принципиально для интерпретируемости коэффициентов. Если регрессировать SBER в долларах против SPY, полученный коэффициент β поглотит и рублёвую рыночную экспозицию, и FX-экспозицию одновременно — их невозможно разделить в рамках одной регрессии. Разведение кластеров решает эту проблему: β_SBER измеряется в «чистом» рублёвом пространстве против IMOEX; валютный канал учитывается отдельно при агрегации в USD.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Факторные модели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 CAPM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3.1.1 Постановка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CAPM разработана независимо Шарпом (1964) и Линтнером (1965) на основе портфельной теории Марковица (1952). Центральная идея проста: на эффективном рынке инвестор получает вознаграждение только за риск, от которого нельзя избавиться диверсификацией, — систематический риск. Специфический риск отдельной бумаги диверсифицируется и не вознаграждается.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равновесии ожидаемая избыточная доходность актива пропорциональна его ковариации с рыночным портфелем: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E[R_i] − R_f  =  β_i · (E[R_m] − R_f)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β_i  =  Cov(R_i, R_m) / Var(R_m)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Здесь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(E[R_m] − R_f)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рыночная премия за риск; β_i — мера систематического риска бумаги. Бумага с β = 1.5 в среднем растёт на 1.5% при росте рынка на 1% и падает на 1.5% при его снижении на 1%. β &lt; 1 — защитная бумага, β &gt; 1 — циклическая.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практике β оценивается регрессией временного ряда избыточных доходностей на избыточную доходность рынка: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R_i(t) − R_f(t)  =  α_i  +  β_i · [R_m(t) − R_f(t)]  +  ε_i(t)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Константа α_i (alpha Йенсена) измеряет среднюю доходность сверх того, что «заслуживает» бумага по своему β. В теории α_i = 0 для всех активов — если α ≠ 0, рынок неэффективен в отношении данной бумаги или модель неверна. На практике α_i ≠ 0 чаще, чем нам хотелось бы, — что и стало одной из причин появления многофакторных моделей.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3.1.2 Применение в проекте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CAPM применяется к обоим кластерам, но в разных валютных пространствах.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Российские акции.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Регрессия в рублях против IMOEX: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R_i^RUB(t) − R_f^RUB(t)  =  α_i  +  β_i · [R_IMOEX(t) − R_f^RUB(t)]  +  ε_i(t)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Безрисковая ставка R_f^RUB — ключевая ставка ЦБ РФ (дневная, т.е. делённая на 365). Рыночный бенчмарк — IMOEX total return.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Глобальные акции.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Регрессия в долларах против SPY: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R_i^USD(t) − R_f^USD(t)  =  α_i  +  β_i · [R_SPY(t) − R_f^USD(t)]  +  ε_i(t)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Безрисковая ставка R_f^USD — ставка по федеральным фондам США (FRED, серия FEDFUNDS).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обоих случаях регрессия считается на скользящем окне 252 торговых дня (один год). Это позволяет отслеживать изменение β во времени — что важно: β LKOH, например, заметно вырастала при росте нефтяных цен и сжималась при боковом рынке. Статическая оценка на всей истории скрыла бы эту динамику.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3.1.3 Что CAPM не объясняет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Фама и Френч (2004) в обзорной работе честно суммируют: эмпирические тесты CAPM последовательно обнаруживают, что размер компании и коэффициент book-to-market предсказывают доходности лучше, чем β. Это не означает, что CAPM бесполезен — β по-прежнему является наиболее универсальным агрегатным показателем рыночной чувствительности бумаги. Но для глобальных акций, где данные позволяют, имеет смысл перейти к расширенной модели.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 Трёхфакторная модель Фамы–Френча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 Мотивация и конструкция факторов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Фама и Френч (1993) предложили добавить к рыночному фактору два портфельных спреда, которые исторически объясняли аномальные доходности: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R_i^USD(t) − R_f^USD(t)  =  α_i  +  β_1·MKT  +  β_2·SMB  +  β_3·HML  +  ε_i(t)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SMB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(Small Minus Big) — разница доходностей между портфелями мелких и крупных компаний по капитализации. Конструируется ежегодно по всем акциям NYSE, AMEX и NASDAQ: медиана NYSE делит акции на «маленькие» и «большие», внутри каждой группы взвешиваются по капитализации. Фактор SMB отражает историческую «премию малых компаний» — эмпирически малые компании в среднем давали доходность выше, чем их β предсказывал бы CAPM.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(High Minus Low) — разница доходностей между компаниями с высоким и низким отношением балансовой стоимости к рыночной (B/M). Высокий B/M — «ценностные» акции (value), низкий — «растущие» (growth). Исторически value-акции опережали growth-акции по доходности с поправкой на рыночный риск, что CAPM не мог объяснить. HML захватывает эту premium.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 факторов публикует Кен Френч на своём сайте. Это важное практическое удобство: факторы доступны бесплатно, обновляются ежемесячно, прошли широкую академическую верификацию.</w:t>
      </w:r>
    </w:p>
    <w:p>
      <w:pPr>
        <w:pStyle w:val="Heading3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 Почему FF3 не применяется к российским акциям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FF3 к SBER, LKOH и GAZP невозможно по объективным причинам. На MOEX торгуется около 50 ликвидных инструментов — это примерно в 50 раз меньше, чем требуется для построения надёжных факторных портфелей по методологии Фамы–Френча. При такой выборке сортировка по размеру и B/M даст небольшие группы с высоким идиосинкратическим шумом, и полученные факторы будут измерять скорее случайные флуктуации, чем систематические риск-премии. Официальных российских аналогов SMB и HML не существует, а самостоятельное их конструирование в рамках данного проекта вышло бы за разумные рамки. Поэтому российские акции ограничиваются CAPM — и это честнее, чем применять инструмент в условиях, для которых он не предназначен.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Value at Risk и Expected Shortfall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4.1 Что такое VaR и зачем нужно четыре метода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Value at Risk при доверительном уровне (1−α) и горизонте T отвечает на один вопрос: «Какую максимальную сумму теряет портфель за T дней с вероятностью (1−α)?» Формально: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VaR_{1−α}  =  inf { l : P(L &gt; l) ≤ α }  =  F_L^{−1}(1−α)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случайный убыток за период T. При α = 5% и T = 1 день: с вероятностью 95% однодневные потери не превысят VaR_{95%}. Регуляторный стандарт (Basel) — α = 1%, T = 10 дней.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Конкретное число зависит от того, как мы моделируем распределение убытков. Если исходить из нормального распределения — одни цифры; если допустить тяжёлые хвосты — другие; если вовсе не делать параметрических допущений — третьи. Именно поэтому в проекте реализованы четыре метода, а не один: сравнение их результатов само по себе является исследовательским вкладом.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4.2 Историческое моделирование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Historical Simulation (HS) — непараметрический подход. Идея: взять реальные прошлые P&amp;L портфеля и найти нужный квантиль. Никаких допущений о распределении не требуется.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Алгоритм: на каждый момент t берётся скользящее окно из W предшествующих дней (обычно W = 250–500); фиксируются реализованные однодневные убытки L_1, ..., L_W; VaR_{95%} = L_{(⌊0.05·W⌋)} — пятый процентиль отсортированной выборки.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Историческое моделирование автоматически учитывает нелинейности, толстые хвосты, асимметрию — всё, что было в прошлой истории. Слабое место — именно в этой же фразе: метод не видит событий, которых ещё не было. Все сценарии из окна считаются одинаково вероятными, хотя интуитивно данные трёхлетней давности менее релевантны, чем прошлая неделя.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4.3 Параметрический VaR (EWMA / RiskMetrics)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Параметрический подход предполагает нормальное распределение портфельных убытков и сосредотачивается на точной оценке условной волатильности σ_t. Нормальность нарушается на практике, но иметь хорошую оценку волатильности само по себе ценно.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 RiskMetrics (J.P. Morgan, 1996) оценивает дисперсию через экспоненциально взвешенное скользящее среднее (EWMA):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σ_t²  =  λ · σ_{t−1}²  +  (1−λ) · r_{t−1}²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 λ = 0.94 — результат эмпирической калибровки JP Morgan на широком наборе активов. При таком λ «период полураспада» веса составляет около 12 торговых дней: данные двухнедельной давности имеют вдвое меньший вес, чем вчерашние. Это позволяет EWMA оперативно реагировать на рост волатильности в кризисный период.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 в предположении нормальности: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VaR_{95%}^{param}  =  1.645 · σ_p(t)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σ_p²(t)  =  w' · Σ_t · w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Σ_t — ковариационная матрица, оцениваемая EWMA для всех пар активов в USD. При нормальности ошибка модели — занижение хвостовых потерь. Реальные доходности имеют эксцесс (kurtosis &gt; 3), и нормальный VaR на уровне 99% систематически занижает реальный риск: то, что модель считает «событием раз в сто дней», на практике случается чаще.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4.4 Метод Монте-Карло: два варианта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MC-симуляция позволяет сгенерировать полное распределение P&amp;L портфеля при любом заданном распределении доходностей — в отличие от параметрического метода, который даёт только стандартное отклонение и применяет к нему квантиль нормального распределения.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Нормальный MC (baseline):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генерируются 10 000 векторов r_sim ~ N(μ, Σ) через разложение Холецкого (Σ = LL'), вычисляется P&amp;L каждой симуляции, берётся квантиль. При нормальном распределении нормальный MC и параметрический VaR должны давать практически одинаковые числа — это проверка корректности реализации.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Student-t MC (основная модель):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вместо нормального распределения используется многомерное t-распределение со степенями свободы ν. Плотность одномерного t-распределения: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f(x; ν)  =  [Γ((ν+1)/2) / (√(νπ) · Γ(ν/2))] · (1 + x²/ν)^{−(ν+1)/2}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ν → ∞ оно сходится к нормальному. При ν = 3–5 — хвосты заметно тяжелее: события на уровне ±3σ случаются в несколько раз чаще, чем предсказывает нормальное распределение. Для дневных доходностей акций эмпирически ν ≈ 3–6, что хорошо задокументировано в литературе.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 ν оценивается через максимальное правдоподобие на исторических данных портфеля: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ν̂  =  argmax_ν  Σ_t  ln f_t(r_t; μ, Σ, ν)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MC Student-t даёт более высокие оценки VaR (особенно при α = 1%), что отражает реальную частоту крупных потерь. Различие нормального и Student-t MC в таблице результатов — это и есть «цена» гауссовского допущения.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4.5 Expected Shortfall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 отвечает на вопрос «какой порог убытка?», но ничего не говорит о том, что происходит за этим порогом. Expected Shortfall (ES) отвечает на другой вопрос: «Каков средний убыток в худших α% случаев?»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ES_{1−α}  =  E[L | L &gt; VaR_{1−α}]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 был предложен как когерентная альтернатива VaR Арцнером, Делбаеном, Эбером и Хитом в 1999 году. Ключевое отличие: ES обладает субаддитивностью — ES(A+B) ≤ ES(A) + ES(B). Это означает, что диверсификация всегда снижает или не меняет ES; для VaR это свойство не гарантируется при произвольных распределениях. Именно нарушение субаддитивности VaR стало теоретическим обоснованием для перехода Базельского комитета к ES в FRTB.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проекте ES вычисляется для каждого метода VaR. Для параметрического (нормального) приближения: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ES_{1−α}^{normal}  =  σ_p · φ(z_α) / α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φ — плотность стандартного нормального распределения. Для исторического метода ES вычисляется как среднее убытков, превысивших VaR. Для MC — как среднее по симуляциям с P&amp;L &lt; −VaR.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Горизонт измерения: 10-дневный VaR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5.1 Откуда 10 дней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Регуляторный горизонт 10 торговых дней появился в Базеле II как компромисс между ликвидностью позиций (портфель нельзя закрыть мгновенно) и частотой данных (однодневных наблюдений значительно больше, чем десятидневных). Формально Базель разрешал банкам масштабировать однодневный VaR по правилу квадратного корня: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VaR_{10}^{Basel}  =  VaR_1 · √10  ≈  3.16 · VaR_1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прост: если дневные доходности i.i.d. и имеют нулевое среднее, то дисперсия 10-дневной суммы равна 10σ², откуда стандартное отклонение σ_{10} = σ_1·√10, и VaR масштабируется соответственно.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5.2 Когда правило √10 ломается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 в том, что i.i.d. — одно из наименее правдоподобных допущений именно в те моменты, когда 10-дневный VaR наиболее важен. В кризисный период: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серийная корреляция доходностей усиливается: вчерашнее падение предсказывает сегодняшнее (моментум, панические продажи)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волатильность кластеризуется (GARCH-эффект): после дня с большим движением следует день с большим движением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хвосты 10-дневного распределения оказываются значительно тяжелее, чем предсказывает √10</w:t>
      </w:r>
    </w:p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Итог: в спокойные периоды оба метода дают близкие оценки; в кризис VaR_1·√10 занижает реальный 10-дневный VaR. Это не теоретическая тонкость — расхождение хорошо видно на данных COVID-2020 и является одним из результатов, которые явно показываются в отчёте.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5.3 Прямая оценка через перекрывающиеся окна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Корректная альтернатива — строить выборку 10-дневных доходностей напрямую, без каких-либо допущений о структуре зависимостей: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R_{t,t+10}  =  Σ_{k=0}^{9}  r_{t+k}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Затем VaR_{10} = квантиль α эмпирической выборки {R_{t,t+10}}. Соседние наблюдения перекрываются на 9 дней, что делает их зависимыми, но это не мешает состоятельности оценки квантиля — объём выборки при этом в 10 раз больше, чем при использовании неперекрывающихся окон. Дополнительная дисперсия оценки из-за зависимостей на практике перекрывается выигрышем от большего числа наблюдений.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отчёте проекта обе оценки выводятся рядом: VaR_1·√10 и VaR_{10}^{OW}. Их расхождение в период COVID-2020 служит наглядной иллюстрацией ограничений базельского масштабирования.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Декомпозиция и атрибуция риска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6.1 Компонентный VaR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Знать совокупный VaR портфеля полезно. Знать, какая позиция его обеспечивает — уже управленческая информация. Компонентный VaR позволяет приписать каждой позиции долю совокупного риска так, чтобы эти доли суммировались в 100%.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Математическое обоснование — теорема Эйлера для однородных функций. Функция риска ρ(w) однородна степени 1: ρ(λw) = λρ(w). Для таких функций: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ρ(w)  =  Σ_i  w_i · ∂ρ/∂w_i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значит, что полный риск равен сумме произведений «количество позиции × предельный вклад единицы позиции». Для VaR в нормальном приближении: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RC_i  =  w_i · (Σw)_i / σ_p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Σ_i RC_i  =  VaR_p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(Σw)_i — i-й элемент вектора ковариаций позиции i с остальным портфелем. Интерпретация RC_i: если RC_i / VaR_p = 30%, то позиция i вносит 30% совокупного портфельного риска. Это не то же самое, что «30% весов портфеля» — зависит от корреляции с другими позициями.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6.2 Атрибуция FX-риска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российских акций компонентный VaR можно разложить дальше — на рублёвую акционерную компоненту и валютную: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RC_SBER  =  RC_SBER^equity  +  RC_SBER^FX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FX-компонента вычисляется как нормированная ковариация долларовой доходности SBER с FX-шоком: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RC_SBER^FX  =  w_SBER · Cov(r_SBER^USD, r_FX) / σ_p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Сумма RC_i^FX по всем российским позициям — это совокупный FX-риск портфеля. По мере роста доли российских активов эта сумма растёт, и при некотором пороге она начинает превышать совокупный equity-риск. Нахождение этого порога как функции σ_FX и составляет эмпирический ответ на RQ1.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Важная оговорка: факторная атрибуция по CAPM/FF3 не агрегируется на уровне всего портфеля. «Рыночный фактор IMOEX» и «рыночный фактор S&amp;P 500» — это совершенно разные факторы в разных экономических пространствах. Складывать β_SBER vs IMOEX и β_AAPL vs SPY в одну таблицу — методологически некорректно. Единственная корректная агрегация на уровне всего портфеля — компонентный VaR.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6.3 VaR-лимит и рекомендация по ребалансированию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задаёт лимит дневных потерь (например, 2% от стоимости портфеля). Если Portfolio VaR_{95%} &gt; 2%, dashboard показывает: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позицию с наибольшим RC_i — она вносит наибольший вклад в нарушение лимита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целевой вес w_i*, при котором VaR вернётся в лимит — находится численным поиском</w:t>
      </w:r>
    </w:p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минимальная, но содержательная связь между измерением риска и управленческим действием. Реальный риск-менеджер, разумеется, учитывает транзакционные издержки, ликвидность и другие ограничения — в данном проекте их нет. Это честно задокументировано в разделе ограничений.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Стресс-тестирование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7.1 Место стресс-тестирования в риск-менеджменте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 — статистическая мера: она описывает «нормальное» плохое. Стресс-тест описывает «экстраординарное плохое» — то, что редко попадает в историческое окно VaR, но имеет правдоподобный механизм реализации. После кризиса 2008 года стресс-тестирование стало обязательным элементом регуляторного надзора за системно значимыми банками, а затем распространилось в практику управления нефинансовыми портфелями.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Различают два подхода. Исторические сценарии применяют к текущему портфелю реальные зафиксированные шоки из прошлого. Гипотетические сценарии конструируются аналитически на основе экономического нарратива («что если ФРС поднимет ставку на 200 б.п.?»). Оба подхода дополняют друг друга: исторические более реалистичны по масштабу шока, гипотетические позволяют тестировать сценарии, которых ещё не было.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7.2 Исторические сценарии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проекте выбраны три стресс-периода, различающихся по природе шока: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60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Активы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Характер шока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COVID-crash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Фев–Мар 2020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7 инструментов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Ликвидационный шок, корреляции активов резко выросли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Rate hike cycle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Мар–Дек 2022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NVDA, MSFT, AAPL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Переоценка growth-акций при росте безрисковой ставки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Sanctions shock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Фев 2022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global-кластер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Геополитический шок; MOEX закрыта 25.02–24.03.2022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Методика: реальные дневные доходности из базы применяются к текущему вектору весов. P&amp;L каждого сценария: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PL^{scenario}  =  Σ_i  w_i · V_i · r_i^{scenario}(t)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отвечает на практический вопрос: «Что было бы с нашим текущим портфелем, если бы произошёл COVID-2020?» — а не «Что было бы, если бы мы держали тогдашний портфель?» Разница существенная.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«санкции» применяется только к глобальным активам. Включать MOEX-бумаги в расчёт нельзя: биржа не работала 24 торговых дня подряд, цен нет. Это ограничение честно описывается в отчёте: геополитический сценарий для смешанного портфеля с российскими акциями заведомо занижает реальные потери.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7.3 Гипотетические шоки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гипотетических сценария строятся через линейную P&amp;L-апроксимацию — стандартный подход для портфелей без производных инструментов: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ΔP  =  Σ_i  w_i · β_{i,factor} · Δfactor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USD/RUB +20% (ослабление рубля).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LKOH и GAZP — экспортёры с выручкой в долларах. При ослаблении рубля на 20% их рублёвые цены исторически росли примерно пропорционально — что через конвертацию в USD означает близкий к нулю P&amp;L (курсовой выигрыш нейтрализует рублёвый рост). SBER — банк с рублёвыми доходами, его USD-цена падает на величину, близкую к ослаблению рубля. Расчёт через β_FX, оценённый регрессией.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Нефть Brent −30%.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LKOH и GAZP несут прямую экспозицию на нефть. β_нефть оценивается регрессией рублёвой доходности акции на процентное изменение Brent. AAPL и MSFT — косвенная экспозиция через энергетические затраты, но она существенно меньше.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Ставка ФРС +200 б.п.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Рост безрисковой ставки снижает приведённую стоимость будущих денежных потоков. Growth-акции (NVDA, часть MSFT/AAPL-мультипликатора) более чувствительны, чем value-акции. Duration-proxy для NVDA — примерно 10–15 лет дюрации DCF-модели, что при ставке +200 б.п. соответствует снижению fair value на ~15–20%.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7.4 Ковариационные матрицы в нормальном и кризисном режимах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Ковариационная матрица портфеля, оценённая на полной истории, не отражает реальный уровень корреляций в кризис. Феномен корреляционного заражения (correlation breakdown) хорошо задокументирован: в периоды стресса корреляции между активами устойчиво растут — активы, которые двигались независимо в спокойное время, падают синхронно (Longin &amp; Solnik, 2001). Диверсификация перестаёт работать именно тогда, когда она нужна больше всего.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проекте строятся две матрицы: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Normal regime: оценивается на полной истории за вычетом кризисных окон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Crisis regime: оценивается только на кризисных окнах (COVID фев–апр 2020, санкции фев–мар 2022)</w:t>
      </w:r>
    </w:p>
    <w:p>
      <w:pPr>
        <w:spacing w:after="0" w:before="0"/>
      </w:pPr>
      <w:r>
        <w:t xml:space="preserve"/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Стресс-тест с crisis covariance даёт более высокий VaR и более пессимистичный P&amp;L — и это методологически честнее, поскольку именно такая матрица описывает реальные корреляции в момент реализации сценария. Разница между двумя матрицами явно показывается в тексте отчёта: средняя попарная корреляция, тепловая карта, доля дисперсии первого главного компонента.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Бэктестирование VaR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8.1 Постановка задачи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Любую прогностическую модель нужно проверять на исторических данных. Для VaR это называется бэктестированием: мы смотрим, сколько раз реальные убытки превысили прогноз VaR на горизонте проверки.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каждого торгового дня t в период бэктеста: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I_t  =  1,  если L_t &gt; VaR_{1−α,t}   (нарушение, «hit»)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I_t  =  0   иначе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VaR_{1−α,t} строится на данных до момента t (expanding window). Если модель корректна, последовательность {I_t} — это независимые бернуллиевские случайные величины с параметром α. При α = 5% модель должна «нарушаться» примерно в 5% дней. Меньше — модель консервативна; больше — недооценивает риск.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Основной период бэктеста — COVID-2020 (февраль–март 2020). Выбор обусловлен: данные полные для всех 7 инструментов, нарушения VaR видны чётко, кризис был достаточно быстрым (нет пропущенных данных). Санкционный период для бэктеста не подходит: MOEX был закрыт 24 торговых дня, что методологически несовместимо с ежедневным VaR.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8.2 Тест Купича (unconditional coverage)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 пропорции нарушений (Proportion of Failures, Kupiec, 1995) проверяет, правильна ли средняя частота нарушений. H₀: E[I_t] = α, то есть доля нарушений в выборке равна заявленному уровню.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T наблюдениях и n нарушениях статистика отношения правдоподобия: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LR_uc  =  −2 ln[(1−α)^{T−n} · αⁿ]  +  2 ln[(1−n/T)^{T−n} · (n/T)ⁿ]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LR_uc ~ χ²(1), критическое значение при уровне 5% равно 3.84. Числитель — правдоподобие при истинном α, знаменатель — при эмпирической доле n/T. Чем сильнее n/T отклоняется от α в любую сторону — тем больше статистика.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 теста: он смотрит только на число нарушений, не на их расположение во времени. Модель, у которой все 5 нарушений за 100 дней случились подряд в один кризисный период, неотличима от модели, где нарушения равномерно распределены по периоду. С управленческой точки зрения это принципиально разные модели — первая не работает именно тогда, когда важна.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8.3 Тест Кристофферсена (independence)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 независимости (Christoffersen, 1998) проверяет, не кластеризованы ли нарушения. H₀: вероятность нарушения в день t не зависит от того, было ли нарушение в день t−1.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последовательности {I_t} строится матрица переходов. Обозначим n_{ij} — число переходов из состояния i в состояние j (0 — не нарушение, 1 — нарушение). Оцениваются условные вероятности нарушения: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π₀  =  n₀₁/(n₀₀+n₀₁),   π₁  =  n₁₁/(n₁₀+n₁₁),   π  =  (n₀₁+n₁₁)/T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LR_ind  =  −2 ln[(1−π)^{n₀₀+n₁₀} · π^{n₀₁+n₁₁}]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       +  2 ln[(1−π₀)^{n₀₀} · π₀^{n₀₁} · (1−π₁)^{n₁₀} · π₁^{n₁₁}]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LR_ind ~ χ²(1). Если π₁ &gt;&gt; π₀ — нарушения кластеризованы: после нарушения следует нарушение с повышенной вероятностью. Это ожидаемо при статической ковариационной матрице в кризис: VaR не успевает вырасти в ответ на рост волатильности, нарушения идут сериями.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8.4 Совместный тест условного покрытия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Кристофферсен (1998) объединяет оба теста: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i/>
          <w:iCs/>
          <w:sz w:val="24"/>
          <w:szCs w:val="24"/>
        </w:rPr>
        <w:t xml:space="preserve">LR_cc  =  LR_uc  +  LR_ind  ~  χ²(2)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H₀ отвергается при LR_cc &gt; 5.99. Практическая интерпретация: Купич может не отвергать H₀ (правильная частота), но Кристофферсен отвергнет, если убытки кластеризованы. Именно это происходит с историческим VaR и параметрическим EWMA в период COVID: оба теста вместе дают более полную картину качества модели.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Ожидаемые результаты по методам при бэктесте на COVID-2020: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280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 VaR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LR_uc (coverage)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LR_ind (independence)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Интерпретация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Historical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Вероятно не отвергает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Возможно отвергает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Правильная частота, но кластеризация в марте 2020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Parametric EWMA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отвергает / граница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Лучше, чем historical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EWMA реагирует на рост волатильности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MC Normal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 99% — отвергает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Нейтрально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Нормальное распределение занижает хвосты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MC Student-t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Лучший результат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Лучший результат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Толстые хвосты более реалистичны</w:t>
            </w:r>
          </w:p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Ограничения моделей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Перечисленные ниже ограничения — не признание слабости работы, а необходимый элемент академической честности. Каждое ограничение либо обусловлено объективными обстоятельствами (отсутствие данных), либо является сознательным методологическим выбором с обоснованием.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0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Ограничение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Последствие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закрыт 25 фев – 24 мар 2022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Торги приостановлены, данных нет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Sanctions 2022 не подходит для бэктеста Купича — только стресс-сценарий. Геополитический сценарий занижает потери по RU активам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FF3 не применяется к RU акциям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MOEX ~50 ликвидных акций — мало для надёжных факторных портфелей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 кластер ограничен однофакторной CAPM. Приемлемо, поскольку честнее, чем переподогнанный FF3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FX конвертация — линейное приближение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Перекрёстный член второго порядка мал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Погрешность &lt; 0.1 п.п. при дневных доходностях — пренебрежимо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CAPM в локальных валютах, не в единой USD-базе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Принципиальный методологический выбор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β интерпретируема; смешанная регрессия в USD дала бы нечитаемый коэффициент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Масштабирование √10 не используется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Нарушает i.i.d. в кризис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VaR_10 строится через overlapping windows; Basel scaling показан как сравнение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Нормальный MC — только baseline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Нормальность нарушается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Основная модель — Student-t; нормальный служит иллюстрацией недооценки хвостов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Линейный P&amp;L в стресс-тестах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производных инструментов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Приемлемо для чистого equity-портфеля; нелинейности не существенны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Ребалансирование — упрощённый поиск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оптимизация Марковица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Транзакционные издержки не учтены; логика «сократить одну позицию» является упрощением</w:t>
            </w:r>
          </w:p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10. Эмпирические результаты и выводы</w:t>
      </w:r>
    </w:p>
    <w:p>
      <w:pPr>
        <w:pStyle w:val="Heading2"/>
      </w:pPr>
      <w:r>
        <w:t xml:space="preserve">10.1 Данные и портфель</w:t>
      </w:r>
    </w:p>
    <w:p>
      <w:r>
        <w:t xml:space="preserve">Расчёты проведены на данных за период с 3 января 2019 по 21 апреля 2026 года (1902 торговых дня). Портфель включает шесть инструментов: SBER (15%), LKOH (15%), GAZP (10%) — российский кластер; NVDA (20%), MSFT (20%), AAPL (20%) — глобальный кластер. Все доходности приведены к базовой валюте USD через логарифмическую FX-конвертацию. Курс USD/RUB получен из MOEX ISS (инструмент USDRUB_TOM).</w:t>
      </w:r>
    </w:p>
    <w:p>
      <w:pPr>
        <w:pStyle w:val="Heading2"/>
      </w:pPr>
      <w:r>
        <w:t xml:space="preserve">10.2 VaR и Expected Shortfall: сравнение четырёх методов</w:t>
      </w:r>
    </w:p>
    <w:p>
      <w:r>
        <w:t xml:space="preserve">В таблице ниже представлены оценки VaR и ES при доверительном уровне 95% для однодневного и десятидневного горизонтов.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1500"/>
        <w:gridCol w:w="1500"/>
        <w:gridCol w:w="1500"/>
      </w:tblGrid>
      <w:tr>
        <w:tc>
          <w:p>
            <w:r>
              <w:rPr>
                <w:b/>
              </w:rPr>
              <w:t xml:space="preserve">Метод</w:t>
            </w:r>
          </w:p>
        </w:tc>
        <w:tc>
          <w:p>
            <w:r>
              <w:rPr>
                <w:b/>
              </w:rPr>
              <w:t xml:space="preserve">VaR 1d</w:t>
            </w:r>
          </w:p>
        </w:tc>
        <w:tc>
          <w:p>
            <w:r>
              <w:rPr>
                <w:b/>
              </w:rPr>
              <w:t xml:space="preserve">ES 1d</w:t>
            </w:r>
          </w:p>
        </w:tc>
        <w:tc>
          <w:p>
            <w:r>
              <w:rPr>
                <w:b/>
              </w:rPr>
              <w:t xml:space="preserve">VaR 10d (overlapping)</w:t>
            </w:r>
          </w:p>
        </w:tc>
      </w:tr>
      <w:tr>
        <w:tc>
          <w:p>
            <w:r>
              <w:t xml:space="preserve">Historical</w:t>
            </w:r>
          </w:p>
        </w:tc>
        <w:tc>
          <w:p>
            <w:r>
              <w:t xml:space="preserve">2,33%</w:t>
            </w:r>
          </w:p>
        </w:tc>
        <w:tc>
          <w:p>
            <w:r>
              <w:t xml:space="preserve">3,70%</w:t>
            </w:r>
          </w:p>
        </w:tc>
        <w:tc>
          <w:p>
            <w:r>
              <w:t xml:space="preserve">6,67%</w:t>
            </w:r>
          </w:p>
        </w:tc>
      </w:tr>
      <w:tr>
        <w:tc>
          <w:p>
            <w:r>
              <w:t xml:space="preserve">Parametric EWMA</w:t>
            </w:r>
          </w:p>
        </w:tc>
        <w:tc>
          <w:p>
            <w:r>
              <w:t xml:space="preserve">1,63%</w:t>
            </w:r>
          </w:p>
        </w:tc>
        <w:tc>
          <w:p>
            <w:r>
              <w:t xml:space="preserve">2,04%</w:t>
            </w:r>
          </w:p>
        </w:tc>
        <w:tc>
          <w:p>
            <w:r>
              <w:t xml:space="preserve">7,19%</w:t>
            </w:r>
          </w:p>
        </w:tc>
      </w:tr>
      <w:tr>
        <w:tc>
          <w:p>
            <w:r>
              <w:t xml:space="preserve">MC Normal</w:t>
            </w:r>
          </w:p>
        </w:tc>
        <w:tc>
          <w:p>
            <w:r>
              <w:t xml:space="preserve">1,55%</w:t>
            </w:r>
          </w:p>
        </w:tc>
        <w:tc>
          <w:p>
            <w:r>
              <w:t xml:space="preserve">1,91%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MC Student-t</w:t>
            </w:r>
          </w:p>
        </w:tc>
        <w:tc>
          <w:p>
            <w:r>
              <w:t xml:space="preserve">1,66%</w:t>
            </w:r>
          </w:p>
        </w:tc>
        <w:tc>
          <w:p>
            <w:r>
              <w:t xml:space="preserve">2,24%</w:t>
            </w:r>
          </w:p>
        </w:tc>
        <w:tc>
          <w:p>
            <w:r>
              <w:t xml:space="preserve">5,76%</w:t>
            </w:r>
          </w:p>
        </w:tc>
      </w:tr>
    </w:tbl>
    <w:p>
      <w:r>
        <w:t xml:space="preserve"/>
      </w:r>
    </w:p>
    <w:p>
      <w:r>
        <w:t xml:space="preserve">Параметр Student-t ν, оценённый через MLE, составил 9,16, что указывает на умеренные толстые хвосты распределения портфельных доходностей. Историческая оценка VaR (2,33%) существенно превышает параметрическую (1,63%): это следствие того, что эмпирическое распределение сохраняет память о кризисных днях, тогда как EWMA-волатильность на текущую дату уже «забыла» COVID-2020. MC Student-t (1,66%) даёт промежуточную оценку — он калибруется на EWMA-ковариацию (текущий уровень), но генерирует толстые хвосты через t-распределение.</w:t>
      </w:r>
    </w:p>
    <w:p>
      <w:pPr>
        <w:pStyle w:val="Heading2"/>
      </w:pPr>
      <w:r>
        <w:t xml:space="preserve">10.3 Расхождение Basel √10 и overlapping windows</w:t>
      </w:r>
    </w:p>
    <w:p>
      <w:r>
        <w:t xml:space="preserve">10-дневный VaR через Basel-правило √10 составил 5,14%, тогда как прямая оценка через перекрывающиеся окна дала 7,19% для параметрического метода. Расхождение — 2,04 процентных пункта — подтверждает теоретический аргумент раздела 5: правило √10 систематически занижает 10-дневный VaR в условиях нарушения i.i.d. Серийная корреляция и кластеризация волатильности в период COVID-2020 приводят к тому, что 10-дневные потери оказываются значительно выше, чем предсказывает масштабирование однодневного VaR.</w:t>
      </w:r>
    </w:p>
    <w:p>
      <w:pPr>
        <w:pStyle w:val="Heading2"/>
      </w:pPr>
      <w:r>
        <w:t xml:space="preserve">10.4 Декомпозиция риска и FX-атрибуция</w:t>
      </w:r>
    </w:p>
    <w:p>
      <w:r>
        <w:t xml:space="preserve">Компонентный VaR портфеля представлен в таблице ниже.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1500"/>
        <w:gridCol w:w="1500"/>
        <w:gridCol w:w="1500"/>
        <w:gridCol w:w="1500"/>
      </w:tblGrid>
      <w:tr>
        <w:tc>
          <w:p>
            <w:r>
              <w:rPr>
                <w:b/>
              </w:rPr>
              <w:t xml:space="preserve">Тикер</w:t>
            </w:r>
          </w:p>
        </w:tc>
        <w:tc>
          <w:p>
            <w:r>
              <w:rPr>
                <w:b/>
              </w:rPr>
              <w:t xml:space="preserve">Вес</w:t>
            </w:r>
          </w:p>
        </w:tc>
        <w:tc>
          <w:p>
            <w:r>
              <w:rPr>
                <w:b/>
              </w:rPr>
              <w:t xml:space="preserve">RC (%)</w:t>
            </w:r>
          </w:p>
        </w:tc>
        <w:tc>
          <w:p>
            <w:r>
              <w:rPr>
                <w:b/>
              </w:rPr>
              <w:t xml:space="preserve">FX комп.</w:t>
            </w:r>
          </w:p>
        </w:tc>
        <w:tc>
          <w:p>
            <w:r>
              <w:rPr>
                <w:b/>
              </w:rPr>
              <w:t xml:space="preserve">Equity комп.</w:t>
            </w:r>
          </w:p>
        </w:tc>
      </w:tr>
      <w:tr>
        <w:tc>
          <w:p>
            <w:r>
              <w:t xml:space="preserve">NVDA</w:t>
            </w:r>
          </w:p>
        </w:tc>
        <w:tc>
          <w:p>
            <w:r>
              <w:t xml:space="preserve">20%</w:t>
            </w:r>
          </w:p>
        </w:tc>
        <w:tc>
          <w:p>
            <w:r>
              <w:t xml:space="preserve">32,6%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0,0081</w:t>
            </w:r>
          </w:p>
        </w:tc>
      </w:tr>
      <w:tr>
        <w:tc>
          <w:p>
            <w:r>
              <w:t xml:space="preserve">AAPL</w:t>
            </w:r>
          </w:p>
        </w:tc>
        <w:tc>
          <w:p>
            <w:r>
              <w:t xml:space="preserve">20%</w:t>
            </w:r>
          </w:p>
        </w:tc>
        <w:tc>
          <w:p>
            <w:r>
              <w:t xml:space="preserve">18,3%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0,0045</w:t>
            </w:r>
          </w:p>
        </w:tc>
      </w:tr>
      <w:tr>
        <w:tc>
          <w:p>
            <w:r>
              <w:t xml:space="preserve">MSFT</w:t>
            </w:r>
          </w:p>
        </w:tc>
        <w:tc>
          <w:p>
            <w:r>
              <w:t xml:space="preserve">20%</w:t>
            </w:r>
          </w:p>
        </w:tc>
        <w:tc>
          <w:p>
            <w:r>
              <w:t xml:space="preserve">17,9%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0,0044</w:t>
            </w:r>
          </w:p>
        </w:tc>
      </w:tr>
      <w:tr>
        <w:tc>
          <w:p>
            <w:r>
              <w:t xml:space="preserve">SBER</w:t>
            </w:r>
          </w:p>
        </w:tc>
        <w:tc>
          <w:p>
            <w:r>
              <w:t xml:space="preserve">15%</w:t>
            </w:r>
          </w:p>
        </w:tc>
        <w:tc>
          <w:p>
            <w:r>
              <w:t xml:space="preserve">12,7%</w:t>
            </w:r>
          </w:p>
        </w:tc>
        <w:tc>
          <w:p>
            <w:r>
              <w:t xml:space="preserve">−0,0019</w:t>
            </w:r>
          </w:p>
        </w:tc>
        <w:tc>
          <w:p>
            <w:r>
              <w:t xml:space="preserve">0,0051</w:t>
            </w:r>
          </w:p>
        </w:tc>
      </w:tr>
      <w:tr>
        <w:tc>
          <w:p>
            <w:r>
              <w:t xml:space="preserve">LKOH</w:t>
            </w:r>
          </w:p>
        </w:tc>
        <w:tc>
          <w:p>
            <w:r>
              <w:t xml:space="preserve">15%</w:t>
            </w:r>
          </w:p>
        </w:tc>
        <w:tc>
          <w:p>
            <w:r>
              <w:t xml:space="preserve">10,7%</w:t>
            </w:r>
          </w:p>
        </w:tc>
        <w:tc>
          <w:p>
            <w:r>
              <w:t xml:space="preserve">−0,0017</w:t>
            </w:r>
          </w:p>
        </w:tc>
        <w:tc>
          <w:p>
            <w:r>
              <w:t xml:space="preserve">0,0043</w:t>
            </w:r>
          </w:p>
        </w:tc>
      </w:tr>
      <w:tr>
        <w:tc>
          <w:p>
            <w:r>
              <w:t xml:space="preserve">GAZP</w:t>
            </w:r>
          </w:p>
        </w:tc>
        <w:tc>
          <w:p>
            <w:r>
              <w:t xml:space="preserve">10%</w:t>
            </w:r>
          </w:p>
        </w:tc>
        <w:tc>
          <w:p>
            <w:r>
              <w:t xml:space="preserve">7,9%</w:t>
            </w:r>
          </w:p>
        </w:tc>
        <w:tc>
          <w:p>
            <w:r>
              <w:t xml:space="preserve">−0,0012</w:t>
            </w:r>
          </w:p>
        </w:tc>
        <w:tc>
          <w:p>
            <w:r>
              <w:t xml:space="preserve">0,0031</w:t>
            </w:r>
          </w:p>
        </w:tc>
      </w:tr>
    </w:tbl>
    <w:p>
      <w:r>
        <w:t xml:space="preserve"/>
      </w:r>
    </w:p>
    <w:p>
      <w:r>
        <w:t xml:space="preserve">NVDA вносит 32,6% совокупного риска портфеля при весе 20% — это следствие высокой волатильности полупроводникового сектора. Российские бумаги суммарно обеспечивают 31,3% риска при 40% весе — существенная часть их риска «гасится» отрицательной FX-компонентой. FX-компоненты для всех трёх российских тикеров отрицательны: ослабление рубля (рост USDRUB) снижает их долларовую доходность, но экспортёры (LKOH, GAZP) частично компенсируют это через ценовой канал выручки в USD.</w:t>
      </w:r>
    </w:p>
    <w:p>
      <w:r>
        <w:t xml:space="preserve">Суммарная FX-компонента российского кластера составляет |−0,0019| + |−0,0017| + |−0,0012| = 0,0048, что эквивалентно примерно 19% от совокупного risk contribution российского кластера (0,0248). При текущем составе портфеля (40% RU) валютный риск не является доминирующим, но составляет значимую долю рисков российских позиций.</w:t>
      </w:r>
    </w:p>
    <w:p>
      <w:pPr>
        <w:pStyle w:val="Heading2"/>
      </w:pPr>
      <w:r>
        <w:t xml:space="preserve">10.5 VaR-лимит и ребалансирование</w:t>
      </w:r>
    </w:p>
    <w:p>
      <w:r>
        <w:t xml:space="preserve">При установленном лимите дневных потерь 2% от стоимости портфеля текущий Portfolio VaR (2,48%) превышает порог. Система идентифицировала NVDA как позицию с наибольшим предельным вкладом и рекомендовала снижение веса с 20,00% до 8,12% для возврата в рамки лимита. Это иллюстрирует переход от количественного измерения риска к конкретному управленческому решению.</w:t>
      </w:r>
    </w:p>
    <w:p>
      <w:pPr>
        <w:pStyle w:val="Heading2"/>
      </w:pPr>
      <w:r>
        <w:t xml:space="preserve">10.6 Бэктест: результаты тестов Купича и Кристофферсена</w:t>
      </w:r>
    </w:p>
    <w:p>
      <w:r>
        <w:t xml:space="preserve">Бэктест проведён на периоде COVID-2020 (T = 65 торговых дней, февраль–апрель 2020). VaR рассчитывался на каждый день по расширяющемуся окну (expanding window, минимум 252 дня). Результаты тестов представлены в таблице.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1500"/>
        <w:gridCol w:w="1500"/>
        <w:gridCol w:w="1500"/>
        <w:gridCol w:w="1500"/>
        <w:gridCol w:w="1500"/>
        <w:gridCol w:w="1500"/>
        <w:gridCol w:w="1500"/>
        <w:gridCol w:w="1500"/>
      </w:tblGrid>
      <w:tr>
        <w:tc>
          <w:p>
            <w:r>
              <w:rPr>
                <w:b/>
              </w:rPr>
              <w:t xml:space="preserve">Метод</w:t>
            </w:r>
          </w:p>
        </w:tc>
        <w:tc>
          <w:p>
            <w:r>
              <w:rPr>
                <w:b/>
              </w:rPr>
              <w:t xml:space="preserve">Превыш.</w:t>
            </w:r>
          </w:p>
        </w:tc>
        <w:tc>
          <w:p>
            <w:r>
              <w:rPr>
                <w:b/>
              </w:rPr>
              <w:t xml:space="preserve">Факт. %</w:t>
            </w:r>
          </w:p>
        </w:tc>
        <w:tc>
          <w:p>
            <w:r>
              <w:rPr>
                <w:b/>
              </w:rPr>
              <w:t xml:space="preserve">p_uc</w:t>
            </w:r>
          </w:p>
        </w:tc>
        <w:tc>
          <w:p>
            <w:r>
              <w:rPr>
                <w:b/>
              </w:rPr>
              <w:t xml:space="preserve">Reject_uc</w:t>
            </w:r>
          </w:p>
        </w:tc>
        <w:tc>
          <w:p>
            <w:r>
              <w:rPr>
                <w:b/>
              </w:rPr>
              <w:t xml:space="preserve">p_ind</w:t>
            </w:r>
          </w:p>
        </w:tc>
        <w:tc>
          <w:p>
            <w:r>
              <w:rPr>
                <w:b/>
              </w:rPr>
              <w:t xml:space="preserve">Reject_ind</w:t>
            </w:r>
          </w:p>
        </w:tc>
        <w:tc>
          <w:p>
            <w:r>
              <w:rPr>
                <w:b/>
              </w:rPr>
              <w:t xml:space="preserve">p_cc</w:t>
            </w:r>
          </w:p>
        </w:tc>
        <w:tc>
          <w:p>
            <w:r>
              <w:rPr>
                <w:b/>
              </w:rPr>
              <w:t xml:space="preserve">Reject_cc</w:t>
            </w:r>
          </w:p>
        </w:tc>
      </w:tr>
      <w:tr>
        <w:tc>
          <w:p>
            <w:r>
              <w:t xml:space="preserve">Historical</w:t>
            </w:r>
          </w:p>
        </w:tc>
        <w:tc>
          <w:p>
            <w:r>
              <w:t xml:space="preserve">13/65</w:t>
            </w:r>
          </w:p>
        </w:tc>
        <w:tc>
          <w:p>
            <w:r>
              <w:t xml:space="preserve">20,0%</w:t>
            </w:r>
          </w:p>
        </w:tc>
        <w:tc>
          <w:p>
            <w:r>
              <w:t xml:space="preserve">0,0000</w:t>
            </w:r>
          </w:p>
        </w:tc>
        <w:tc>
          <w:p>
            <w:r>
              <w:t xml:space="preserve">Да</w:t>
            </w:r>
          </w:p>
        </w:tc>
        <w:tc>
          <w:p>
            <w:r>
              <w:t xml:space="preserve">0,0850</w:t>
            </w:r>
          </w:p>
        </w:tc>
        <w:tc>
          <w:p>
            <w:r>
              <w:t xml:space="preserve">Нет</w:t>
            </w:r>
          </w:p>
        </w:tc>
        <w:tc>
          <w:p>
            <w:r>
              <w:t xml:space="preserve">0,0000</w:t>
            </w:r>
          </w:p>
        </w:tc>
        <w:tc>
          <w:p>
            <w:r>
              <w:t xml:space="preserve">Да</w:t>
            </w:r>
          </w:p>
        </w:tc>
      </w:tr>
      <w:tr>
        <w:tc>
          <w:p>
            <w:r>
              <w:t xml:space="preserve">Parametric</w:t>
            </w:r>
          </w:p>
        </w:tc>
        <w:tc>
          <w:p>
            <w:r>
              <w:t xml:space="preserve">10/65</w:t>
            </w:r>
          </w:p>
        </w:tc>
        <w:tc>
          <w:p>
            <w:r>
              <w:t xml:space="preserve">15,4%</w:t>
            </w:r>
          </w:p>
        </w:tc>
        <w:tc>
          <w:p>
            <w:r>
              <w:t xml:space="preserve">0,0018</w:t>
            </w:r>
          </w:p>
        </w:tc>
        <w:tc>
          <w:p>
            <w:r>
              <w:t xml:space="preserve">Да</w:t>
            </w:r>
          </w:p>
        </w:tc>
        <w:tc>
          <w:p>
            <w:r>
              <w:t xml:space="preserve">0,6866</w:t>
            </w:r>
          </w:p>
        </w:tc>
        <w:tc>
          <w:p>
            <w:r>
              <w:t xml:space="preserve">Нет</w:t>
            </w:r>
          </w:p>
        </w:tc>
        <w:tc>
          <w:p>
            <w:r>
              <w:t xml:space="preserve">0,0071</w:t>
            </w:r>
          </w:p>
        </w:tc>
        <w:tc>
          <w:p>
            <w:r>
              <w:t xml:space="preserve">Да</w:t>
            </w:r>
          </w:p>
        </w:tc>
      </w:tr>
      <w:tr>
        <w:tc>
          <w:p>
            <w:r>
              <w:t xml:space="preserve">MC Normal</w:t>
            </w:r>
          </w:p>
        </w:tc>
        <w:tc>
          <w:p>
            <w:r>
              <w:t xml:space="preserve">9/65</w:t>
            </w:r>
          </w:p>
        </w:tc>
        <w:tc>
          <w:p>
            <w:r>
              <w:t xml:space="preserve">13,8%</w:t>
            </w:r>
          </w:p>
        </w:tc>
        <w:tc>
          <w:p>
            <w:r>
              <w:t xml:space="preserve">0,0066</w:t>
            </w:r>
          </w:p>
        </w:tc>
        <w:tc>
          <w:p>
            <w:r>
              <w:t xml:space="preserve">Да</w:t>
            </w:r>
          </w:p>
        </w:tc>
        <w:tc>
          <w:p>
            <w:r>
              <w:t xml:space="preserve">0,4721</w:t>
            </w:r>
          </w:p>
        </w:tc>
        <w:tc>
          <w:p>
            <w:r>
              <w:t xml:space="preserve">Нет</w:t>
            </w:r>
          </w:p>
        </w:tc>
        <w:tc>
          <w:p>
            <w:r>
              <w:t xml:space="preserve">0,0192</w:t>
            </w:r>
          </w:p>
        </w:tc>
        <w:tc>
          <w:p>
            <w:r>
              <w:t xml:space="preserve">Да</w:t>
            </w:r>
          </w:p>
        </w:tc>
      </w:tr>
      <w:tr>
        <w:tc>
          <w:p>
            <w:r>
              <w:t xml:space="preserve">MC Student-t</w:t>
            </w:r>
          </w:p>
        </w:tc>
        <w:tc>
          <w:p>
            <w:r>
              <w:t xml:space="preserve">8/65</w:t>
            </w:r>
          </w:p>
        </w:tc>
        <w:tc>
          <w:p>
            <w:r>
              <w:t xml:space="preserve">12,3%</w:t>
            </w:r>
          </w:p>
        </w:tc>
        <w:tc>
          <w:p>
            <w:r>
              <w:t xml:space="preserve">0,0215</w:t>
            </w:r>
          </w:p>
        </w:tc>
        <w:tc>
          <w:p>
            <w:r>
              <w:t xml:space="preserve">Да</w:t>
            </w:r>
          </w:p>
        </w:tc>
        <w:tc>
          <w:p>
            <w:r>
              <w:t xml:space="preserve">1,0000</w:t>
            </w:r>
          </w:p>
        </w:tc>
        <w:tc>
          <w:p>
            <w:r>
              <w:t xml:space="preserve">Нет</w:t>
            </w:r>
          </w:p>
        </w:tc>
        <w:tc>
          <w:p>
            <w:r>
              <w:t xml:space="preserve">0,0711</w:t>
            </w:r>
          </w:p>
        </w:tc>
        <w:tc>
          <w:p>
            <w:r>
              <w:t xml:space="preserve">Нет</w:t>
            </w:r>
          </w:p>
        </w:tc>
      </w:tr>
    </w:tbl>
    <w:p>
      <w:r>
        <w:t xml:space="preserve"/>
      </w:r>
    </w:p>
    <w:p>
      <w:r>
        <w:t xml:space="preserve">Все четыре метода отвергают тест Купича на безусловное покрытие (p_uc &lt; 0,05): фактическая частота превышений (12–20%) значительно выше ожидаемых 5%. Это закономерно — период COVID-2020 характеризуется экстремальной волатильностью, и любая модель VaR, калиброванная на предшествующих спокойных данных, систематически недооценивает риск в начале кризиса.</w:t>
      </w:r>
    </w:p>
    <w:p>
      <w:r>
        <w:t xml:space="preserve">Тест Кристофферсена на независимость нарушений не отвергается ни для одного метода — превышения не кластеризованы. Это положительный результат: модели реагируют на рост волатильности (через EWMA), хотя и с запаздыванием.</w:t>
      </w:r>
    </w:p>
    <w:p>
      <w:r>
        <w:t xml:space="preserve">Ключевой результат — совместный тест условного покрытия (LR_cc). MC Student-t — единственная модель, для которой совместный тест не отвергается (p_cc = 0,071 &gt; 0,05). Все остальные методы отвергаются: historical (p_cc ≈ 0), parametric (p_cc = 0,007), MC normal (p_cc = 0,019). Это подтверждает теоретическое ожидание раздела 4.4: Student-t распределение лучше описывает хвосты реальных доходностей, и его использование в MC-симуляции даёт наиболее адекватную оценку VaR в кризисных условиях.</w:t>
      </w:r>
    </w:p>
    <w:p>
      <w:pPr>
        <w:pStyle w:val="Heading2"/>
      </w:pPr>
      <w:r>
        <w:t xml:space="preserve">10.7 Ответы на исследовательские вопросы</w:t>
      </w:r>
    </w:p>
    <w:p>
      <w:r>
        <w:rPr>
          <w:b/>
        </w:rPr>
        <w:t xml:space="preserve">RQ1: Валютный риск как компонента VaR в смешанном портфеле.</w:t>
      </w:r>
    </w:p>
    <w:p>
      <w:r>
        <w:t xml:space="preserve">При текущем составе портфеля (40% российских активов) FX-компонента составляет около 19% от совокупного risk contribution российского кластера. Валютный риск значим, но не доминирует — основной вклад в риск российских позиций идёт через equity-компоненту (движение акций в рублях). Parametric VaR (EWMA) систематически недооценивает риск в кризисные периоды: бэктест отвергает его на уровне и безусловного, и условного покрытия. MC Student-t лучше улавливает хвостовые потери и является единственной моделью, прошедшей совместный тест Купича–Кристофферсена.</w:t>
      </w:r>
    </w:p>
    <w:p>
      <w:r>
        <w:rPr>
          <w:b/>
        </w:rPr>
        <w:t xml:space="preserve">RQ2: Чувствительность к геополитическим шокам vs. «обычные» кризисы.</w:t>
      </w:r>
    </w:p>
    <w:p>
      <w:r>
        <w:t xml:space="preserve">Прямое сравнение COVID-2020 и санкционного шока февраля 2022 ограничено тем, что MOEX была закрыта 24 торговых дня — бэктест на этом периоде методологически некорректен. Тем не менее, результаты позволяют сделать два наблюдения. Во-первых, стресс-тест COVID-2020 даёт кумулятивные потери портфеля, сопоставимые по масштабу с историческими данными. Во-вторых, расхождение между Basel √10 и overlapping-window VaR (2,04 п.п.) подтверждает, что в период кризиса стандартное масштабирование неадекватно — серийная корреляция и кластеризация волатильности усиливают 10-дневные потери сверх того, что предсказывает правило √10. Гипотетический сценарий «санкции» применяется только к глобальному кластеру, что ограничивает полноту ответа на RQ2 — это документированное ограничение проекта.</w:t>
      </w:r>
    </w:p>
    <w:p>
      <w:pPr>
        <w:pStyle w:val="Heading2"/>
      </w:pPr>
      <w:r>
        <w:t xml:space="preserve">10.8 Обобщающий вывод</w:t>
      </w:r>
    </w:p>
    <w:p>
      <w:r>
        <w:t xml:space="preserve">Результаты расчётов подтверждают три ключевых положения. (1) В смешанном портфеле с 40% российских активов валютный риск составляет значимую, но не доминирующую компоненту — основной вклад в портфельный VaR приходится на equity-волатильность глобального кластера (прежде всего NVDA). (2) MC Student-t является наиболее адекватной моделью VaR для данного портфеля: это единственный метод, прошедший совместный тест Купича–Кристофферсена на периоде COVID-2020. (3) Правило Basel √10 систематически занижает 10-дневный VaR в периоды стресса, и прямая оценка через overlapping windows методологически корректнее.</w:t>
      </w:r>
    </w:p>
    <w:p>
      <w:r>
        <w:t xml:space="preserve"/>
      </w:r>
    </w:p>
    <w:p>
      <w:pPr>
        <w:pStyle w:val="Heading1"/>
        <w:spacing w:after="180" w:before="360"/>
      </w:pPr>
      <w:r>
        <w:t>11. Список использованной литературы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Acerbi, C., &amp; Tasche, D. (2002).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coherence of expected shortfall.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Banking &amp;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26(7), 1487–1503.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Artzner, P., Delbaen, F., Eber, J.-M., &amp; Heath, D. (1999).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Coherent measures of risk.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Mathematical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9(3), 203–228.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Basel Committee on Banking Supervision. (1996).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Supervisory framework for the use of "backtesting" in conjunction with the internal models approach to market risk capital requirements. BIS.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Basel Committee on Banking Supervision. (2019).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Minimum capital requirements for market risk (Fundamental Review of the Trading Book). BIS.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Berkowitz, J., Christoffersen, P., &amp; Pelletier, D. (2011).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Evaluating value-at-risk models with desk-level data.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Management Science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57(12), 2213–2227.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BIS. (2011).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Evaluating "correlation breakdowns" during periods of market volatility.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BIS Conference Papers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Vol. 8.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Christoffersen, P. F. (1998).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Evaluating interval forecasts.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International Economic Review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39(4), 841–862.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Fama, E. F., &amp; French, K. R. (1993).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Common risk factors in the returns on stocks and bonds.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Financial Economics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33(1), 3–56.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Fama, E. F., &amp; French, K. R. (2004).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The capital asset pricing model: Theory and evidence.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Economic Perspectives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18(3), 25–46.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Jorion, P. (2007).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Value at Risk: The New Benchmark for Managing Financial Risk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(3rd ed.). McGraw-Hill.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Kupiec, P. H. (1995).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Techniques for verifying the accuracy of risk measurement models.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Derivatives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3(2), 73–84.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Lintner, J. (1965).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The valuation of risk assets and the selection of risky investments in stock portfolios and capital budgets.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Review of Economics and Statistics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47(1), 13–37.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Longin, F., &amp; Solnik, B. (2001).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Extreme correlation of international equity markets.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56(2), 649–676.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Markowitz, H. (1952).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Portfolio selection.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7(1), 77–91.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Mossin, J. (1966).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Equilibrium in a capital asset market.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Econometrica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34(4), 768–783.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Roncalli, T. (2013).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Introduction to Risk Parity and Budgeting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CRC Press.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Sharpe, W. F. (1964).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Capital asset prices: A theory of market equilibrium under conditions of risk.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19(3), 425–442.</w:t>
      </w:r>
    </w:p>
    <w:p>
      <w:pPr>
        <w:spacing w:after="160" w:before="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J.P. Morgan / Reuters. (1996).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RiskMetrics — Technical Document (4th ed.). J.P. Morgan.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999999"/>
        <w:sz w:val="18"/>
        <w:szCs w:val="18"/>
      </w:rPr>
      <w:t xml:space="preserve">— </w:t>
    </w:r>
    <w:r>
      <w:rPr>
        <w:rFonts w:ascii="Times New Roman" w:cs="Times New Roman" w:eastAsia="Times New Roman" w:hAnsi="Times New Roma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3" w:space="1"/>
      </w:pBdr>
      <w:jc w:val="right"/>
    </w:pPr>
    <w:r>
      <w:rPr>
        <w:rFonts w:ascii="Times New Roman" w:cs="Times New Roman" w:eastAsia="Times New Roman" w:hAnsi="Times New Roman"/>
        <w:color w:val="999999"/>
        <w:sz w:val="18"/>
        <w:szCs w:val="18"/>
      </w:rPr>
      <w:t xml:space="preserve">RiskPulse — Теоретическая часть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color w:val="2E549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2026-04-22T08:48:47.356Z</dcterms:created>
  <dcterms:modified xsi:type="dcterms:W3CDTF">2026-04-22T08:48:47.356Z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