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Национальный исследовательский университет «Высшая школа экономики»</w:t>
      </w:r>
    </w:p>
    <w:p>
      <w:pPr>
        <w:spacing w:after="60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Факультет экономических наук</w:t>
      </w:r>
    </w:p>
    <w:p>
      <w:pPr>
        <w:spacing w:after="60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Курс: Инвестиции и риск-менеджмент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52"/>
          <w:szCs w:val="52"/>
        </w:rPr>
        <w:t xml:space="preserve">RiskPulse</w:t>
      </w:r>
    </w:p>
    <w:p>
      <w:pPr>
        <w:spacing w:after="800" w:before="0"/>
        <w:jc w:val="center"/>
      </w:pPr>
      <w:r>
        <w:rPr>
          <w:rFonts w:ascii="Times New Roman" w:cs="Times New Roman" w:eastAsia="Times New Roman" w:hAnsi="Times New Roman"/>
          <w:color w:val="2E5496"/>
          <w:sz w:val="26"/>
          <w:szCs w:val="26"/>
        </w:rPr>
        <w:t xml:space="preserve">Система количественного риск-анализа смешанного портфеля</w:t>
      </w:r>
    </w:p>
    <w:p>
      <w:pPr>
        <w:spacing w:after="120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333333"/>
          <w:sz w:val="28"/>
          <w:szCs w:val="28"/>
        </w:rPr>
        <w:t xml:space="preserve">Теоретическая часть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color w:val="888888"/>
          <w:sz w:val="22"/>
          <w:szCs w:val="22"/>
        </w:rPr>
        <w:t xml:space="preserve">Москва, 2025</w:t>
      </w:r>
    </w:p>
    <w:p>
      <w:r>
        <w:br w:type="page"/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Введение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Количественный риск-менеджмент прошёл путь от академических упражнений 1990-х годов до обязательного элемента регуляторного надзора. Поворотным моментом стала публикация методологии RiskMetrics компанией J.P. Morgan в 1994 году — впервые единый стандарт расчёта Value at Risk был предложен для широкого круга участников рынка. С тех пор инструментарий значительно усложнился: в регуляторную практику последовательно вошли стресс-тестирование, бэктестирование, Expected Shortfall. Базельский комитет в рамках FRTB (Fundamental Review of the Trading Book, 2019) окончательно переключился с VaR на ES в качестве основной меры капитальных требований.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Настоящий проект — RiskPulse — применяет этот инструментарий к задаче, которая в чистом виде не разбирается в стандартных учебниках: портфель из российских и американских акций, где каждый российский актив несёт одновременно рублёвый акционерный риск и валютный риск USD/RUB. Это создаёт нетривиальную проблему атрибуции: где заканчивается рыночный риск и начинается валютный? Как меняется их соотношение при разных весах российских активов? Ответ на эти вопросы методологически нетривиален — его нельзя взять из готовой формулы, он требует явного разложения P&amp;L.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 не претендует на создание новых моделей. Задача иная: корректно реализовать существующие методы применительно к нестандартной задаче, честно задокументировать ограничения и получить интерпретируемые количественные ответы на сформулированные исследовательские вопросы.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1.1 Исследовательские вопросы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RQ1.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При каком соотношении российских и глобальных активов валютный риск (USD/RUB) становится доминирующей компонентой однодневного VaR портфеля — и как этот порог смещается в периоды повышенной волатильности рубля? Какой из четырёх реализованных методов VaR точнее улавливает эту зависимость по результатам теста Купича?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RQ2.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Насколько сопоставимы по величине потери портфеля при геополитическом шоке (санкции февраль 2022) и при рыночном кризисе сопоставимого масштаба (COVID-2020, повышение ставки ФРС 2022)? Отличается ли структура ковариационной матрицы в эти периоды, и если да — как это сказывается на результатах стресс-теста?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RQ1 не имеет очевидного ответа из литературы: при небольшой доле российских бумаг FX-риск растворяется в общем портфельном шуме, при большой — начинает доминировать, причём порог зависит от текущего режима волатильности рубля. RQ2 ставит под сравнение два принципиально разных по природе кризиса, что редко делается в учебных работах.</w:t>
      </w:r>
    </w:p>
    <w:p>
      <w:pPr>
        <w:pStyle w:val="Heading2"/>
      </w:pPr>
      <w:r>
        <w:t>1.2 Постановка задачи</w:t>
      </w:r>
    </w:p>
    <w:p>
      <w:r>
        <w:t>Объект оценки — смешанный портфель из шести акций двух рынков: российский кластер (SBER, LKOH, GAZP) и глобальный кластер (NVDA, MSFT, AAPL). Базовые веса: SBER 15 %, LKOH 15 %, GAZP 10 %, NVDA 20 %, MSFT 20 %, AAPL 20 %. Все расчёты ведутся в долларах США; для российских бумаг логарифмические доходности конвертируются в USD через вычитание логарифмической доходности курса USD/RUB (раздел 2.2). Период наблюдений — с 3 января 2019 по 21 апреля 2026 года (1 902 торговых дня).</w:t>
      </w:r>
    </w:p>
    <w:p>
      <w:r>
        <w:t>Что оценивается и как. Основные метрики риска — однодневный и десятидневный Value at Risk (VaR) и Expected Shortfall (ES) при доверительных уровнях 95 % и 99 %. VaR вычисляется четырьмя методами: историческая симуляция, параметрический EWMA (RiskMetrics), Монте-Карло с многомерным нормальным распределением и Монте-Карло с многомерным t-распределением Стьюдента (степени свободы ν оцениваются через MLE). Данные — дневные логарифмические доходности из MOEX ISS REST API (российские акции, IMOEX, USD/RUB), Yahoo Finance (глобальные акции, SPY) и FRED (ставка ФРС).</w:t>
      </w:r>
    </w:p>
    <w:p>
      <w:r>
        <w:t>Окно оценки и применение. Ковариационная матрица оценивается методом EWMA с параметром λ = 0,94 (значение по умолчанию RiskMetrics; оптимальное значение подбирается в разделе 10.8). Факторные модели (CAPM, FF3) считаются на скользящем окне 252 торговых дня (оптимизация окна — раздел 10.8.3). Бэктестирование проводится методом expanding window: на каждый день t модель строится по данным до t, а VaR сравнивается с фактическим убытком в день t. Основной период бэктеста — COVID-2020 (раздел 8). Для оценки устойчивости результатов расчёты повторяются на четырёх конфигурациях портфеля с различными весами и сопоставляются с индексными бенчмарками SPY и IMOEX (раздел 10.7).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Данные и конвертация доходностей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2.1 Состав портфеля и источники данных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Портфель проекта включает семь инструментов двух рынков. Российский кластер — обыкновенные акции Сбербанка (SBER), Лукойла (LKOH) и Газпрома (GAZP) на Московской Бирже, котировки в рублях. Глобальный кластер — акции NVDA, MSFT, AAPL на NYSE/NASDAQ, котировки в долларах. Бенчмарки — индекс IMOEX (Россия) и ETF SPY (США).</w:t>
      </w:r>
    </w:p>
    <w:p>
      <w:pPr>
        <w:spacing w:after="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1600"/>
        <w:gridCol w:w="240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Инструмент / группа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Валюта котировки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Примечание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SBER, LKOH, GAZP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MOEX ISS REST API (apimoex)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RUB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Официальный контракт биржи, стабильный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NVDA, MSFT, AAPL, SPY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Yahoo Finance (yfinance)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Неофициальный, но стандарт в академической среде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IMOEX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MOEX ISS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RUB (пункты)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Индекс полной доходности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USD/RUB (USDRUB_TOM)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MOEX ISS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RUB за 1 USD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Официальный биржевой курс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ФРС ставка, CPI, DXY, Brent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FRED (fredapi)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Бесплатный ключ, официальный Fed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Ключевая ставка ЦБ РФ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MOEX ISS / ЦБ РФ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RUB (% годовых)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Используется как R_f для RU кластера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Отдельного объяснения требует выбор источника курса USD/RUB. Традиционно в академических работах используется ряд DEXRUSS из базы FRED — однако с марта 2022 года ФРС прекратила публикацию этой серии. Для расчётов в режиме реального времени единственным надёжным источником остаётся биржевой инструмент USDRUB_TOM на MOEX ISS, соответствующий официальному курсу Банка России. На исторических данных до 2022 года оба ряда практически совпадают.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2.2 Базовая валюта расчётов и конвертация доходностей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расчёты P&amp;L, VaR и стресс-тестов ведутся в долларах США. Это не произвольное решение: приведение к единой валюте необходимо, чтобы агрегировать риски качественно разных активов в одну цифру. Вопрос в том, как именно конвертировать рублёвые доходности.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Строгая формула для перевода цены актива из рублей в доллары через курс S (рублей за доллар):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P_i^USD(t)  =  P_i^RUB(t) / S(t)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Отсюда дневная логарифмическая доходность в USD: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r_i^USD(t)  =  ln[P_i^USD(t) / P_i^USD(t-1)]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           =  ln[P_i^RUB(t) / P_i^RUB(t-1)]  −  ln[S(t) / S(t-1)]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           =  r_i^RUB(t)  +  r_FX(t)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r_FX(t) = ln(S(t-1)/S(t))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доходность курса с точки зрения владельца долларовых активов (рост S означает ослабление рубля, что является отрицательным событием для инвестора в рублёвый актив, поэтому знак минус). Для арифметических доходностей аналогичное разложение содержит перекрёстный член: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r_i^USD ≈ r_i^RUB  +  r_FX  +  r_i^RUB · r_FX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Перекрёстный член второго порядка при типичных дневных доходностях порядка 1–2% вносит погрешность менее 0.04 п.п. — ею пренебрегают как в академической литературе (Jorion, 2007), так и в практике риск-менеджмента.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Смысл этого разложения для управления рисками прямой: позиция в LKOH даёт одновременно экспозицию на движение акции в рублях и на движение курса USD/RUB. Эти два источника риска принципиально различны по природе, и их нужно разделить явно — что и делается в разделе об атрибуции риска.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2.3 Логика раздельного анализа кластеров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Факторные модели считаются в локальных валютах каждого кластера, а не в единой USD-базе. Это принципиально для интерпретируемости коэффициентов. Если регрессировать SBER в долларах против SPY, полученный коэффициент β поглотит и рублёвую рыночную экспозицию, и FX-экспозицию одновременно — их невозможно разделить в рамках одной регрессии. Разведение кластеров решает эту проблему: β_SBER измеряется в «чистом» рублёвом пространстве против IMOEX; валютный канал учитывается отдельно при агрегации в USD.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Факторные модели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3.1 CAPM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3.1.1 Постановка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Модель CAPM разработана независимо Шарпом (1964) и Линтнером (1965) на основе портфельной теории Марковица (1952). Центральная идея проста: на эффективном рынке инвестор получает вознаграждение только за риск, от которого нельзя избавиться диверсификацией, — систематический риск. Специфический риск отдельной бумаги диверсифицируется и не вознаграждается.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равновесии ожидаемая избыточная доходность актива пропорциональна его ковариации с рыночным портфелем: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E[R_i] − R_f  =  β_i · (E[R_m] − R_f)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β_i  =  Cov(R_i, R_m) / Var(R_m)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Здесь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(E[R_m] − R_f)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рыночная премия за риск; β_i — мера систематического риска бумаги. Бумага с β = 1.5 в среднем растёт на 1.5% при росте рынка на 1% и падает на 1.5% при его снижении на 1%. β &lt; 1 — защитная бумага, β &gt; 1 — циклическая.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практике β оценивается регрессией временного ряда избыточных доходностей на избыточную доходность рынка: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R_i(t) − R_f(t)  =  α_i  +  β_i · [R_m(t) − R_f(t)]  +  ε_i(t)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Константа α_i (alpha Йенсена) измеряет среднюю доходность сверх того, что «заслуживает» бумага по своему β. В теории α_i = 0 для всех активов — если α ≠ 0, рынок неэффективен в отношении данной бумаги или модель неверна. На практике α_i ≠ 0 чаще, чем нам хотелось бы, — что и стало одной из причин появления многофакторных моделей.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3.1.2 Применение в проекте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CAPM применяется к обоим кластерам, но в разных валютных пространствах.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Российские акции.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Регрессия в рублях против IMOEX: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R_i^RUB(t) − R_f^RUB(t)  =  α_i  +  β_i · [R_IMOEX(t) − R_f^RUB(t)]  +  ε_i(t)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Безрисковая ставка R_f^RUB — ключевая ставка ЦБ РФ (дневная, т.е. делённая на 365). Рыночный бенчмарк — IMOEX total return.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Глобальные акции.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Регрессия в долларах против SPY: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R_i^USD(t) − R_f^USD(t)  =  α_i  +  β_i · [R_SPY(t) − R_f^USD(t)]  +  ε_i(t)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Безрисковая ставка R_f^USD — ставка по федеральным фондам США (FRED, серия FEDFUNDS).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обоих случаях регрессия считается на скользящем окне 252 торговых дня (один год). Это позволяет отслеживать изменение β во времени — что важно: β LKOH, например, заметно вырастала при росте нефтяных цен и сжималась при боковом рынке. Статическая оценка на всей истории скрыла бы эту динамику.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3.1.3 Что CAPM не объясняет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Фама и Френч (2004) в обзорной работе честно суммируют: эмпирические тесты CAPM последовательно обнаруживают, что размер компании и коэффициент book-to-market предсказывают доходности лучше, чем β. Это не означает, что CAPM бесполезен — β по-прежнему является наиболее универсальным агрегатным показателем рыночной чувствительности бумаги. Но для глобальных акций, где данные позволяют, имеет смысл перейти к расширенной модели.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 Трёхфакторная модель Фамы–Френча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3.2.1 Мотивация и конструкция факторов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Фама и Френч (1993) предложили добавить к рыночному фактору два портфельных спреда, которые исторически объясняли аномальные доходности: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R_i^USD(t) − R_f^USD(t)  =  α_i  +  β_1·MKT  +  β_2·SMB  +  β_3·HML  +  ε_i(t)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SMB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(Small Minus Big) — разница доходностей между портфелями мелких и крупных компаний по капитализации. Конструируется ежегодно по всем акциям NYSE, AMEX и NASDAQ: медиана NYSE делит акции на «маленькие» и «большие», внутри каждой группы взвешиваются по капитализации. Фактор SMB отражает историческую «премию малых компаний» — эмпирически малые компании в среднем давали доходность выше, чем их β предсказывал бы CAPM.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HML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(High Minus Low) — разница доходностей между компаниями с высоким и низким отношением балансовой стоимости к рыночной (B/M). Высокий B/M — «ценностные» акции (value), низкий — «растущие» (growth). Исторически value-акции опережали growth-акции по доходности с поправкой на рыночный риск, что CAPM не мог объяснить. HML захватывает эту premium.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Данные факторов публикует Кен Френч на своём сайте. Это важное практическое удобство: факторы доступны бесплатно, обновляются ежемесячно, прошли широкую академическую верификацию.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3.2.2 Почему FF3 не применяется к российским акциям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Применение FF3 к SBER, LKOH и GAZP невозможно по объективным причинам. На MOEX торгуется около 50 ликвидных инструментов — это примерно в 50 раз меньше, чем требуется для построения надёжных факторных портфелей по методологии Фамы–Френча. При такой выборке сортировка по размеру и B/M даст небольшие группы с высоким идиосинкратическим шумом, и полученные факторы будут измерять скорее случайные флуктуации, чем систематические риск-премии. Официальных российских аналогов SMB и HML не существует, а самостоятельное их конструирование в рамках данного проекта вышло бы за разумные рамки. Поэтому российские акции ограничиваются CAPM — и это честнее, чем применять инструмент в условиях, для которых он не предназначен.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Value at Risk и Expected Shortfall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4.1 Что такое VaR и зачем нужно четыре метода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Value at Risk при доверительном уровне (1−α) и горизонте T отвечает на один вопрос: «Какую максимальную сумму теряет портфель за T дней с вероятностью (1−α)?» Формально: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VaR_{1−α}  =  inf { l : P(L &gt; l) ≤ α }  =  F_L^{−1}(1−α)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случайный убыток за период T. При α = 5% и T = 1 день: с вероятностью 95% однодневные потери не превысят VaR_{95%}. Регуляторный стандарт (Basel) — α = 1%, T = 10 дней.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Конкретное число зависит от того, как мы моделируем распределение убытков. Если исходить из нормального распределения — одни цифры; если допустить тяжёлые хвосты — другие; если вовсе не делать параметрических допущений — третьи. Именно поэтому в проекте реализованы четыре метода, а не один: сравнение их результатов само по себе является исследовательским вкладом.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4.2 Историческое моделирование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Historical Simulation (HS) — непараметрический подход. Идея: взять реальные прошлые P&amp;L портфеля и найти нужный квантиль. Никаких допущений о распределении не требуется.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Алгоритм: на каждый момент t берётся скользящее окно из W предшествующих дней (обычно W = 250–500); фиксируются реализованные однодневные убытки L_1, ..., L_W; VaR_{95%} = L_{(⌊0.05·W⌋)} — пятый процентиль отсортированной выборки.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Историческое моделирование автоматически учитывает нелинейности, толстые хвосты, асимметрию — всё, что было в прошлой истории. Слабое место — именно в этой же фразе: метод не видит событий, которых ещё не было. Все сценарии из окна считаются одинаково вероятными, хотя интуитивно данные трёхлетней давности менее релевантны, чем прошлая неделя.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4.3 Параметрический VaR (EWMA / RiskMetrics)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Параметрический подход предполагает нормальное распределение портфельных убытков и сосредотачивается на точной оценке условной волатильности σ_t. Нормальность нарушается на практике, но иметь хорошую оценку волатильности само по себе ценно.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Стандарт RiskMetrics (J.P. Morgan, 1996) оценивает дисперсию через экспоненциально взвешенное скользящее среднее (EWMA):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σ_t²  =  λ · σ_{t−1}²  +  (1−λ) · r_{t−1}²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Параметр λ = 0.94 — результат эмпирической калибровки JP Morgan на широком наборе активов. При таком λ «период полураспада» веса составляет около 12 торговых дней: данные двухнедельной давности имеют вдвое меньший вес, чем вчерашние. Это позволяет EWMA оперативно реагировать на рост волатильности в кризисный период.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VaR в предположении нормальности: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VaR_{95%}^{param}  =  1.645 · σ_p(t)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σ_p²(t)  =  w' · Σ_t · w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где Σ_t — ковариационная матрица, оцениваемая EWMA для всех пар активов в USD. При нормальности ошибка модели — занижение хвостовых потерь. Реальные доходности имеют эксцесс (kurtosis &gt; 3), и нормальный VaR на уровне 99% систематически занижает реальный риск: то, что модель считает «событием раз в сто дней», на практике случается чаще.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4.4 Метод Монте-Карло: два варианта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MC-симуляция позволяет сгенерировать полное распределение P&amp;L портфеля при любом заданном распределении доходностей — в отличие от параметрического метода, который даёт только стандартное отклонение и применяет к нему квантиль нормального распределения.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Нормальный MC (baseline):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генерируются 10 000 векторов r_sim ~ N(μ, Σ) через разложение Холецкого (Σ = LL'), вычисляется P&amp;L каждой симуляции, берётся квантиль. При нормальном распределении нормальный MC и параметрический VaR должны давать практически одинаковые числа — это проверка корректности реализации.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Student-t MC (основная модель):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вместо нормального распределения используется многомерное t-распределение со степенями свободы ν. Плотность одномерного t-распределения: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f(x; ν)  =  [Γ((ν+1)/2) / (√(νπ) · Γ(ν/2))] · (1 + x²/ν)^{−(ν+1)/2}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ν → ∞ оно сходится к нормальному. При ν = 3–5 — хвосты заметно тяжелее: события на уровне ±3σ случаются в несколько раз чаще, чем предсказывает нормальное распределение. Для дневных доходностей акций эмпирически ν ≈ 3–6, что хорошо задокументировано в литературе.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Параметр ν оценивается через максимальное правдоподобие на исторических данных портфеля: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ν̂  =  argmax_ν  Σ_t  ln f_t(r_t; μ, Σ, ν)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MC Student-t даёт более высокие оценки VaR (особенно при α = 1%), что отражает реальную частоту крупных потерь. Различие нормального и Student-t MC в таблице результатов — это и есть «цена» гауссовского допущения.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4.5 Expected Shortfall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VaR отвечает на вопрос «какой порог убытка?», но ничего не говорит о том, что происходит за этим порогом. Expected Shortfall (ES) отвечает на другой вопрос: «Каков средний убыток в худших α% случаев?»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ES_{1−α}  =  E[L | L &gt; VaR_{1−α}]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 был предложен как когерентная альтернатива VaR Арцнером, Делбаеном, Эбером и Хитом в 1999 году. Ключевое отличие: ES обладает субаддитивностью — ES(A+B) ≤ ES(A) + ES(B). Это означает, что диверсификация всегда снижает или не меняет ES; для VaR это свойство не гарантируется при произвольных распределениях. Именно нарушение субаддитивности VaR стало теоретическим обоснованием для перехода Базельского комитета к ES в FRTB.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проекте ES вычисляется для каждого метода VaR. Для параметрического (нормального) приближения: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ES_{1−α}^{normal}  =  σ_p · φ(z_α) / α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где φ — плотность стандартного нормального распределения. Для исторического метода ES вычисляется как среднее убытков, превысивших VaR. Для MC — как среднее по симуляциям с P&amp;L &lt; −VaR.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Горизонт измерения: 10-дневный VaR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5.1 Откуда 10 дней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Регуляторный горизонт 10 торговых дней появился в Базеле II как компромисс между ликвидностью позиций (портфель нельзя закрыть мгновенно) и частотой данных (однодневных наблюдений значительно больше, чем десятидневных). Формально Базель разрешал банкам масштабировать однодневный VaR по правилу квадратного корня: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VaR_{10}^{Basel}  =  VaR_1 · √10  ≈  3.16 · VaR_1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Вывод прост: если дневные доходности i.i.d. и имеют нулевое среднее, то дисперсия 10-дневной суммы равна 10σ², откуда стандартное отклонение σ_{10} = σ_1·√10, и VaR масштабируется соответственно.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5.2 Когда правило √10 ломается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Проблема в том, что i.i.d. — одно из наименее правдоподобных допущений именно в те моменты, когда 10-дневный VaR наиболее важен. В кризисный период: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серийная корреляция доходностей усиливается: вчерашнее падение предсказывает сегодняшнее (моментум, панические продажи)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волатильность кластеризуется (GARCH-эффект): после дня с большим движением следует день с большим движением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хвосты 10-дневного распределения оказываются значительно тяжелее, чем предсказывает √10</w:t>
      </w:r>
    </w:p>
    <w:p>
      <w:pPr>
        <w:spacing w:after="0" w:before="0"/>
      </w:pPr>
      <w:r>
        <w:t xml:space="preserve"/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Итог: в спокойные периоды оба метода дают близкие оценки; в кризис VaR_1·√10 занижает реальный 10-дневный VaR. Это не теоретическая тонкость — расхождение хорошо видно на данных COVID-2020 и является одним из результатов, которые явно показываются в отчёте.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5.3 Прямая оценка через перекрывающиеся окна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Корректная альтернатива — строить выборку 10-дневных доходностей напрямую, без каких-либо допущений о структуре зависимостей: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R_{t,t+10}  =  Σ_{k=0}^{9}  r_{t+k}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Затем VaR_{10} = квантиль α эмпирической выборки {R_{t,t+10}}. Соседние наблюдения перекрываются на 9 дней, что делает их зависимыми, но это не мешает состоятельности оценки квантиля — объём выборки при этом в 10 раз больше, чем при использовании неперекрывающихся окон. Дополнительная дисперсия оценки из-за зависимостей на практике перекрывается выигрышем от большего числа наблюдений.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отчёте проекта обе оценки выводятся рядом: VaR_1·√10 и VaR_{10}^{OW}. Их расхождение в период COVID-2020 служит наглядной иллюстрацией ограничений базельского масштабирования.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Декомпозиция и атрибуция риска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6.1 Компонентный VaR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Знать совокупный VaR портфеля полезно. Знать, какая позиция его обеспечивает — уже управленческая информация. Компонентный VaR позволяет приписать каждой позиции долю совокупного риска так, чтобы эти доли суммировались в 100%.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Математическое обоснование — теорема Эйлера для однородных функций. Функция риска ρ(w) однородна степени 1: ρ(λw) = λρ(w). Для таких функций: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ρ(w)  =  Σ_i  w_i · ∂ρ/∂w_i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 значит, что полный риск равен сумме произведений «количество позиции × предельный вклад единицы позиции». Для VaR в нормальном приближении: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RC_i  =  w_i · (Σw)_i / σ_p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Σ_i RC_i  =  VaR_p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где (Σw)_i — i-й элемент вектора ковариаций позиции i с остальным портфелем. Интерпретация RC_i: если RC_i / VaR_p = 30%, то позиция i вносит 30% совокупного портфельного риска. Это не то же самое, что «30% весов портфеля» — зависит от корреляции с другими позициями.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6.2 Атрибуция FX-риска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российских акций компонентный VaR можно разложить дальше — на рублёвую акционерную компоненту и валютную: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RC_SBER  =  RC_SBER^equity  +  RC_SBER^FX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FX-компонента вычисляется как нормированная ковариация долларовой доходности SBER с FX-шоком: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RC_SBER^FX  =  w_SBER · Cov(r_SBER^USD, r_FX) / σ_p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Сумма RC_i^FX по всем российским позициям — это совокупный FX-риск портфеля. По мере роста доли российских активов эта сумма растёт, и при некотором пороге она начинает превышать совокупный equity-риск. Нахождение этого порога как функции σ_FX и составляет эмпирический ответ на RQ1.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Важная оговорка: факторная атрибуция по CAPM/FF3 не агрегируется на уровне всего портфеля. «Рыночный фактор IMOEX» и «рыночный фактор S&amp;P 500» — это совершенно разные факторы в разных экономических пространствах. Складывать β_SBER vs IMOEX и β_AAPL vs SPY в одну таблицу — методологически некорректно. Единственная корректная агрегация на уровне всего портфеля — компонентный VaR.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6.3 VaR-лимит и рекомендация по ребалансированию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задаёт лимит дневных потерь (например, 2% от стоимости портфеля). Если Portfolio VaR_{95%} &gt; 2%, dashboard показывает: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позицию с наибольшим RC_i — она вносит наибольший вклад в нарушение лимита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целевой вес w_i*, при котором VaR вернётся в лимит — находится численным поиском</w:t>
      </w:r>
    </w:p>
    <w:p>
      <w:pPr>
        <w:spacing w:after="0" w:before="0"/>
      </w:pPr>
      <w:r>
        <w:t xml:space="preserve"/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 минимальная, но содержательная связь между измерением риска и управленческим действием. Реальный риск-менеджер, разумеется, учитывает транзакционные издержки, ликвидность и другие ограничения — в данном проекте их нет. Это честно задокументировано в разделе ограничений.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Стресс-тестирование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7.1 Место стресс-тестирования в риск-менеджменте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VaR — статистическая мера: она описывает «нормальное» плохое. Стресс-тест описывает «экстраординарное плохое» — то, что редко попадает в историческое окно VaR, но имеет правдоподобный механизм реализации. После кризиса 2008 года стресс-тестирование стало обязательным элементом регуляторного надзора за системно значимыми банками, а затем распространилось в практику управления нефинансовыми портфелями.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Различают два подхода. Исторические сценарии применяют к текущему портфелю реальные зафиксированные шоки из прошлого. Гипотетические сценарии конструируются аналитически на основе экономического нарратива («что если ФРС поднимет ставку на 200 б.п.?»). Оба подхода дополняют друг друга: исторические более реалистичны по масштабу шока, гипотетические позволяют тестировать сценарии, которых ещё не было.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7.2 Исторические сценарии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проекте выбраны три стресс-периода, различающихся по природе шока:</w:t>
      </w:r>
    </w:p>
    <w:p>
      <w:pPr>
        <w:spacing w:after="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6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Период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Активы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Характер шока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COVID-crash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Фев–Мар 2020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Все 7 инструментов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Ликвидационный шок, корреляции активов резко выросли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Rate hike cycle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Мар–Дек 2022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NVDA, MSFT, AAPL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Переоценка growth-акций при росте безрисковой ставки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Sanctions shock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Фев 2022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Только global-кластер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Геополитический шок; MOEX закрыта 25.02–24.03.2022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Методика: реальные дневные доходности из базы применяются к текущему вектору весов. P&amp;L каждого сценария: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PL^{scenario}  =  Σ_i  w_i · V_i · r_i^{scenario}(t)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 отвечает на практический вопрос: «Что было бы с нашим текущим портфелем, если бы произошёл COVID-2020?» — а не «Что было бы, если бы мы держали тогдашний портфель?» Разница существенная.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Сценарий «санкции» применяется только к глобальным активам. Включать MOEX-бумаги в расчёт нельзя: биржа не работала 24 торговых дня подряд, цен нет. Это ограничение честно описывается в отчёте: геополитический сценарий для смешанного портфеля с российскими акциями заведомо занижает реальные потери.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7.3 Гипотетические шоки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Три гипотетических сценария строятся через линейную P&amp;L-апроксимацию — стандартный подход для портфелей без производных инструментов: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ΔP  =  Σ_i  w_i · β_{i,factor} · Δfactor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USD/RUB +20% (ослабление рубля).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LKOH и GAZP — экспортёры с выручкой в долларах. При ослаблении рубля на 20% их рублёвые цены исторически росли примерно пропорционально — что через конвертацию в USD означает близкий к нулю P&amp;L (курсовой выигрыш нейтрализует рублёвый рост). SBER — банк с рублёвыми доходами, его USD-цена падает на величину, близкую к ослаблению рубля. Расчёт через β_FX, оценённый регрессией.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Нефть Brent −30%.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LKOH и GAZP несут прямую экспозицию на нефть. β_нефть оценивается регрессией рублёвой доходности акции на процентное изменение Brent. AAPL и MSFT — косвенная экспозиция через энергетические затраты, но она существенно меньше.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Ставка ФРС +200 б.п.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Рост безрисковой ставки снижает приведённую стоимость будущих денежных потоков. Growth-акции (NVDA, часть MSFT/AAPL-мультипликатора) более чувствительны, чем value-акции. Duration-proxy для NVDA — примерно 10–15 лет дюрации DCF-модели, что при ставке +200 б.п. соответствует снижению fair value на ~15–20%.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7.4 Ковариационные матрицы в нормальном и кризисном режимах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Ковариационная матрица портфеля, оценённая на полной истории, не отражает реальный уровень корреляций в кризис. Феномен корреляционного заражения (correlation breakdown) хорошо задокументирован: в периоды стресса корреляции между активами устойчиво растут — активы, которые двигались независимо в спокойное время, падают синхронно (Longin &amp; Solnik, 2001). Диверсификация перестаёт работать именно тогда, когда она нужна больше всего.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проекте строятся две матрицы: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Normal regime: оценивается на полной истории за вычетом кризисных окон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Crisis regime: оценивается только на кризисных окнах (COVID фев–апр 2020, санкции фев–мар 2022)</w:t>
      </w:r>
    </w:p>
    <w:p>
      <w:pPr>
        <w:spacing w:after="0" w:before="0"/>
      </w:pPr>
      <w:r>
        <w:t xml:space="preserve"/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Стресс-тест с crisis covariance даёт более высокий VaR и более пессимистичный P&amp;L — и это методологически честнее, поскольку именно такая матрица описывает реальные корреляции в момент реализации сценария. Разница между двумя матрицами явно показывается в тексте отчёта: средняя попарная корреляция, тепловая карта, доля дисперсии первого главного компонента.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Бэктестирование VaR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8.1 Постановка задачи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Любую прогностическую модель нужно проверять на исторических данных. Для VaR это называется бэктестированием: мы смотрим, сколько раз реальные убытки превысили прогноз VaR на горизонте проверки.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каждого торгового дня t в период бэктеста: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I_t  =  1,  если L_t &gt; VaR_{1−α,t}   (нарушение, «hit»)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I_t  =  0   иначе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где VaR_{1−α,t} строится на данных до момента t (expanding window). Если модель корректна, последовательность {I_t} — это независимые бернуллиевские случайные величины с параметром α. При α = 5% модель должна «нарушаться» примерно в 5% дней. Меньше — модель консервативна; больше — недооценивает риск.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Основной период бэктеста — COVID-2020 (февраль–март 2020). Выбор обусловлен: данные полные для всех 7 инструментов, нарушения VaR видны чётко, кризис был достаточно быстрым (нет пропущенных данных). Санкционный период для бэктеста не подходит: MOEX был закрыт 24 торговых дня, что методологически несовместимо с ежедневным VaR.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8.2 Тест Купича (unconditional coverage)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 пропорции нарушений (Proportion of Failures, Kupiec, 1995) проверяет, правильна ли средняя частота нарушений. H₀: E[I_t] = α, то есть доля нарушений в выборке равна заявленному уровню.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T наблюдениях и n нарушениях статистика отношения правдоподобия: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LR_uc  =  −2 ln[(1−α)^{T−n} · αⁿ]  +  2 ln[(1−n/T)^{T−n} · (n/T)ⁿ]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LR_uc ~ χ²(1), критическое значение при уровне 5% равно 3.84. Числитель — правдоподобие при истинном α, знаменатель — при эмпирической доле n/T. Чем сильнее n/T отклоняется от α в любую сторону — тем больше статистика.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Ограничение теста: он смотрит только на число нарушений, не на их расположение во времени. Модель, у которой все 5 нарушений за 100 дней случились подряд в один кризисный период, неотличима от модели, где нарушения равномерно распределены по периоду. С управленческой точки зрения это принципиально разные модели — первая не работает именно тогда, когда важна.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8.3 Тест Кристофферсена (independence)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 независимости (Christoffersen, 1998) проверяет, не кластеризованы ли нарушения. H₀: вероятность нарушения в день t не зависит от того, было ли нарушение в день t−1.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 последовательности {I_t} строится матрица переходов. Обозначим n_{ij} — число переходов из состояния i в состояние j (0 — не нарушение, 1 — нарушение). Оцениваются условные вероятности нарушения: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π₀  =  n₀₁/(n₀₀+n₀₁),   π₁  =  n₁₁/(n₁₀+n₁₁),   π  =  (n₀₁+n₁₁)/T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LR_ind  =  −2 ln[(1−π)^{n₀₀+n₁₀} · π^{n₀₁+n₁₁}]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       +  2 ln[(1−π₀)^{n₀₀} · π₀^{n₀₁} · (1−π₁)^{n₁₀} · π₁^{n₁₁}]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LR_ind ~ χ²(1). Если π₁ &gt;&gt; π₀ — нарушения кластеризованы: после нарушения следует нарушение с повышенной вероятностью. Это ожидаемо при статической ковариационной матрице в кризис: VaR не успевает вырасти в ответ на рост волатильности, нарушения идут сериями.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8.4 Совместный тест условного покрытия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Кристофферсен (1998) объединяет оба теста: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LR_cc  =  LR_uc  +  LR_ind  ~  χ²(2)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H₀ отвергается при LR_cc &gt; 5.99. Практическая интерпретация: Купич может не отвергать H₀ (правильная частота), но Кристофферсен отвергнет, если убытки кластеризованы. Именно это происходит с историческим VaR и параметрическим EWMA в период COVID: оба теста вместе дают более полную картину качества модели.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Ожидаемые результаты по методам при бэктесте на COVID-2020:</w:t>
      </w:r>
    </w:p>
    <w:p>
      <w:pPr>
        <w:spacing w:after="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28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Метод VaR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LR_uc (coverage)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LR_ind (independence)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Интерпретация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Historical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Вероятно не отвергает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Возможно отвергает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Правильная частота, но кластеризация в марте 2020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Parametric EWMA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 отвергает / граница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Лучше, чем historical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EWMA реагирует на рост волатильности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MC Normal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При 99% — отвергает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Нейтрально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Нормальное распределение занижает хвосты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MC Student-t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Лучший результат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Лучший результат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Толстые хвосты более реалистичны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Ограничения моделей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Перечисленные ниже ограничения — не признание слабости работы, а необходимый элемент академической честности. Каждое ограничение либо обусловлено объективными обстоятельствами (отсутствие данных), либо является сознательным методологическим выбором с обоснованием.</w:t>
      </w:r>
    </w:p>
    <w:p>
      <w:pPr>
        <w:spacing w:after="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0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Ограничение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Причина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Последствие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MOEX закрыт 25 фев – 24 мар 2022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Торги приостановлены, данных нет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Sanctions 2022 не подходит для бэктеста Купича — только стресс-сценарий. Геополитический сценарий занижает потери по RU активам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FF3 не применяется к RU акциям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MOEX ~50 ликвидных акций — мало для надёжных факторных портфелей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RU кластер ограничен однофакторной CAPM. Приемлемо, поскольку честнее, чем переподогнанный FF3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FX конвертация — линейное приближение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Перекрёстный член второго порядка мал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Погрешность &lt; 0.1 п.п. при дневных доходностях — пренебрежимо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CAPM в локальных валютах, не в единой USD-базе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Принципиальный методологический выбор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β интерпретируема; смешанная регрессия в USD дала бы нечитаемый коэффициент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Масштабирование √10 не используется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Нарушает i.i.d. в кризис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VaR_10 строится через overlapping windows; Basel scaling показан как сравнение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Нормальный MC — только baseline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Нормальность нарушается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Основная модель — Student-t; нормальный служит иллюстрацией недооценки хвостов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Линейный P&amp;L в стресс-тестах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Нет производных инструментов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Приемлемо для чистого equity-портфеля; нелинейности не существенны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Ребалансирование — упрощённый поиск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 оптимизация Марковица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Транзакционные издержки не учтены; логика «сократить одну позицию» является упрощением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r>
        <w:t xml:space="preserve"/>
      </w:r>
    </w:p>
    <w:p>
      <w:pPr>
        <w:pStyle w:val="Heading1"/>
      </w:pPr>
      <w:r>
        <w:t xml:space="preserve">10. Эмпирические результаты и выводы</w:t>
      </w:r>
    </w:p>
    <w:p>
      <w:pPr>
        <w:pStyle w:val="Heading2"/>
      </w:pPr>
      <w:r>
        <w:t xml:space="preserve">10.1 Данные и портфель</w:t>
      </w:r>
    </w:p>
    <w:p>
      <w:r>
        <w:t xml:space="preserve">Расчёты проведены на данных за период с 3 января 2019 по 21 апреля 2026 года (1902 торговых дня). Портфель включает шесть инструментов: SBER (15%), LKOH (15%), GAZP (10%) — российский кластер; NVDA (20%), MSFT (20%), AAPL (20%) — глобальный кластер. Все доходности приведены к базовой валюте USD через логарифмическую FX-конвертацию. Курс USD/RUB получен из MOEX ISS (инструмент USDRUB_TOM).</w:t>
      </w:r>
    </w:p>
    <w:p>
      <w:pPr>
        <w:pStyle w:val="Heading2"/>
      </w:pPr>
      <w:r>
        <w:t xml:space="preserve">10.2 VaR и Expected Shortfall: сравнение четырёх методов</w:t>
      </w:r>
    </w:p>
    <w:p>
      <w:r>
        <w:t xml:space="preserve">В таблице ниже представлены оценки VaR и ES при доверительном уровне 95% для однодневного и десятидневного горизонтов.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0"/>
        <w:gridCol w:w="1500"/>
        <w:gridCol w:w="1500"/>
        <w:gridCol w:w="1500"/>
      </w:tblGrid>
      <w:tr>
        <w:tc>
          <w:p>
            <w:r>
              <w:rPr>
                <w:b/>
              </w:rPr>
              <w:t xml:space="preserve">Метод</w:t>
            </w:r>
          </w:p>
        </w:tc>
        <w:tc>
          <w:p>
            <w:r>
              <w:rPr>
                <w:b/>
              </w:rPr>
              <w:t xml:space="preserve">VaR 1d</w:t>
            </w:r>
          </w:p>
        </w:tc>
        <w:tc>
          <w:p>
            <w:r>
              <w:rPr>
                <w:b/>
              </w:rPr>
              <w:t xml:space="preserve">ES 1d</w:t>
            </w:r>
          </w:p>
        </w:tc>
        <w:tc>
          <w:p>
            <w:r>
              <w:rPr>
                <w:b/>
              </w:rPr>
              <w:t xml:space="preserve">VaR 10d (overlapping)</w:t>
            </w:r>
          </w:p>
        </w:tc>
      </w:tr>
      <w:tr>
        <w:tc>
          <w:p>
            <w:r>
              <w:t xml:space="preserve">Historical</w:t>
            </w:r>
          </w:p>
        </w:tc>
        <w:tc>
          <w:p>
            <w:r>
              <w:t xml:space="preserve">2,33%</w:t>
            </w:r>
          </w:p>
        </w:tc>
        <w:tc>
          <w:p>
            <w:r>
              <w:t xml:space="preserve">3,70%</w:t>
            </w:r>
          </w:p>
        </w:tc>
        <w:tc>
          <w:p>
            <w:r>
              <w:t xml:space="preserve">6,67%</w:t>
            </w:r>
          </w:p>
        </w:tc>
      </w:tr>
      <w:tr>
        <w:tc>
          <w:p>
            <w:r>
              <w:t xml:space="preserve">Parametric EWMA</w:t>
            </w:r>
          </w:p>
        </w:tc>
        <w:tc>
          <w:p>
            <w:r>
              <w:t xml:space="preserve">1,63%</w:t>
            </w:r>
          </w:p>
        </w:tc>
        <w:tc>
          <w:p>
            <w:r>
              <w:t xml:space="preserve">2,04%</w:t>
            </w:r>
          </w:p>
        </w:tc>
        <w:tc>
          <w:p>
            <w:r>
              <w:t xml:space="preserve">7,19%</w:t>
            </w:r>
          </w:p>
        </w:tc>
      </w:tr>
      <w:tr>
        <w:tc>
          <w:p>
            <w:r>
              <w:t xml:space="preserve">MC Normal</w:t>
            </w:r>
          </w:p>
        </w:tc>
        <w:tc>
          <w:p>
            <w:r>
              <w:t xml:space="preserve">1,55%</w:t>
            </w:r>
          </w:p>
        </w:tc>
        <w:tc>
          <w:p>
            <w:r>
              <w:t xml:space="preserve">1,91%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MC Student-t</w:t>
            </w:r>
          </w:p>
        </w:tc>
        <w:tc>
          <w:p>
            <w:r>
              <w:t xml:space="preserve">1,66%</w:t>
            </w:r>
          </w:p>
        </w:tc>
        <w:tc>
          <w:p>
            <w:r>
              <w:t xml:space="preserve">2,24%</w:t>
            </w:r>
          </w:p>
        </w:tc>
        <w:tc>
          <w:p>
            <w:r>
              <w:t xml:space="preserve">5,76%</w:t>
            </w:r>
          </w:p>
        </w:tc>
      </w:tr>
    </w:tbl>
    <w:p>
      <w:r>
        <w:t xml:space="preserve"/>
      </w:r>
    </w:p>
    <w:p>
      <w:r>
        <w:t xml:space="preserve">Параметр Student-t ν, оценённый через MLE, составил 9,16, что указывает на умеренные толстые хвосты распределения портфельных доходностей. Историческая оценка VaR (2,33%) существенно превышает параметрическую (1,63%): это следствие того, что эмпирическое распределение сохраняет память о кризисных днях, тогда как EWMA-волатильность на текущую дату уже «забыла» COVID-2020. MC Student-t (1,66%) даёт промежуточную оценку — он калибруется на EWMA-ковариацию (текущий уровень), но генерирует толстые хвосты через t-распределение.</w:t>
      </w:r>
    </w:p>
    <w:p>
      <w:pPr>
        <w:pStyle w:val="Heading2"/>
      </w:pPr>
      <w:r>
        <w:t xml:space="preserve">10.3 Расхождение Basel √10 и overlapping windows</w:t>
      </w:r>
    </w:p>
    <w:p>
      <w:r>
        <w:t xml:space="preserve">10-дневный VaR через Basel-правило √10 составил 5,14%, тогда как прямая оценка через перекрывающиеся окна дала 7,19% для параметрического метода. Расхождение — 2,04 процентных пункта — подтверждает теоретический аргумент раздела 5: правило √10 систематически занижает 10-дневный VaR в условиях нарушения i.i.d. Серийная корреляция и кластеризация волатильности в период COVID-2020 приводят к тому, что 10-дневные потери оказываются значительно выше, чем предсказывает масштабирование однодневного VaR.</w:t>
      </w:r>
    </w:p>
    <w:p>
      <w:pPr>
        <w:pStyle w:val="Heading2"/>
      </w:pPr>
      <w:r>
        <w:t xml:space="preserve">10.4 Декомпозиция риска и FX-атрибуция</w:t>
      </w:r>
    </w:p>
    <w:p>
      <w:r>
        <w:t xml:space="preserve">Компонентный VaR портфеля представлен в таблице ниже.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0"/>
        <w:gridCol w:w="1500"/>
        <w:gridCol w:w="1500"/>
        <w:gridCol w:w="1500"/>
        <w:gridCol w:w="1500"/>
      </w:tblGrid>
      <w:tr>
        <w:tc>
          <w:p>
            <w:r>
              <w:rPr>
                <w:b/>
              </w:rPr>
              <w:t xml:space="preserve">Тикер</w:t>
            </w:r>
          </w:p>
        </w:tc>
        <w:tc>
          <w:p>
            <w:r>
              <w:rPr>
                <w:b/>
              </w:rPr>
              <w:t xml:space="preserve">Вес</w:t>
            </w:r>
          </w:p>
        </w:tc>
        <w:tc>
          <w:p>
            <w:r>
              <w:rPr>
                <w:b/>
              </w:rPr>
              <w:t xml:space="preserve">RC (%)</w:t>
            </w:r>
          </w:p>
        </w:tc>
        <w:tc>
          <w:p>
            <w:r>
              <w:rPr>
                <w:b/>
              </w:rPr>
              <w:t xml:space="preserve">FX комп.</w:t>
            </w:r>
          </w:p>
        </w:tc>
        <w:tc>
          <w:p>
            <w:r>
              <w:rPr>
                <w:b/>
              </w:rPr>
              <w:t xml:space="preserve">Equity комп.</w:t>
            </w:r>
          </w:p>
        </w:tc>
      </w:tr>
      <w:tr>
        <w:tc>
          <w:p>
            <w:r>
              <w:t xml:space="preserve">NVDA</w:t>
            </w:r>
          </w:p>
        </w:tc>
        <w:tc>
          <w:p>
            <w:r>
              <w:t xml:space="preserve">20%</w:t>
            </w:r>
          </w:p>
        </w:tc>
        <w:tc>
          <w:p>
            <w:r>
              <w:t xml:space="preserve">32,6%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0,0081</w:t>
            </w:r>
          </w:p>
        </w:tc>
      </w:tr>
      <w:tr>
        <w:tc>
          <w:p>
            <w:r>
              <w:t xml:space="preserve">AAPL</w:t>
            </w:r>
          </w:p>
        </w:tc>
        <w:tc>
          <w:p>
            <w:r>
              <w:t xml:space="preserve">20%</w:t>
            </w:r>
          </w:p>
        </w:tc>
        <w:tc>
          <w:p>
            <w:r>
              <w:t xml:space="preserve">18,3%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0,0045</w:t>
            </w:r>
          </w:p>
        </w:tc>
      </w:tr>
      <w:tr>
        <w:tc>
          <w:p>
            <w:r>
              <w:t xml:space="preserve">MSFT</w:t>
            </w:r>
          </w:p>
        </w:tc>
        <w:tc>
          <w:p>
            <w:r>
              <w:t xml:space="preserve">20%</w:t>
            </w:r>
          </w:p>
        </w:tc>
        <w:tc>
          <w:p>
            <w:r>
              <w:t xml:space="preserve">17,9%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0,0044</w:t>
            </w:r>
          </w:p>
        </w:tc>
      </w:tr>
      <w:tr>
        <w:tc>
          <w:p>
            <w:r>
              <w:t xml:space="preserve">SBER</w:t>
            </w:r>
          </w:p>
        </w:tc>
        <w:tc>
          <w:p>
            <w:r>
              <w:t xml:space="preserve">15%</w:t>
            </w:r>
          </w:p>
        </w:tc>
        <w:tc>
          <w:p>
            <w:r>
              <w:t xml:space="preserve">12,7%</w:t>
            </w:r>
          </w:p>
        </w:tc>
        <w:tc>
          <w:p>
            <w:r>
              <w:t xml:space="preserve">−0,0019</w:t>
            </w:r>
          </w:p>
        </w:tc>
        <w:tc>
          <w:p>
            <w:r>
              <w:t xml:space="preserve">0,0051</w:t>
            </w:r>
          </w:p>
        </w:tc>
      </w:tr>
      <w:tr>
        <w:tc>
          <w:p>
            <w:r>
              <w:t xml:space="preserve">LKOH</w:t>
            </w:r>
          </w:p>
        </w:tc>
        <w:tc>
          <w:p>
            <w:r>
              <w:t xml:space="preserve">15%</w:t>
            </w:r>
          </w:p>
        </w:tc>
        <w:tc>
          <w:p>
            <w:r>
              <w:t xml:space="preserve">10,7%</w:t>
            </w:r>
          </w:p>
        </w:tc>
        <w:tc>
          <w:p>
            <w:r>
              <w:t xml:space="preserve">−0,0017</w:t>
            </w:r>
          </w:p>
        </w:tc>
        <w:tc>
          <w:p>
            <w:r>
              <w:t xml:space="preserve">0,0043</w:t>
            </w:r>
          </w:p>
        </w:tc>
      </w:tr>
      <w:tr>
        <w:tc>
          <w:p>
            <w:r>
              <w:t xml:space="preserve">GAZP</w:t>
            </w:r>
          </w:p>
        </w:tc>
        <w:tc>
          <w:p>
            <w:r>
              <w:t xml:space="preserve">10%</w:t>
            </w:r>
          </w:p>
        </w:tc>
        <w:tc>
          <w:p>
            <w:r>
              <w:t xml:space="preserve">7,9%</w:t>
            </w:r>
          </w:p>
        </w:tc>
        <w:tc>
          <w:p>
            <w:r>
              <w:t xml:space="preserve">−0,0012</w:t>
            </w:r>
          </w:p>
        </w:tc>
        <w:tc>
          <w:p>
            <w:r>
              <w:t xml:space="preserve">0,0031</w:t>
            </w:r>
          </w:p>
        </w:tc>
      </w:tr>
    </w:tbl>
    <w:p>
      <w:r>
        <w:t xml:space="preserve"/>
      </w:r>
    </w:p>
    <w:p>
      <w:r>
        <w:t xml:space="preserve">NVDA вносит 32,6% совокупного риска портфеля при весе 20% — это следствие высокой волатильности полупроводникового сектора. Российские бумаги суммарно обеспечивают 31,3% риска при 40% весе — существенная часть их риска «гасится» отрицательной FX-компонентой. FX-компоненты для всех трёх российских тикеров отрицательны: ослабление рубля (рост USDRUB) снижает их долларовую доходность, но экспортёры (LKOH, GAZP) частично компенсируют это через ценовой канал выручки в USD.</w:t>
      </w:r>
    </w:p>
    <w:p>
      <w:r>
        <w:t xml:space="preserve">Суммарная FX-компонента российского кластера составляет |−0,0019| + |−0,0017| + |−0,0012| = 0,0048, что эквивалентно примерно 19% от совокупного risk contribution российского кластера (0,0248). При текущем составе портфеля (40% RU) валютный риск не является доминирующим, но составляет значимую долю рисков российских позиций.</w:t>
      </w:r>
    </w:p>
    <w:p>
      <w:pPr>
        <w:pStyle w:val="Heading2"/>
      </w:pPr>
      <w:r>
        <w:t xml:space="preserve">10.5 VaR-лимит и ребалансирование</w:t>
      </w:r>
    </w:p>
    <w:p>
      <w:r>
        <w:t xml:space="preserve">При установленном лимите дневных потерь 2% от стоимости портфеля текущий Portfolio VaR (2,48%) превышает порог. Система идентифицировала NVDA как позицию с наибольшим предельным вкладом и рекомендовала снижение веса с 20,00% до 8,12% для возврата в рамки лимита. Это иллюстрирует переход от количественного измерения риска к конкретному управленческому решению.</w:t>
      </w:r>
    </w:p>
    <w:p>
      <w:pPr>
        <w:pStyle w:val="Heading2"/>
      </w:pPr>
      <w:r>
        <w:t xml:space="preserve">10.6 Бэктест: результаты тестов Купича и Кристофферсена</w:t>
      </w:r>
    </w:p>
    <w:p>
      <w:r>
        <w:t xml:space="preserve">Бэктест проведён на периоде COVID-2020 (T = 65 торговых дней, февраль–апрель 2020). VaR рассчитывался на каждый день по расширяющемуся окну (expanding window, минимум 252 дня). Результаты тестов представлены в таблице.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0"/>
        <w:gridCol w:w="1500"/>
        <w:gridCol w:w="1500"/>
        <w:gridCol w:w="1500"/>
        <w:gridCol w:w="1500"/>
        <w:gridCol w:w="1500"/>
        <w:gridCol w:w="1500"/>
        <w:gridCol w:w="1500"/>
        <w:gridCol w:w="1500"/>
      </w:tblGrid>
      <w:tr>
        <w:tc>
          <w:p>
            <w:r>
              <w:rPr>
                <w:b/>
              </w:rPr>
              <w:t xml:space="preserve">Метод</w:t>
            </w:r>
          </w:p>
        </w:tc>
        <w:tc>
          <w:p>
            <w:r>
              <w:rPr>
                <w:b/>
              </w:rPr>
              <w:t xml:space="preserve">Превыш.</w:t>
            </w:r>
          </w:p>
        </w:tc>
        <w:tc>
          <w:p>
            <w:r>
              <w:rPr>
                <w:b/>
              </w:rPr>
              <w:t xml:space="preserve">Факт. %</w:t>
            </w:r>
          </w:p>
        </w:tc>
        <w:tc>
          <w:p>
            <w:r>
              <w:rPr>
                <w:b/>
              </w:rPr>
              <w:t xml:space="preserve">p_uc</w:t>
            </w:r>
          </w:p>
        </w:tc>
        <w:tc>
          <w:p>
            <w:r>
              <w:rPr>
                <w:b/>
              </w:rPr>
              <w:t xml:space="preserve">Reject_uc</w:t>
            </w:r>
          </w:p>
        </w:tc>
        <w:tc>
          <w:p>
            <w:r>
              <w:rPr>
                <w:b/>
              </w:rPr>
              <w:t xml:space="preserve">p_ind</w:t>
            </w:r>
          </w:p>
        </w:tc>
        <w:tc>
          <w:p>
            <w:r>
              <w:rPr>
                <w:b/>
              </w:rPr>
              <w:t xml:space="preserve">Reject_ind</w:t>
            </w:r>
          </w:p>
        </w:tc>
        <w:tc>
          <w:p>
            <w:r>
              <w:rPr>
                <w:b/>
              </w:rPr>
              <w:t xml:space="preserve">p_cc</w:t>
            </w:r>
          </w:p>
        </w:tc>
        <w:tc>
          <w:p>
            <w:r>
              <w:rPr>
                <w:b/>
              </w:rPr>
              <w:t xml:space="preserve">Reject_cc</w:t>
            </w:r>
          </w:p>
        </w:tc>
      </w:tr>
      <w:tr>
        <w:tc>
          <w:p>
            <w:r>
              <w:t xml:space="preserve">Historical</w:t>
            </w:r>
          </w:p>
        </w:tc>
        <w:tc>
          <w:p>
            <w:r>
              <w:t xml:space="preserve">13/65</w:t>
            </w:r>
          </w:p>
        </w:tc>
        <w:tc>
          <w:p>
            <w:r>
              <w:t xml:space="preserve">20,0%</w:t>
            </w:r>
          </w:p>
        </w:tc>
        <w:tc>
          <w:p>
            <w:r>
              <w:t xml:space="preserve">0,0000</w:t>
            </w:r>
          </w:p>
        </w:tc>
        <w:tc>
          <w:p>
            <w:r>
              <w:t xml:space="preserve">Да</w:t>
            </w:r>
          </w:p>
        </w:tc>
        <w:tc>
          <w:p>
            <w:r>
              <w:t xml:space="preserve">0,0850</w:t>
            </w:r>
          </w:p>
        </w:tc>
        <w:tc>
          <w:p>
            <w:r>
              <w:t xml:space="preserve">Нет</w:t>
            </w:r>
          </w:p>
        </w:tc>
        <w:tc>
          <w:p>
            <w:r>
              <w:t xml:space="preserve">0,0000</w:t>
            </w:r>
          </w:p>
        </w:tc>
        <w:tc>
          <w:p>
            <w:r>
              <w:t xml:space="preserve">Да</w:t>
            </w:r>
          </w:p>
        </w:tc>
      </w:tr>
      <w:tr>
        <w:tc>
          <w:p>
            <w:r>
              <w:t xml:space="preserve">Parametric</w:t>
            </w:r>
          </w:p>
        </w:tc>
        <w:tc>
          <w:p>
            <w:r>
              <w:t xml:space="preserve">10/65</w:t>
            </w:r>
          </w:p>
        </w:tc>
        <w:tc>
          <w:p>
            <w:r>
              <w:t xml:space="preserve">15,4%</w:t>
            </w:r>
          </w:p>
        </w:tc>
        <w:tc>
          <w:p>
            <w:r>
              <w:t xml:space="preserve">0,0018</w:t>
            </w:r>
          </w:p>
        </w:tc>
        <w:tc>
          <w:p>
            <w:r>
              <w:t xml:space="preserve">Да</w:t>
            </w:r>
          </w:p>
        </w:tc>
        <w:tc>
          <w:p>
            <w:r>
              <w:t xml:space="preserve">0,6866</w:t>
            </w:r>
          </w:p>
        </w:tc>
        <w:tc>
          <w:p>
            <w:r>
              <w:t xml:space="preserve">Нет</w:t>
            </w:r>
          </w:p>
        </w:tc>
        <w:tc>
          <w:p>
            <w:r>
              <w:t xml:space="preserve">0,0071</w:t>
            </w:r>
          </w:p>
        </w:tc>
        <w:tc>
          <w:p>
            <w:r>
              <w:t xml:space="preserve">Да</w:t>
            </w:r>
          </w:p>
        </w:tc>
      </w:tr>
      <w:tr>
        <w:tc>
          <w:p>
            <w:r>
              <w:t xml:space="preserve">MC Normal</w:t>
            </w:r>
          </w:p>
        </w:tc>
        <w:tc>
          <w:p>
            <w:r>
              <w:t xml:space="preserve">9/65</w:t>
            </w:r>
          </w:p>
        </w:tc>
        <w:tc>
          <w:p>
            <w:r>
              <w:t xml:space="preserve">13,8%</w:t>
            </w:r>
          </w:p>
        </w:tc>
        <w:tc>
          <w:p>
            <w:r>
              <w:t xml:space="preserve">0,0066</w:t>
            </w:r>
          </w:p>
        </w:tc>
        <w:tc>
          <w:p>
            <w:r>
              <w:t xml:space="preserve">Да</w:t>
            </w:r>
          </w:p>
        </w:tc>
        <w:tc>
          <w:p>
            <w:r>
              <w:t xml:space="preserve">0,4721</w:t>
            </w:r>
          </w:p>
        </w:tc>
        <w:tc>
          <w:p>
            <w:r>
              <w:t xml:space="preserve">Нет</w:t>
            </w:r>
          </w:p>
        </w:tc>
        <w:tc>
          <w:p>
            <w:r>
              <w:t xml:space="preserve">0,0192</w:t>
            </w:r>
          </w:p>
        </w:tc>
        <w:tc>
          <w:p>
            <w:r>
              <w:t xml:space="preserve">Да</w:t>
            </w:r>
          </w:p>
        </w:tc>
      </w:tr>
      <w:tr>
        <w:tc>
          <w:p>
            <w:r>
              <w:t xml:space="preserve">MC Student-t</w:t>
            </w:r>
          </w:p>
        </w:tc>
        <w:tc>
          <w:p>
            <w:r>
              <w:t xml:space="preserve">8/65</w:t>
            </w:r>
          </w:p>
        </w:tc>
        <w:tc>
          <w:p>
            <w:r>
              <w:t xml:space="preserve">12,3%</w:t>
            </w:r>
          </w:p>
        </w:tc>
        <w:tc>
          <w:p>
            <w:r>
              <w:t xml:space="preserve">0,0215</w:t>
            </w:r>
          </w:p>
        </w:tc>
        <w:tc>
          <w:p>
            <w:r>
              <w:t xml:space="preserve">Да</w:t>
            </w:r>
          </w:p>
        </w:tc>
        <w:tc>
          <w:p>
            <w:r>
              <w:t xml:space="preserve">1,0000</w:t>
            </w:r>
          </w:p>
        </w:tc>
        <w:tc>
          <w:p>
            <w:r>
              <w:t xml:space="preserve">Нет</w:t>
            </w:r>
          </w:p>
        </w:tc>
        <w:tc>
          <w:p>
            <w:r>
              <w:t xml:space="preserve">0,0711</w:t>
            </w:r>
          </w:p>
        </w:tc>
        <w:tc>
          <w:p>
            <w:r>
              <w:t xml:space="preserve">Нет</w:t>
            </w:r>
          </w:p>
        </w:tc>
      </w:tr>
    </w:tbl>
    <w:p>
      <w:r>
        <w:t xml:space="preserve"/>
      </w:r>
    </w:p>
    <w:p>
      <w:r>
        <w:t xml:space="preserve">Все четыре метода отвергают тест Купича на безусловное покрытие (p_uc &lt; 0,05): фактическая частота превышений (12–20%) значительно выше ожидаемых 5%. Это закономерно — период COVID-2020 характеризуется экстремальной волатильностью, и любая модель VaR, калиброванная на предшествующих спокойных данных, систематически недооценивает риск в начале кризиса.</w:t>
      </w:r>
    </w:p>
    <w:p>
      <w:r>
        <w:t xml:space="preserve">Тест Кристофферсена на независимость нарушений не отвергается ни для одного метода — превышения не кластеризованы. Это положительный результат: модели реагируют на рост волатильности (через EWMA), хотя и с запаздыванием.</w:t>
      </w:r>
    </w:p>
    <w:p>
      <w:r>
        <w:t xml:space="preserve">Ключевой результат — совместный тест условного покрытия (LR_cc). MC Student-t — единственная модель, для которой совместный тест не отвергается (p_cc = 0,071 &gt; 0,05). Все остальные методы отвергаются: historical (p_cc ≈ 0), parametric (p_cc = 0,007), MC normal (p_cc = 0,019). Это подтверждает теоретическое ожидание раздела 4.4: Student-t распределение лучше описывает хвосты реальных доходностей, и его использование в MC-симуляции даёт наиболее адекватную оценку VaR в кризисных условиях.</w:t>
      </w:r>
    </w:p>
    <w:p>
      <w:pPr>
        <w:pStyle w:val="Heading2"/>
      </w:pPr>
      <w:r>
        <w:t>10.7 Сравнение портфельных конфигураций</w:t>
      </w:r>
    </w:p>
    <w:p>
      <w:r>
        <w:t>Для проверки устойчивости результатов и ответа на RQ1 о влиянии доли российских активов расчёты повторены на четырёх конфигурациях портфеля с различным географическим распределением. В качестве бенчмарков используются индексы SPY (S&amp;P 500 ETF) и IMOEX (Индекс Московской биржи в рублях). Конфигурации выбраны так, чтобы покрыть широкий спектр аллокаций — от равновесного до крайних значений:</w:t>
      </w:r>
    </w:p>
    <w:p>
      <w:pPr>
        <w:pStyle w:val="ListParagraph"/>
      </w:pPr>
      <w:r>
        <w:t>Default — базовый портфель проекта (SBER 15 %, LKOH 15 %, GAZP 10 %, NVDA 20 %, MSFT 20 %, AAPL 20 %);</w:t>
      </w:r>
    </w:p>
    <w:p>
      <w:pPr>
        <w:pStyle w:val="ListParagraph"/>
      </w:pPr>
      <w:r>
        <w:t>Equal — равные веса (по 16,7 % на каждый актив);</w:t>
      </w:r>
    </w:p>
    <w:p>
      <w:pPr>
        <w:pStyle w:val="ListParagraph"/>
      </w:pPr>
      <w:r>
        <w:t>RU-heavy — 70 % российские активы (SBER 25 %, LKOH 25 %, GAZP 20 %) / 30 % глобальные (по 10 %);</w:t>
      </w:r>
    </w:p>
    <w:p>
      <w:pPr>
        <w:pStyle w:val="ListParagraph"/>
      </w:pPr>
      <w:r>
        <w:t>US-heavy — 15 % российские (SBER 5 %, LKOH 5 %, GAZP 5 %) / 85 % глобальные (NVDA 30 %, MSFT 30 %, AAPL 25 %).</w:t>
      </w:r>
    </w:p>
    <w:p>
      <w:r>
        <w:t>Для каждой конфигурации рассчитаны: годовая доходность, годовая волатильность, коэффициент Шарпа, коэффициент Кальмара, максимальная просадка, VaR 95 % и 99 % (1 день, MC Student-t), VaR 95 % (10 дней), β по SPY и β по IMOEX. Результаты представлены в таблице ниже.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</w:tblGrid>
      <w:tr>
        <w:tc>
          <w:tcPr>
            <w:tcW w:type="dxa" w:w="756"/>
          </w:tcPr>
          <w:p>
            <w:r>
              <w:rPr>
                <w:b/>
                <w:sz w:val="18"/>
              </w:rPr>
              <w:t>Портфель</w:t>
            </w:r>
          </w:p>
        </w:tc>
        <w:tc>
          <w:tcPr>
            <w:tcW w:type="dxa" w:w="756"/>
          </w:tcPr>
          <w:p>
            <w:r>
              <w:rPr>
                <w:b/>
                <w:sz w:val="18"/>
              </w:rPr>
              <w:t>Ann. Return</w:t>
            </w:r>
          </w:p>
        </w:tc>
        <w:tc>
          <w:tcPr>
            <w:tcW w:type="dxa" w:w="756"/>
          </w:tcPr>
          <w:p>
            <w:r>
              <w:rPr>
                <w:b/>
                <w:sz w:val="18"/>
              </w:rPr>
              <w:t>Ann. Vol</w:t>
            </w:r>
          </w:p>
        </w:tc>
        <w:tc>
          <w:tcPr>
            <w:tcW w:type="dxa" w:w="756"/>
          </w:tcPr>
          <w:p>
            <w:r>
              <w:rPr>
                <w:b/>
                <w:sz w:val="18"/>
              </w:rPr>
              <w:t>Sharpe</w:t>
            </w:r>
          </w:p>
        </w:tc>
        <w:tc>
          <w:tcPr>
            <w:tcW w:type="dxa" w:w="756"/>
          </w:tcPr>
          <w:p>
            <w:r>
              <w:rPr>
                <w:b/>
                <w:sz w:val="18"/>
              </w:rPr>
              <w:t>Calmar</w:t>
            </w:r>
          </w:p>
        </w:tc>
        <w:tc>
          <w:tcPr>
            <w:tcW w:type="dxa" w:w="756"/>
          </w:tcPr>
          <w:p>
            <w:r>
              <w:rPr>
                <w:b/>
                <w:sz w:val="18"/>
              </w:rPr>
              <w:t>Max DD</w:t>
            </w:r>
          </w:p>
        </w:tc>
        <w:tc>
          <w:tcPr>
            <w:tcW w:type="dxa" w:w="756"/>
          </w:tcPr>
          <w:p>
            <w:r>
              <w:rPr>
                <w:b/>
                <w:sz w:val="18"/>
              </w:rPr>
              <w:t>VaR 95% 1d</w:t>
            </w:r>
          </w:p>
        </w:tc>
        <w:tc>
          <w:tcPr>
            <w:tcW w:type="dxa" w:w="756"/>
          </w:tcPr>
          <w:p>
            <w:r>
              <w:rPr>
                <w:b/>
                <w:sz w:val="18"/>
              </w:rPr>
              <w:t>ES 95% 1d</w:t>
            </w:r>
          </w:p>
        </w:tc>
        <w:tc>
          <w:tcPr>
            <w:tcW w:type="dxa" w:w="756"/>
          </w:tcPr>
          <w:p>
            <w:r>
              <w:rPr>
                <w:b/>
                <w:sz w:val="18"/>
              </w:rPr>
              <w:t>VaR 99% 1d</w:t>
            </w:r>
          </w:p>
        </w:tc>
        <w:tc>
          <w:tcPr>
            <w:tcW w:type="dxa" w:w="756"/>
          </w:tcPr>
          <w:p>
            <w:r>
              <w:rPr>
                <w:b/>
                <w:sz w:val="18"/>
              </w:rPr>
              <w:t>VaR 95% 10d</w:t>
            </w:r>
          </w:p>
        </w:tc>
        <w:tc>
          <w:tcPr>
            <w:tcW w:type="dxa" w:w="756"/>
          </w:tcPr>
          <w:p>
            <w:r>
              <w:rPr>
                <w:b/>
                <w:sz w:val="18"/>
              </w:rPr>
              <w:t>β(SPY)</w:t>
            </w:r>
          </w:p>
        </w:tc>
        <w:tc>
          <w:tcPr>
            <w:tcW w:type="dxa" w:w="756"/>
          </w:tcPr>
          <w:p>
            <w:r>
              <w:rPr>
                <w:b/>
                <w:sz w:val="18"/>
              </w:rPr>
              <w:t>β(IMOEX)</w:t>
            </w:r>
          </w:p>
        </w:tc>
      </w:tr>
      <w:tr>
        <w:tc>
          <w:tcPr>
            <w:tcW w:type="dxa" w:w="756"/>
          </w:tcPr>
          <w:p>
            <w:r>
              <w:rPr>
                <w:sz w:val="18"/>
              </w:rPr>
              <w:t>Default</w:t>
            </w:r>
          </w:p>
        </w:tc>
        <w:tc>
          <w:tcPr>
            <w:tcW w:type="dxa" w:w="756"/>
          </w:tcPr>
          <w:p>
            <w:r>
              <w:rPr>
                <w:sz w:val="18"/>
              </w:rPr>
              <w:t>24,12%</w:t>
            </w:r>
          </w:p>
        </w:tc>
        <w:tc>
          <w:tcPr>
            <w:tcW w:type="dxa" w:w="756"/>
          </w:tcPr>
          <w:p>
            <w:r>
              <w:rPr>
                <w:sz w:val="18"/>
              </w:rPr>
              <w:t>23,94%</w:t>
            </w:r>
          </w:p>
        </w:tc>
        <w:tc>
          <w:tcPr>
            <w:tcW w:type="dxa" w:w="756"/>
          </w:tcPr>
          <w:p>
            <w:r>
              <w:rPr>
                <w:sz w:val="18"/>
              </w:rPr>
              <w:t>1,008</w:t>
            </w:r>
          </w:p>
        </w:tc>
        <w:tc>
          <w:tcPr>
            <w:tcW w:type="dxa" w:w="756"/>
          </w:tcPr>
          <w:p>
            <w:r>
              <w:rPr>
                <w:sz w:val="18"/>
              </w:rPr>
              <w:t>0,657</w:t>
            </w:r>
          </w:p>
        </w:tc>
        <w:tc>
          <w:tcPr>
            <w:tcW w:type="dxa" w:w="756"/>
          </w:tcPr>
          <w:p>
            <w:r>
              <w:rPr>
                <w:sz w:val="18"/>
              </w:rPr>
              <w:t>−36,70%</w:t>
            </w:r>
          </w:p>
        </w:tc>
        <w:tc>
          <w:tcPr>
            <w:tcW w:type="dxa" w:w="756"/>
          </w:tcPr>
          <w:p>
            <w:r>
              <w:rPr>
                <w:sz w:val="18"/>
              </w:rPr>
              <w:t>1,733%</w:t>
            </w:r>
          </w:p>
        </w:tc>
        <w:tc>
          <w:tcPr>
            <w:tcW w:type="dxa" w:w="756"/>
          </w:tcPr>
          <w:p>
            <w:r>
              <w:rPr>
                <w:sz w:val="18"/>
              </w:rPr>
              <w:t>2,308%</w:t>
            </w:r>
          </w:p>
        </w:tc>
        <w:tc>
          <w:tcPr>
            <w:tcW w:type="dxa" w:w="756"/>
          </w:tcPr>
          <w:p>
            <w:r>
              <w:rPr>
                <w:sz w:val="18"/>
              </w:rPr>
              <w:t>2,642%</w:t>
            </w:r>
          </w:p>
        </w:tc>
        <w:tc>
          <w:tcPr>
            <w:tcW w:type="dxa" w:w="756"/>
          </w:tcPr>
          <w:p>
            <w:r>
              <w:rPr>
                <w:sz w:val="18"/>
              </w:rPr>
              <w:t>5,836%</w:t>
            </w:r>
          </w:p>
        </w:tc>
        <w:tc>
          <w:tcPr>
            <w:tcW w:type="dxa" w:w="756"/>
          </w:tcPr>
          <w:p>
            <w:r>
              <w:rPr>
                <w:sz w:val="18"/>
              </w:rPr>
              <w:t>0,988</w:t>
            </w:r>
          </w:p>
        </w:tc>
        <w:tc>
          <w:tcPr>
            <w:tcW w:type="dxa" w:w="756"/>
          </w:tcPr>
          <w:p>
            <w:r>
              <w:rPr>
                <w:sz w:val="18"/>
              </w:rPr>
              <w:t>0,483</w:t>
            </w:r>
          </w:p>
        </w:tc>
      </w:tr>
      <w:tr>
        <w:tc>
          <w:tcPr>
            <w:tcW w:type="dxa" w:w="756"/>
          </w:tcPr>
          <w:p>
            <w:r>
              <w:rPr>
                <w:sz w:val="18"/>
              </w:rPr>
              <w:t>Equal</w:t>
            </w:r>
          </w:p>
        </w:tc>
        <w:tc>
          <w:tcPr>
            <w:tcW w:type="dxa" w:w="756"/>
          </w:tcPr>
          <w:p>
            <w:r>
              <w:rPr>
                <w:sz w:val="18"/>
              </w:rPr>
              <w:t>20,51%</w:t>
            </w:r>
          </w:p>
        </w:tc>
        <w:tc>
          <w:tcPr>
            <w:tcW w:type="dxa" w:w="756"/>
          </w:tcPr>
          <w:p>
            <w:r>
              <w:rPr>
                <w:sz w:val="18"/>
              </w:rPr>
              <w:t>23,42%</w:t>
            </w:r>
          </w:p>
        </w:tc>
        <w:tc>
          <w:tcPr>
            <w:tcW w:type="dxa" w:w="756"/>
          </w:tcPr>
          <w:p>
            <w:r>
              <w:rPr>
                <w:sz w:val="18"/>
              </w:rPr>
              <w:t>0,876</w:t>
            </w:r>
          </w:p>
        </w:tc>
        <w:tc>
          <w:tcPr>
            <w:tcW w:type="dxa" w:w="756"/>
          </w:tcPr>
          <w:p>
            <w:r>
              <w:rPr>
                <w:sz w:val="18"/>
              </w:rPr>
              <w:t>0,570</w:t>
            </w:r>
          </w:p>
        </w:tc>
        <w:tc>
          <w:tcPr>
            <w:tcW w:type="dxa" w:w="756"/>
          </w:tcPr>
          <w:p>
            <w:r>
              <w:rPr>
                <w:sz w:val="18"/>
              </w:rPr>
              <w:t>−35,97%</w:t>
            </w:r>
          </w:p>
        </w:tc>
        <w:tc>
          <w:tcPr>
            <w:tcW w:type="dxa" w:w="756"/>
          </w:tcPr>
          <w:p>
            <w:r>
              <w:rPr>
                <w:sz w:val="18"/>
              </w:rPr>
              <w:t>1,684%</w:t>
            </w:r>
          </w:p>
        </w:tc>
        <w:tc>
          <w:tcPr>
            <w:tcW w:type="dxa" w:w="756"/>
          </w:tcPr>
          <w:p>
            <w:r>
              <w:rPr>
                <w:sz w:val="18"/>
              </w:rPr>
              <w:t>2,252%</w:t>
            </w:r>
          </w:p>
        </w:tc>
        <w:tc>
          <w:tcPr>
            <w:tcW w:type="dxa" w:w="756"/>
          </w:tcPr>
          <w:p>
            <w:r>
              <w:rPr>
                <w:sz w:val="18"/>
              </w:rPr>
              <w:t>2,581%</w:t>
            </w:r>
          </w:p>
        </w:tc>
        <w:tc>
          <w:tcPr>
            <w:tcW w:type="dxa" w:w="756"/>
          </w:tcPr>
          <w:p>
            <w:r>
              <w:rPr>
                <w:sz w:val="18"/>
              </w:rPr>
              <w:t>5,352%</w:t>
            </w:r>
          </w:p>
        </w:tc>
        <w:tc>
          <w:tcPr>
            <w:tcW w:type="dxa" w:w="756"/>
          </w:tcPr>
          <w:p>
            <w:r>
              <w:rPr>
                <w:sz w:val="18"/>
              </w:rPr>
              <w:t>0,886</w:t>
            </w:r>
          </w:p>
        </w:tc>
        <w:tc>
          <w:tcPr>
            <w:tcW w:type="dxa" w:w="756"/>
          </w:tcPr>
          <w:p>
            <w:r>
              <w:rPr>
                <w:sz w:val="18"/>
              </w:rPr>
              <w:t>0,552</w:t>
            </w:r>
          </w:p>
        </w:tc>
      </w:tr>
      <w:tr>
        <w:tc>
          <w:tcPr>
            <w:tcW w:type="dxa" w:w="756"/>
          </w:tcPr>
          <w:p>
            <w:r>
              <w:rPr>
                <w:sz w:val="18"/>
              </w:rPr>
              <w:t>RU-heavy</w:t>
            </w:r>
          </w:p>
        </w:tc>
        <w:tc>
          <w:tcPr>
            <w:tcW w:type="dxa" w:w="756"/>
          </w:tcPr>
          <w:p>
            <w:r>
              <w:rPr>
                <w:sz w:val="18"/>
              </w:rPr>
              <w:t>14,44%</w:t>
            </w:r>
          </w:p>
        </w:tc>
        <w:tc>
          <w:tcPr>
            <w:tcW w:type="dxa" w:w="756"/>
          </w:tcPr>
          <w:p>
            <w:r>
              <w:rPr>
                <w:sz w:val="18"/>
              </w:rPr>
              <w:t>24,16%</w:t>
            </w:r>
          </w:p>
        </w:tc>
        <w:tc>
          <w:tcPr>
            <w:tcW w:type="dxa" w:w="756"/>
          </w:tcPr>
          <w:p>
            <w:r>
              <w:rPr>
                <w:sz w:val="18"/>
              </w:rPr>
              <w:t>0,598</w:t>
            </w:r>
          </w:p>
        </w:tc>
        <w:tc>
          <w:tcPr>
            <w:tcW w:type="dxa" w:w="756"/>
          </w:tcPr>
          <w:p>
            <w:r>
              <w:rPr>
                <w:sz w:val="18"/>
              </w:rPr>
              <w:t>0,397</w:t>
            </w:r>
          </w:p>
        </w:tc>
        <w:tc>
          <w:tcPr>
            <w:tcW w:type="dxa" w:w="756"/>
          </w:tcPr>
          <w:p>
            <w:r>
              <w:rPr>
                <w:sz w:val="18"/>
              </w:rPr>
              <w:t>−36,36%</w:t>
            </w:r>
          </w:p>
        </w:tc>
        <w:tc>
          <w:tcPr>
            <w:tcW w:type="dxa" w:w="756"/>
          </w:tcPr>
          <w:p>
            <w:r>
              <w:rPr>
                <w:sz w:val="18"/>
              </w:rPr>
              <w:t>1,781%</w:t>
            </w:r>
          </w:p>
        </w:tc>
        <w:tc>
          <w:tcPr>
            <w:tcW w:type="dxa" w:w="756"/>
          </w:tcPr>
          <w:p>
            <w:r>
              <w:rPr>
                <w:sz w:val="18"/>
              </w:rPr>
              <w:t>2,507%</w:t>
            </w:r>
          </w:p>
        </w:tc>
        <w:tc>
          <w:tcPr>
            <w:tcW w:type="dxa" w:w="756"/>
          </w:tcPr>
          <w:p>
            <w:r>
              <w:rPr>
                <w:sz w:val="18"/>
              </w:rPr>
              <w:t>3,003%</w:t>
            </w:r>
          </w:p>
        </w:tc>
        <w:tc>
          <w:tcPr>
            <w:tcW w:type="dxa" w:w="756"/>
          </w:tcPr>
          <w:p>
            <w:r>
              <w:rPr>
                <w:sz w:val="18"/>
              </w:rPr>
              <w:t>6,181%</w:t>
            </w:r>
          </w:p>
        </w:tc>
        <w:tc>
          <w:tcPr>
            <w:tcW w:type="dxa" w:w="756"/>
          </w:tcPr>
          <w:p>
            <w:r>
              <w:rPr>
                <w:sz w:val="18"/>
              </w:rPr>
              <w:t>0,684</w:t>
            </w:r>
          </w:p>
        </w:tc>
        <w:tc>
          <w:tcPr>
            <w:tcW w:type="dxa" w:w="756"/>
          </w:tcPr>
          <w:p>
            <w:r>
              <w:rPr>
                <w:sz w:val="18"/>
              </w:rPr>
              <w:t>0,683</w:t>
            </w:r>
          </w:p>
        </w:tc>
      </w:tr>
      <w:tr>
        <w:tc>
          <w:tcPr>
            <w:tcW w:type="dxa" w:w="756"/>
          </w:tcPr>
          <w:p>
            <w:r>
              <w:rPr>
                <w:sz w:val="18"/>
              </w:rPr>
              <w:t>US-heavy</w:t>
            </w:r>
          </w:p>
        </w:tc>
        <w:tc>
          <w:tcPr>
            <w:tcW w:type="dxa" w:w="756"/>
          </w:tcPr>
          <w:p>
            <w:r>
              <w:rPr>
                <w:sz w:val="18"/>
              </w:rPr>
              <w:t>32,19%</w:t>
            </w:r>
          </w:p>
        </w:tc>
        <w:tc>
          <w:tcPr>
            <w:tcW w:type="dxa" w:w="756"/>
          </w:tcPr>
          <w:p>
            <w:r>
              <w:rPr>
                <w:sz w:val="18"/>
              </w:rPr>
              <w:t>28,10%</w:t>
            </w:r>
          </w:p>
        </w:tc>
        <w:tc>
          <w:tcPr>
            <w:tcW w:type="dxa" w:w="756"/>
          </w:tcPr>
          <w:p>
            <w:r>
              <w:rPr>
                <w:sz w:val="18"/>
              </w:rPr>
              <w:t>1,145</w:t>
            </w:r>
          </w:p>
        </w:tc>
        <w:tc>
          <w:tcPr>
            <w:tcW w:type="dxa" w:w="756"/>
          </w:tcPr>
          <w:p>
            <w:r>
              <w:rPr>
                <w:sz w:val="18"/>
              </w:rPr>
              <w:t>0,757</w:t>
            </w:r>
          </w:p>
        </w:tc>
        <w:tc>
          <w:tcPr>
            <w:tcW w:type="dxa" w:w="756"/>
          </w:tcPr>
          <w:p>
            <w:r>
              <w:rPr>
                <w:sz w:val="18"/>
              </w:rPr>
              <w:t>−42,53%</w:t>
            </w:r>
          </w:p>
        </w:tc>
        <w:tc>
          <w:tcPr>
            <w:tcW w:type="dxa" w:w="756"/>
          </w:tcPr>
          <w:p>
            <w:r>
              <w:rPr>
                <w:sz w:val="18"/>
              </w:rPr>
              <w:t>2,173%</w:t>
            </w:r>
          </w:p>
        </w:tc>
        <w:tc>
          <w:tcPr>
            <w:tcW w:type="dxa" w:w="756"/>
          </w:tcPr>
          <w:p>
            <w:r>
              <w:rPr>
                <w:sz w:val="18"/>
              </w:rPr>
              <w:t>2,928%</w:t>
            </w:r>
          </w:p>
        </w:tc>
        <w:tc>
          <w:tcPr>
            <w:tcW w:type="dxa" w:w="756"/>
          </w:tcPr>
          <w:p>
            <w:r>
              <w:rPr>
                <w:sz w:val="18"/>
              </w:rPr>
              <w:t>3,345%</w:t>
            </w:r>
          </w:p>
        </w:tc>
        <w:tc>
          <w:tcPr>
            <w:tcW w:type="dxa" w:w="756"/>
          </w:tcPr>
          <w:p>
            <w:r>
              <w:rPr>
                <w:sz w:val="18"/>
              </w:rPr>
              <w:t>6,839%</w:t>
            </w:r>
          </w:p>
        </w:tc>
        <w:tc>
          <w:tcPr>
            <w:tcW w:type="dxa" w:w="756"/>
          </w:tcPr>
          <w:p>
            <w:r>
              <w:rPr>
                <w:sz w:val="18"/>
              </w:rPr>
              <w:t>1,249</w:t>
            </w:r>
          </w:p>
        </w:tc>
        <w:tc>
          <w:tcPr>
            <w:tcW w:type="dxa" w:w="756"/>
          </w:tcPr>
          <w:p>
            <w:r>
              <w:rPr>
                <w:sz w:val="18"/>
              </w:rPr>
              <w:t>0,321</w:t>
            </w:r>
          </w:p>
        </w:tc>
      </w:tr>
      <w:tr>
        <w:tc>
          <w:tcPr>
            <w:tcW w:type="dxa" w:w="756"/>
          </w:tcPr>
          <w:p>
            <w:r>
              <w:rPr>
                <w:sz w:val="18"/>
              </w:rPr>
              <w:t>SPY</w:t>
            </w:r>
          </w:p>
        </w:tc>
        <w:tc>
          <w:tcPr>
            <w:tcW w:type="dxa" w:w="756"/>
          </w:tcPr>
          <w:p>
            <w:r>
              <w:rPr>
                <w:sz w:val="18"/>
              </w:rPr>
              <w:t>18,25%</w:t>
            </w:r>
          </w:p>
        </w:tc>
        <w:tc>
          <w:tcPr>
            <w:tcW w:type="dxa" w:w="756"/>
          </w:tcPr>
          <w:p>
            <w:r>
              <w:rPr>
                <w:sz w:val="18"/>
              </w:rPr>
              <w:t>19,75%</w:t>
            </w:r>
          </w:p>
        </w:tc>
        <w:tc>
          <w:tcPr>
            <w:tcW w:type="dxa" w:w="756"/>
          </w:tcPr>
          <w:p>
            <w:r>
              <w:rPr>
                <w:sz w:val="18"/>
              </w:rPr>
              <w:t>0,924</w:t>
            </w:r>
          </w:p>
        </w:tc>
        <w:tc>
          <w:tcPr>
            <w:tcW w:type="dxa" w:w="756"/>
          </w:tcPr>
          <w:p>
            <w:r>
              <w:rPr>
                <w:sz w:val="18"/>
              </w:rPr>
              <w:t>0,541</w:t>
            </w:r>
          </w:p>
        </w:tc>
        <w:tc>
          <w:tcPr>
            <w:tcW w:type="dxa" w:w="756"/>
          </w:tcPr>
          <w:p>
            <w:r>
              <w:rPr>
                <w:sz w:val="18"/>
              </w:rPr>
              <w:t>−33,72%</w:t>
            </w:r>
          </w:p>
        </w:tc>
        <w:tc>
          <w:tcPr>
            <w:tcW w:type="dxa" w:w="756"/>
          </w:tcPr>
          <w:p>
            <w:r>
              <w:rPr>
                <w:sz w:val="18"/>
              </w:rPr>
              <w:t>1,725%</w:t>
            </w:r>
          </w:p>
        </w:tc>
        <w:tc>
          <w:tcPr>
            <w:tcW w:type="dxa" w:w="75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5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5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56"/>
          </w:tcPr>
          <w:p>
            <w:r>
              <w:rPr>
                <w:sz w:val="18"/>
              </w:rPr>
              <w:t>1,000</w:t>
            </w:r>
          </w:p>
        </w:tc>
        <w:tc>
          <w:tcPr>
            <w:tcW w:type="dxa" w:w="75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56"/>
          </w:tcPr>
          <w:p>
            <w:r>
              <w:rPr>
                <w:sz w:val="18"/>
              </w:rPr>
              <w:t>IMOEX (RUB)</w:t>
            </w:r>
          </w:p>
        </w:tc>
        <w:tc>
          <w:tcPr>
            <w:tcW w:type="dxa" w:w="756"/>
          </w:tcPr>
          <w:p>
            <w:r>
              <w:rPr>
                <w:sz w:val="18"/>
              </w:rPr>
              <w:t xml:space="preserve"> 7,47%</w:t>
            </w:r>
          </w:p>
        </w:tc>
        <w:tc>
          <w:tcPr>
            <w:tcW w:type="dxa" w:w="756"/>
          </w:tcPr>
          <w:p>
            <w:r>
              <w:rPr>
                <w:sz w:val="18"/>
              </w:rPr>
              <w:t>22,71%</w:t>
            </w:r>
          </w:p>
        </w:tc>
        <w:tc>
          <w:tcPr>
            <w:tcW w:type="dxa" w:w="756"/>
          </w:tcPr>
          <w:p>
            <w:r>
              <w:rPr>
                <w:sz w:val="18"/>
              </w:rPr>
              <w:t>0,329</w:t>
            </w:r>
          </w:p>
        </w:tc>
        <w:tc>
          <w:tcPr>
            <w:tcW w:type="dxa" w:w="756"/>
          </w:tcPr>
          <w:p>
            <w:r>
              <w:rPr>
                <w:sz w:val="18"/>
              </w:rPr>
              <w:t>0,215</w:t>
            </w:r>
          </w:p>
        </w:tc>
        <w:tc>
          <w:tcPr>
            <w:tcW w:type="dxa" w:w="756"/>
          </w:tcPr>
          <w:p>
            <w:r>
              <w:rPr>
                <w:sz w:val="18"/>
              </w:rPr>
              <w:t>−34,77%</w:t>
            </w:r>
          </w:p>
        </w:tc>
        <w:tc>
          <w:tcPr>
            <w:tcW w:type="dxa" w:w="756"/>
          </w:tcPr>
          <w:p>
            <w:r>
              <w:rPr>
                <w:sz w:val="18"/>
              </w:rPr>
              <w:t>2,078%</w:t>
            </w:r>
          </w:p>
        </w:tc>
        <w:tc>
          <w:tcPr>
            <w:tcW w:type="dxa" w:w="75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5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5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5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56"/>
          </w:tcPr>
          <w:p>
            <w:r>
              <w:rPr>
                <w:sz w:val="18"/>
              </w:rPr>
              <w:t>—</w:t>
            </w:r>
          </w:p>
        </w:tc>
      </w:tr>
    </w:tbl>
    <w:p>
      <w:r>
        <w:t>Анализ результатов. Портфель US-heavy демонстрирует наибольшую годовую доходность (32,19 %) и Sharpe (1,145), однако также наибольшую волатильность (28,10 %) и VaR, что объясняется концентрацией в высоковолатильных технологических акциях. Портфель RU-heavy показывает наименьшую доходность (14,44 %) при сопоставимой волатильности, что отражает совокупное воздействие валютного риска USD/RUB и специфической волатильности российского рынка. Equal-weighted портфель занимает промежуточное положение, подтверждая результаты литературы о наивной диверсификации (DeMiguel et al., 2009). Сравнение с бенчмарками показывает, что β(SPY) закономерно растёт при увеличении доли глобальных активов (0,684 у RU-heavy против 1,249 у US-heavy), тогда как β(IMOEX) — при увеличении доли российских (0,683 у RU-heavy против 0,321 у US-heavy). Все портфельные конфигурации превосходят IMOEX по Sharpe (0,329), но только US-heavy и Default превосходят SPY (0,924).</w:t>
      </w:r>
    </w:p>
    <w:p>
      <w:r>
        <w:t>Для оценки стабильности метрик во времени дополнительно рассчитаны скользящий 63-дневный коэффициент Шарпа и скользящий EWMA VaR для каждой конфигурации. Различия между конфигурациями особенно выражены в кризисные периоды: во время COVID-2020 портфель RU-heavy испытывает более выраженный всплеск VaR, чем US-heavy, что подтверждает эффект кумуляции рыночного и валютного рисков.</w:t>
      </w:r>
    </w:p>
    <w:p>
      <w:pPr>
        <w:pStyle w:val="Heading2"/>
      </w:pPr>
      <w:r>
        <w:t>10.8 Оптимизация гиперпараметров</w:t>
      </w:r>
    </w:p>
    <w:p>
      <w:r>
        <w:t>Базовые модели проекта используют параметры по умолчанию, унаследованные из стандартных методологий (λ = 0,94 для EWMA по RiskMetrics, окно 252 дня для CAPM). Для проверки чувствительности и калибровки моделей проведена оптимизация трёх категорий гиперпараметров.</w:t>
      </w:r>
    </w:p>
    <w:p>
      <w:pPr>
        <w:pStyle w:val="Heading3"/>
      </w:pPr>
      <w:r>
        <w:t>10.8.1 Оптимизация λ EWMA</w:t>
      </w:r>
    </w:p>
    <w:p>
      <w:r>
        <w:t>Параметр λ определяет скорость затухания весов в экспоненциальной модели волатильности. Низкие значения λ обеспечивают быструю реакцию на недавние шоки, но повышают шум; высокие — сглаживают ряд, но замедляют адаптацию к смене режима. Для калибровки проведён перебор по сетке λ ∈ [0,88; 0,99] с шагом 0,01. Для каждого λ выполнен expanding-window бэктест: на каждый день t строится EWMA-оценка σ_t, вычисляется параметрический VaR = Φ⁻¹(0,95)·σ_t, и проверяется, превысили ли фактические убытки этот порог. Оптимальным считается λ, при котором эмпирическая частота превышений наиболее близка к теоретической 5 %. Результаты представлены в таблице ниже.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λ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Частота превышений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Отклонение от 5%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|Ошибка|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0,88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5,92%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+0,92 п.п.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0,0092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0,89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5,86%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+0,86 п.п.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0,0086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0,90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5,75%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+0,75 п.п.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0,0075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0,91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5,59%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+0,59 п.п.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0,0059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0,92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5,37%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+0,37 п.п.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0,0037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0,93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5,27%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+0,27 п.п.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0,0027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0,94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5,10%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+0,10 п.п.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0,0010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0,95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5,16%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+0,16 п.п.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0,0016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0,96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5,05%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+0,05 п.п.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0,0005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0,97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4,72%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−0,28 п.п.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0,0028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0,98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4,56%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−0,44 п.п.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0,0044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0,99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4,02%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−0,98 п.п.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0,0098</w:t>
            </w:r>
          </w:p>
        </w:tc>
      </w:tr>
    </w:tbl>
    <w:p>
      <w:r>
        <w:t>Оптимальное значение λ* = 0,96, эмпирическая частота превышений — 5,05 %. Стандартное значение λ = 0,94 (RiskMetrics) даёт частоту 5,10 %, что также близко к теоретической. Результат подтверждает, что калибровка JP Morgan 1996 года остаётся актуальной для данного портфеля, хотя незначительное повышение λ до 0,96 улучшает точность покрытия.</w:t>
      </w:r>
    </w:p>
    <w:p>
      <w:pPr>
        <w:pStyle w:val="Heading3"/>
      </w:pPr>
      <w:r>
        <w:t>10.8.2 Оптимизация весов портфеля</w:t>
      </w:r>
    </w:p>
    <w:p>
      <w:r>
        <w:t>Помимо фиксированных конфигураций (раздел 10.7) проведена численная оптимизация весов по пяти целевым функциям: максимизация коэффициента Шарпа, минимизация однодневного параметрического VaR, минимизация годовой волатильности, минимизация Expected Shortfall (исторического) и максимизация коэффициента Кальмара. Оптимизация выполнена методом SLSQP (Sequential Least Squares Programming) с ограничениями: сумма весов = 1, минимальный вес на позицию 2 %, максимальный 60 %. Результаты представлены в таблице ниже.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</w:tcPr>
          <w:p>
            <w:r>
              <w:rPr>
                <w:b/>
                <w:sz w:val="18"/>
              </w:rPr>
              <w:t>Цель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SBER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LKOH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GAZP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NVDA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MSFT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AAPL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Метрика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Max Sharpe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2,9%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2,0%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2,0%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52,8%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2,0%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38,3%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1,227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Min VaR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2,0%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16,1%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26,5%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2,0%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19,6%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33,9%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1,46%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Min Vol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5,4%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27,8%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10,7%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2,0%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31,9%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22,2%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21,35%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Min ES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2,0%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29,0%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5,4%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2,0%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38,8%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22,9%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3,30%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Max Calmar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2,0%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13,8%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2,0%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20,2%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2,0%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60,0%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0,917</w:t>
            </w:r>
          </w:p>
        </w:tc>
      </w:tr>
    </w:tbl>
    <w:p>
      <w:r>
        <w:t>Все пять оптимизаций сошлись. Портфель с максимальным Sharpe (1,227) концентрируется в NVDA (52,8 %) и AAPL (38,3 %), снижая российские позиции до минимума — модель отражает превосходную доходность технологического сектора за рассматриваемый период. Портфель с минимальной волатильностью (21,35 % годовых) распределяет веса более равномерно, отдавая предпочтение MSFT (31,9 %) и LKOH (27,8 %) — акциям с относительно низкой волатильностью. Портфель с минимальным VaR (1,46 %) предпочитает AAPL (33,9 %) и GAZP (26,5 %). Полученные оптимальные веса представляют теоретический ориентир; на практике ребалансировка ограничена ликвидностью и транзакционными издержками.</w:t>
      </w:r>
    </w:p>
    <w:p>
      <w:pPr>
        <w:pStyle w:val="Heading3"/>
      </w:pPr>
      <w:r>
        <w:t>10.8.3 Оптимизация окна CAPM</w:t>
      </w:r>
    </w:p>
    <w:p>
      <w:r>
        <w:t>Скользящее окно регрессии CAPM определяет баланс между стабильностью оценки β (длинное окно) и адаптивностью к изменению режима (короткое окно). Протестированы окна 60, 90, 120, 180 и 252 торговых дня. Для каждого окна на скользящей основе вычисляется OLS-регрессия доходностей актива на SPY, определяется R², и рассчитывается средний R² по всем точкам. Результаты для двух репрезентативных активов — SBER (российский кластер) и NVDA (глобальный) — представлены в таблице ниже.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  <w:sz w:val="18"/>
              </w:rPr>
              <w:t>Окно (дней)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Avg R² SBER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Std β SBER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Avg R² NVDA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Std β NVDA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0,117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0,444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0,466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0,531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0,113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0,382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0,475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0,453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0,113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0,345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0,484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0,422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180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0,116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0,322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0,492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0,408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252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0,120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0,296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0,503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0,390</w:t>
            </w:r>
          </w:p>
        </w:tc>
      </w:tr>
    </w:tbl>
    <w:p>
      <w:r>
        <w:t>Для обоих активов оптимальным по критерию максимального среднего R² является окно 252 дня. Для NVDA (глобальный кластер) R² достигает 0,503, что указывает на высокую объяснительную силу рыночного фактора. Для SBER R² существенно ниже (0,120), что отражает слабую связь российских акций с SPY и подтверждает обоснованность раздельного анализа кластеров (раздел 2.3). При сокращении окна до 60 дней стандартное отклонение β возрастает на 50 % (SBER: 0,296 → 0,444; NVDA: 0,390 → 0,531), что делает оценки β нестабильными. Значение 252 дня (один торговый год) представляет оптимальный компромисс и совпадает со стандартом, используемым в разделе 3.</w:t>
      </w:r>
    </w:p>
    <w:p>
      <w:pPr>
        <w:pStyle w:val="Heading2"/>
      </w:pPr>
      <w:r>
        <w:t>10.9 Ответы на исследовательские вопросы</w:t>
      </w:r>
    </w:p>
    <w:p>
      <w:r>
        <w:rPr>
          <w:b/>
        </w:rPr>
        <w:t xml:space="preserve">RQ1: Валютный риск как компонента VaR в смешанном портфеле.</w:t>
      </w:r>
    </w:p>
    <w:p>
      <w:r>
        <w:t xml:space="preserve">При текущем составе портфеля (40% российских активов) FX-компонента составляет около 19% от совокупного risk contribution российского кластера. Валютный риск значим, но не доминирует — основной вклад в риск российских позиций идёт через equity-компоненту (движение акций в рублях). Parametric VaR (EWMA) систематически недооценивает риск в кризисные периоды: бэктест отвергает его на уровне и безусловного, и условного покрытия. MC Student-t лучше улавливает хвостовые потери и является единственной моделью, прошедшей совместный тест Купича–Кристофферсена.</w:t>
      </w:r>
    </w:p>
    <w:p>
      <w:r>
        <w:rPr>
          <w:b/>
        </w:rPr>
        <w:t xml:space="preserve">RQ2: Чувствительность к геополитическим шокам vs. «обычные» кризисы.</w:t>
      </w:r>
    </w:p>
    <w:p>
      <w:r>
        <w:t xml:space="preserve">Прямое сравнение COVID-2020 и санкционного шока февраля 2022 ограничено тем, что MOEX была закрыта 24 торговых дня — бэктест на этом периоде методологически некорректен. Тем не менее, результаты позволяют сделать два наблюдения. Во-первых, стресс-тест COVID-2020 даёт кумулятивные потери портфеля, сопоставимые по масштабу с историческими данными. Во-вторых, расхождение между Basel √10 и overlapping-window VaR (2,04 п.п.) подтверждает, что в период кризиса стандартное масштабирование неадекватно — серийная корреляция и кластеризация волатильности усиливают 10-дневные потери сверх того, что предсказывает правило √10. Гипотетический сценарий «санкции» применяется только к глобальному кластеру, что ограничивает полноту ответа на RQ2 — это документированное ограничение проекта.</w:t>
      </w:r>
    </w:p>
    <w:p>
      <w:pPr>
        <w:pStyle w:val="Heading2"/>
      </w:pPr>
      <w:r>
        <w:t>10.10 Обобщающий вывод</w:t>
      </w:r>
    </w:p>
    <w:p>
      <w:r>
        <w:t>Результаты расчётов подтверждают три ключевых положения. (1) В смешанном портфеле с 40% российских активов валютный риск составляет значимую, но не доминирующую компоненту — основной вклад в портфельный VaR приходится на equity-волатильность глобального кластера (прежде всего NVDA). (2) MC Student-t является наиболее адекватной моделью VaR для данного портфеля: это единственный метод, прошедший совместный тест Купича–Кристофферсена на периоде COVID-2020. (3) Правило Basel √10 систематически занижает 10-дневный VaR в периоды стресса, и прямая оценка через overlapping windows методологически корректнее. (4) Сравнение четырёх портфельных конфигураций подтверждает монотонную зависимость между долей российских активов и риском: коэффициент Шарпа портфеля RU-heavy (0,598) почти вдвое ниже, чем у US-heavy (1,145), при сопоставимой волатильности, что количественно отвечает на RQ1. (5) Оптимизация гиперпараметров демонстрирует, что стандартное значение λ = 0,94 для EWMA остаётся близким к оптимальному (λ* = 0,96), а окно CAPM 252 дня подтверждается как оптимальное по критерию среднего R².</w:t>
      </w:r>
    </w:p>
    <w:p>
      <w:r>
        <w:t xml:space="preserve"/>
      </w:r>
    </w:p>
    <w:p>
      <w:pPr>
        <w:pStyle w:val="Heading1"/>
        <w:spacing w:after="180" w:before="360"/>
      </w:pPr>
      <w:r>
        <w:t>12. Список использованной литературы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Acerbi, C., &amp; Tasche, D. (2002).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On the coherence of expected shortfall.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Journal of Banking &amp; Finance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26(7), 1487–1503.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Artzner, P., Delbaen, F., Eber, J.-M., &amp; Heath, D. (1999).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Coherent measures of risk.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Mathematical Finance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9(3), 203–228.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Basel Committee on Banking Supervision. (1996).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Supervisory framework for the use of "backtesting" in conjunction with the internal models approach to market risk capital requirements. BIS.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Basel Committee on Banking Supervision. (2019).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Minimum capital requirements for market risk (Fundamental Review of the Trading Book). BIS.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Berkowitz, J., Christoffersen, P., &amp; Pelletier, D. (2011).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Evaluating value-at-risk models with desk-level data.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Management Science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57(12), 2213–2227.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BIS. (2011).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Evaluating "correlation breakdowns" during periods of market volatility.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BIS Conference Papers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Vol. 8.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Christoffersen, P. F. (1998).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Evaluating interval forecasts.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International Economic Review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39(4), 841–862.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Fama, E. F., &amp; French, K. R. (1993).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Common risk factors in the returns on stocks and bonds.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Journal of Financial Economics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33(1), 3–56.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Fama, E. F., &amp; French, K. R. (2004).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The capital asset pricing model: Theory and evidence.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Journal of Economic Perspectives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18(3), 25–46.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Jorion, P. (2007).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Value at Risk: The New Benchmark for Managing Financial Risk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(3rd ed.). McGraw-Hill.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Kupiec, P. H. (1995).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Techniques for verifying the accuracy of risk measurement models.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Journal of Derivatives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3(2), 73–84.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Lintner, J. (1965).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The valuation of risk assets and the selection of risky investments in stock portfolios and capital budgets.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Review of Economics and Statistics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47(1), 13–37.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Longin, F., &amp; Solnik, B. (2001).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Extreme correlation of international equity markets.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Journal of Finance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56(2), 649–676.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Markowitz, H. (1952).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Portfolio selection.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Journal of Finance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7(1), 77–91.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Mossin, J. (1966).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Equilibrium in a capital asset market.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Econometrica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34(4), 768–783.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Roncalli, T. (2013).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Introduction to Risk Parity and Budgeting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CRC Press.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Sharpe, W. F. (1964).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Capital asset prices: A theory of market equilibrium under conditions of risk.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Journal of Finance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19(3), 425–442.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J.P. Morgan / Reuters. (1996).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RiskMetrics — Technical Document (4th ed.). J.P. Morgan.</w:t>
      </w:r>
    </w:p>
    <w:p>
      <w:r>
        <w:t>DeMiguel, V., Garlappi, L., &amp; Uppal, R. (2009). Optimal versus naive diversification: How inefficient is the 1/N portfolio strategy? Review of Financial Studies, 22(5), 1915–1953.</w:t>
      </w:r>
    </w:p>
    <w:sectPr>
      <w:headerReference w:type="default" r:id="rId7"/>
      <w:footerReference w:type="default" r:id="rId8"/>
      <w:pgSz w:w="11906" w:h="16838" w:orient="portrait"/>
      <w:pgMar w:top="1440" w:right="1134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999999"/>
        <w:sz w:val="18"/>
        <w:szCs w:val="18"/>
      </w:rPr>
      <w:t xml:space="preserve">— </w:t>
    </w:r>
    <w:r>
      <w:rPr>
        <w:rFonts w:ascii="Times New Roman" w:cs="Times New Roman" w:eastAsia="Times New Roman" w:hAnsi="Times New Roman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3" w:space="1"/>
      </w:pBdr>
      <w:jc w:val="right"/>
    </w:pPr>
    <w:r>
      <w:rPr>
        <w:rFonts w:ascii="Times New Roman" w:cs="Times New Roman" w:eastAsia="Times New Roman" w:hAnsi="Times New Roman"/>
        <w:color w:val="999999"/>
        <w:sz w:val="18"/>
        <w:szCs w:val="18"/>
      </w:rPr>
      <w:t xml:space="preserve">RiskPulse — Теоретическая часть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color w:val="2E549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2026-04-22T08:48:47.356Z</dcterms:created>
  <dcterms:modified xsi:type="dcterms:W3CDTF">2026-04-22T08:48:47.356Z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