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sz w:val="22"/>
        </w:rPr>
        <w:t>REGISTRE DES VIOLATIONS DE L'ENQUÊTE</w:t>
      </w:r>
    </w:p>
    <w:tbl>
      <w:tblPr>
        <w:tblW w:type="auto" w:w="0"/>
        <w:tblLook w:firstColumn="1" w:firstRow="1" w:lastColumn="0" w:lastRow="0" w:noHBand="0" w:noVBand="1" w:val="04A0"/>
      </w:tblPr>
      <w:tblGrid>
        <w:gridCol w:w="2518"/>
        <w:gridCol w:w="2518"/>
        <w:gridCol w:w="2518"/>
        <w:gridCol w:w="2518"/>
        <w:gridCol w:w="2518"/>
        <w:gridCol w:w="2518"/>
      </w:tblGrid>
      <w:tr>
        <w:trPr>
          <w:tblHeader/>
          <w:tblHeader/>
          <w:cantSplit/>
        </w:trPr>
        <w:tc>
          <w:tcPr>
            <w:tcW w:type="dxa" w:w="709"/>
          </w:tcPr>
          <w:p>
            <w:pPr>
              <w:spacing w:before="0" w:after="60" w:line="220" w:lineRule="auto"/>
            </w:pPr>
            <w:r>
              <w:rPr>
                <w:rFonts w:ascii="Arial" w:hAnsi="Arial"/>
                <w:b/>
                <w:sz w:val="20"/>
              </w:rPr>
              <w:t>№</w:t>
            </w:r>
          </w:p>
        </w:tc>
        <w:tc>
          <w:tcPr>
            <w:tcW w:type="dxa" w:w="2551"/>
          </w:tcPr>
          <w:p>
            <w:pPr>
              <w:spacing w:before="0" w:after="60" w:line="220" w:lineRule="auto"/>
            </w:pPr>
            <w:r>
              <w:rPr>
                <w:rFonts w:ascii="Arial" w:hAnsi="Arial"/>
                <w:b/>
                <w:sz w:val="20"/>
              </w:rPr>
              <w:t>Violation</w:t>
            </w:r>
          </w:p>
        </w:tc>
        <w:tc>
          <w:tcPr>
            <w:tcW w:type="dxa" w:w="1984"/>
          </w:tcPr>
          <w:p>
            <w:pPr>
              <w:spacing w:before="0" w:after="60" w:line="220" w:lineRule="auto"/>
            </w:pPr>
            <w:r>
              <w:rPr>
                <w:rFonts w:ascii="Arial" w:hAnsi="Arial"/>
                <w:b/>
                <w:sz w:val="20"/>
              </w:rPr>
              <w:t>Sujet / Autorité</w:t>
            </w:r>
          </w:p>
        </w:tc>
        <w:tc>
          <w:tcPr>
            <w:tcW w:type="dxa" w:w="4394"/>
          </w:tcPr>
          <w:p>
            <w:pPr>
              <w:spacing w:before="0" w:after="60" w:line="220" w:lineRule="auto"/>
            </w:pPr>
            <w:r>
              <w:rPr>
                <w:rFonts w:ascii="Arial" w:hAnsi="Arial"/>
                <w:b/>
                <w:sz w:val="20"/>
              </w:rPr>
              <w:t>Circonstances factuelles</w:t>
            </w:r>
          </w:p>
        </w:tc>
        <w:tc>
          <w:tcPr>
            <w:tcW w:type="dxa" w:w="2693"/>
          </w:tcPr>
          <w:p>
            <w:pPr>
              <w:spacing w:before="0" w:after="60" w:line="220" w:lineRule="auto"/>
            </w:pPr>
            <w:r>
              <w:rPr>
                <w:rFonts w:ascii="Arial" w:hAnsi="Arial"/>
                <w:b/>
                <w:sz w:val="20"/>
              </w:rPr>
              <w:t>Statut / conséquences</w:t>
            </w:r>
          </w:p>
        </w:tc>
        <w:tc>
          <w:tcPr>
            <w:tcW w:type="dxa" w:w="2976"/>
          </w:tcPr>
          <w:p>
            <w:pPr>
              <w:spacing w:before="0" w:after="60" w:line="220" w:lineRule="auto"/>
            </w:pPr>
            <w:r>
              <w:rPr>
                <w:rFonts w:ascii="Arial" w:hAnsi="Arial"/>
                <w:b/>
                <w:sz w:val="20"/>
              </w:rPr>
              <w:t>Preuves / documents</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Saisie illégale des biens d'AVB et de tiers et leur remise en gestion à l'ARMA.</w:t>
            </w:r>
          </w:p>
        </w:tc>
        <w:tc>
          <w:tcPr>
            <w:tcW w:type="dxa" w:w="1984"/>
          </w:tcPr>
          <w:p>
            <w:pPr>
              <w:spacing w:before="0" w:after="60" w:line="220" w:lineRule="auto"/>
            </w:pPr>
            <w:r>
              <w:rPr>
                <w:rFonts w:ascii="Arial" w:hAnsi="Arial"/>
                <w:sz w:val="19"/>
              </w:rPr>
              <w:t>Juge d'instruction Hlyan O.S.</w:t>
            </w:r>
          </w:p>
        </w:tc>
        <w:tc>
          <w:tcPr>
            <w:tcW w:type="dxa" w:w="4394"/>
          </w:tcPr>
          <w:p>
            <w:pPr>
              <w:spacing w:before="0" w:after="60" w:line="220" w:lineRule="auto"/>
            </w:pPr>
            <w:r>
              <w:rPr>
                <w:rFonts w:ascii="Arial" w:hAnsi="Arial"/>
                <w:sz w:val="19"/>
              </w:rPr>
              <w:t>Le juge d'instruction a rendu une Ordonnance de saisie des biens d'AVB et de leur remise en gestion à l'ARMA.</w:t>
              <w:br/>
              <w:t>La saisie a été ordonnée aux fins de garantir la confiscation des biens à titre de peine.</w:t>
              <w:br/>
              <w:t>Une telle Ordonnance est illégale pour les motifs suivants :</w:t>
              <w:br/>
              <w:t>La saisie aux fins de confiscation ne peut être ordonnée qu'exclusivement sur les biens du suspect.</w:t>
              <w:br/>
              <w:t>Cependant, le juge d'instruction :</w:t>
              <w:br/>
              <w:t>A saisi les biens d'AVB, malgré le fait que les pièces présentées par l'accusation ne contiennent aucune preuve de la signification de la notification de suspicion.</w:t>
              <w:br/>
              <w:t>Les pièces ne contiennent pas : (1) de procès-verbal de signification de la suspicion, (2) de récépissé de réception et (3) de document de l'organe compétent d'un État étranger indiquant les modalités, la date et les circonstances de la signification.</w:t>
              <w:br/>
              <w:t>C'est-à-dire que le juge d'instruction a saisi les biens d'AVB en qualité de suspect en l'absence de preuves de l'acquisition par lui d'un tel statut.</w:t>
              <w:br/>
              <w:t>A saisi les biens de tiers qui ne disposent d'aucun statut dans le cadre de la Procédure.</w:t>
              <w:br/>
              <w:t>Seuls les actifs constituant des pièces à conviction peuvent être remis en gestion à l'ARMA.</w:t>
              <w:br/>
              <w:t>Cependant, le juge d'instruction a saisi et remis en gestion à l'ARMA des biens d'AVB et de tiers qui ne constituent pas des pièces à conviction.</w:t>
              <w:br/>
              <w:t>Ni dans l'Ordonnance, ni dans la Requête de l'accusation de tels biens ne sont reconnus comme pièces à conviction.</w:t>
              <w:br/>
              <w:t>De plus, la saisie des biens a été ordonnée aux fins de garantir la confiscation, et non pour la conservation de pièces à conviction.</w:t>
            </w:r>
          </w:p>
        </w:tc>
        <w:tc>
          <w:tcPr>
            <w:tcW w:type="dxa" w:w="2693"/>
          </w:tcPr>
          <w:p>
            <w:pPr>
              <w:spacing w:before="0" w:after="60" w:line="220" w:lineRule="auto"/>
            </w:pPr>
            <w:r>
              <w:rPr>
                <w:rFonts w:ascii="Arial" w:hAnsi="Arial"/>
                <w:sz w:val="19"/>
              </w:rPr>
              <w:t>Le 30 mars 2026, rejet de l'appel formé contre l'Ordonnance de saisie des biens.</w:t>
              <w:br/>
              <w:t>Rejet de la Requête en mainlevée de la saisie présentée au nom d'AVB et de tiers.</w:t>
            </w:r>
          </w:p>
        </w:tc>
        <w:tc>
          <w:tcPr>
            <w:tcW w:type="dxa" w:w="2976"/>
          </w:tcPr>
          <w:p>
            <w:pPr>
              <w:spacing w:before="0" w:after="60" w:line="220" w:lineRule="auto"/>
            </w:pPr>
            <w:r>
              <w:rPr>
                <w:rFonts w:ascii="Arial" w:hAnsi="Arial"/>
                <w:sz w:val="19"/>
              </w:rPr>
              <w:t>Ordonnance du tribunal de district Chevtchenkivsky de la ville de Kyiv du 13 mai 2025 dans l'affaire n° 761/19003/25.</w:t>
              <w:br/>
              <w:t>Ordonnance de la cour d'appel de Kyiv du 30 mars 2026 dans l'affaire n° 761/19003/25.</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Violation de la présomption d'innocence</w:t>
            </w:r>
          </w:p>
        </w:tc>
        <w:tc>
          <w:tcPr>
            <w:tcW w:type="dxa" w:w="1984"/>
          </w:tcPr>
          <w:p>
            <w:pPr>
              <w:spacing w:before="0" w:after="60" w:line="220" w:lineRule="auto"/>
            </w:pPr>
            <w:r>
              <w:rPr>
                <w:rFonts w:ascii="Arial" w:hAnsi="Arial"/>
                <w:sz w:val="19"/>
              </w:rPr>
              <w:t>Président de l'Ukraine Zelensky O.</w:t>
            </w:r>
          </w:p>
        </w:tc>
        <w:tc>
          <w:tcPr>
            <w:tcW w:type="dxa" w:w="4394"/>
          </w:tcPr>
          <w:p>
            <w:pPr>
              <w:spacing w:before="0" w:after="60" w:line="220" w:lineRule="auto"/>
            </w:pPr>
            <w:r>
              <w:rPr>
                <w:rFonts w:ascii="Arial" w:hAnsi="Arial"/>
                <w:sz w:val="19"/>
              </w:rPr>
              <w:t>Le lendemain de l'application des sanctions personnelles à AVB, le Président de l'Ukraine a déclaré publiquement qu'elles étaient appliquées à des personnes - « propagandistes qui renforcent les frappes de la Fédération de Russie ».</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Publication sur le canal Telegram du Président sous le lien — https://web.telegram.org/a/#-1001463721328</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Violation des garanties de l'avocat</w:t>
            </w:r>
          </w:p>
        </w:tc>
        <w:tc>
          <w:tcPr>
            <w:tcW w:type="dxa" w:w="1984"/>
          </w:tcPr>
          <w:p>
            <w:pPr>
              <w:spacing w:before="0" w:after="60" w:line="220" w:lineRule="auto"/>
            </w:pPr>
            <w:r>
              <w:rPr>
                <w:rFonts w:ascii="Arial" w:hAnsi="Arial"/>
                <w:sz w:val="19"/>
              </w:rPr>
              <w:t>Chef de l'Office du Président Yermak A.B.</w:t>
              <w:br/>
              <w:t>Vice-cheffe de l'Office du Président Mudra I.R.</w:t>
            </w:r>
          </w:p>
        </w:tc>
        <w:tc>
          <w:tcPr>
            <w:tcW w:type="dxa" w:w="4394"/>
          </w:tcPr>
          <w:p>
            <w:pPr>
              <w:spacing w:before="0" w:after="60" w:line="220" w:lineRule="auto"/>
            </w:pPr>
            <w:r>
              <w:rPr>
                <w:rFonts w:ascii="Arial" w:hAnsi="Arial"/>
                <w:sz w:val="19"/>
              </w:rPr>
              <w:t>Le Chef de l'Office du Président et sa Vice-cheffe ont refusé de manière non fondée de fournir une réponse à la demande d'avocat.</w:t>
            </w:r>
          </w:p>
        </w:tc>
        <w:tc>
          <w:tcPr>
            <w:tcW w:type="dxa" w:w="2693"/>
          </w:tcPr>
          <w:p>
            <w:pPr>
              <w:spacing w:before="0" w:after="60" w:line="220" w:lineRule="auto"/>
            </w:pPr>
            <w:r>
              <w:rPr>
                <w:rFonts w:ascii="Arial" w:hAnsi="Arial"/>
                <w:sz w:val="19"/>
              </w:rPr>
              <w:t>Dépôt d'une Déclaration auprès du Conseil des avocats aux fins d'engagement de la responsabilité administrative pour refus de répondre à la demande d'avocat.</w:t>
              <w:br/>
              <w:t>Réponse non reçue. Cessation des démarches ultérieures dans cette direction.</w:t>
            </w:r>
          </w:p>
        </w:tc>
        <w:tc>
          <w:tcPr>
            <w:tcW w:type="dxa" w:w="2976"/>
          </w:tcPr>
          <w:p>
            <w:pPr>
              <w:spacing w:before="0" w:after="60" w:line="220" w:lineRule="auto"/>
            </w:pPr>
            <w:r>
              <w:rPr>
                <w:rFonts w:ascii="Arial" w:hAnsi="Arial"/>
                <w:sz w:val="19"/>
              </w:rPr>
              <w:t>Réponse à la demande d'avocat du 12 juin 2025.</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Refus de faire droit à la Requête sur l'impossibilité de se présenter à l'interrogatoire</w:t>
            </w:r>
          </w:p>
        </w:tc>
        <w:tc>
          <w:tcPr>
            <w:tcW w:type="dxa" w:w="1984"/>
          </w:tcPr>
          <w:p>
            <w:pPr>
              <w:spacing w:before="0" w:after="60" w:line="220" w:lineRule="auto"/>
            </w:pPr>
            <w:r>
              <w:rPr>
                <w:rFonts w:ascii="Arial" w:hAnsi="Arial"/>
                <w:sz w:val="19"/>
              </w:rPr>
              <w:t>Procureur de l'OGP Safaryan O.</w:t>
              <w:br/>
              <w:t>Enquêteur du GSU du SBU Romashkin D.</w:t>
            </w:r>
          </w:p>
        </w:tc>
        <w:tc>
          <w:tcPr>
            <w:tcW w:type="dxa" w:w="4394"/>
          </w:tcPr>
          <w:p>
            <w:pPr>
              <w:spacing w:before="0" w:after="60" w:line="220" w:lineRule="auto"/>
            </w:pPr>
            <w:r>
              <w:rPr>
                <w:rFonts w:ascii="Arial" w:hAnsi="Arial"/>
                <w:sz w:val="19"/>
              </w:rPr>
              <w:t>Le procureur et l'enquêteur ont illégalement refusé de faire droit à la Requête sur l'impossibilité pour AVB de se présenter à l'interrogatoire en Ukraine.</w:t>
              <w:br/>
              <w:t>Motifs du refus :</w:t>
              <w:br/>
              <w:t>AVB a dûment reçu les citations à comparaître.</w:t>
              <w:br/>
              <w:t>Kyiv ne fait pas partie des territoires sur lesquels se déroulent des hostilités.</w:t>
              <w:br/>
              <w:t>Le changement de lieu de résidence d'AVB de Monaco vers l'Autriche ne le dispense pas de l'obligation de comparaître à l'interrogatoire.</w:t>
              <w:br/>
              <w:t>Le lieu de résidence permanente a été changé après la réalisation d'actes de procédure à Monaco ; le statut de suspect en Ukraine n'a été acquis qu'après cela.</w:t>
              <w:br/>
              <w:t>Dans le cadre de la procédure pénale ukrainienne, aucun interrogatoire d'AVB n'a été réalisé — il est convoqué pour la première fois.</w:t>
              <w:br/>
              <w:t>La résidence à l'étranger ne dispense pas de l'obligation de comparaître ; la tenue d'un interrogatoire exclusivement dans le cadre de l'entraide judiciaire internationale n'est pas conforme aux dispositions du CPP.</w:t>
              <w:br/>
              <w:t>Motifs de l'illégalité de la décision de l'enquête :</w:t>
              <w:br/>
              <w:t>Violation des dispositions de l'art. 567 du CPP d'Ukraine — AVB réside en permanence à l'étranger, l'interrogatoire doit donc être réalisé dans le cadre de l'entraide judiciaire internationale (EJI).</w:t>
              <w:br/>
              <w:t>Ignorance du fait de la résidence permanente à l'étranger — le procureur n'a pas pris en compte qu'AVB n'a pas la possibilité réelle de comparaître, ce qui rend la convocation formelle.</w:t>
              <w:br/>
              <w:t>Absence de motivation adéquate dans la Décision — défaut d'examen des modalités alternatives d'interrogatoire (EJI ou visioconférence), ce qui constitue une violation de l'art. 110 du CPP d'Ukraine.</w:t>
              <w:br/>
              <w:t>Caractère disproportionné de la modalité appliquée — la citation personnelle à l'interrogatoire en période de loi martiale est excessive et contraire au principe de l'économie de procédure.</w:t>
              <w:br/>
              <w:t>Des actes d'instruction ont déjà été réalisés par la voie de l'EJI — l'interrogatoire à Monaco a déjà été mené, ce qui confirme l'efficacité de ce mécanisme.</w:t>
              <w:br/>
              <w:t>Violation du droit à la défense — l'exigence d'une présence personnelle crée des obstacles à l'exercice du droit de participer à la procédure en présence de difficultés objectives.</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Décision du procureur du 30 juin 2025.</w:t>
              <w:br/>
              <w:t>Décision de l'enquêteur du 2 juillet 2025.</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Non-réception des communications officielles émanant d'AVB</w:t>
            </w:r>
          </w:p>
        </w:tc>
        <w:tc>
          <w:tcPr>
            <w:tcW w:type="dxa" w:w="1984"/>
          </w:tcPr>
          <w:p>
            <w:pPr>
              <w:spacing w:before="0" w:after="60" w:line="220" w:lineRule="auto"/>
            </w:pPr>
            <w:r>
              <w:rPr>
                <w:rFonts w:ascii="Arial" w:hAnsi="Arial"/>
                <w:sz w:val="19"/>
              </w:rPr>
              <w:t>Enquêteurs du GSU du SBU.</w:t>
            </w:r>
          </w:p>
        </w:tc>
        <w:tc>
          <w:tcPr>
            <w:tcW w:type="dxa" w:w="4394"/>
          </w:tcPr>
          <w:p>
            <w:pPr>
              <w:spacing w:before="0" w:after="60" w:line="220" w:lineRule="auto"/>
            </w:pPr>
            <w:r>
              <w:rPr>
                <w:rFonts w:ascii="Arial" w:hAnsi="Arial"/>
                <w:sz w:val="19"/>
              </w:rPr>
              <w:t>Les enquêteurs ont refusé de recevoir les communications officielles émanant d'AVB, expédiées par la voie postale internationale.</w:t>
              <w:br/>
              <w:t>Retour de deux courriers d'AVB, expédiés à l'adresse du SBU — concernant le lieu de résidence d'AVB à l'étranger et l'impossibilité de comparaître à l'interrogatoire.</w:t>
              <w:br/>
              <w:t>Le 28.06, les courriers sont arrivés en Ukraine. Depuis ce moment et jusqu'au 04.07, DHL a entrepris des tentatives de livraison.</w:t>
              <w:br/>
              <w:t>Lors de l'échange, un employé de DHL a indiqué que le motif du retour était l'impossibilité d'entrer en contact avec le destinataire — le SBU.</w:t>
              <w:br/>
              <w:t>C'est-à-dire que de facto le SBU a refusé de recevoir les communications d'AVB.</w:t>
              <w:br/>
              <w:t>Des courriers analogues, expédiés à l'adresse du Bureau du Procureur général, ont été livrés avec succès le 30.06.</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Application sélective de la pratique de déchéance de nationalité</w:t>
            </w:r>
          </w:p>
        </w:tc>
        <w:tc>
          <w:tcPr>
            <w:tcW w:type="dxa" w:w="1984"/>
          </w:tcPr>
          <w:p>
            <w:pPr>
              <w:spacing w:before="0" w:after="60" w:line="220" w:lineRule="auto"/>
            </w:pPr>
            <w:r>
              <w:rPr>
                <w:rFonts w:ascii="Arial" w:hAnsi="Arial"/>
                <w:sz w:val="19"/>
              </w:rPr>
              <w:t>SMS, Président de l'Ukraine</w:t>
            </w:r>
          </w:p>
        </w:tc>
        <w:tc>
          <w:tcPr>
            <w:tcW w:type="dxa" w:w="4394"/>
          </w:tcPr>
          <w:p>
            <w:pPr>
              <w:spacing w:before="0" w:after="60" w:line="220" w:lineRule="auto"/>
            </w:pPr>
            <w:r>
              <w:rPr>
                <w:rFonts w:ascii="Arial" w:hAnsi="Arial"/>
                <w:sz w:val="19"/>
              </w:rPr>
              <w:t>Le SMS et le Président de l'Ukraine ont sélectivement déchu AVB de la nationalité ukrainienne, bien que de facto en Ukraine la pratique de la double nationalité soit répandue.</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Mise en œuvre d'une recherche injustifiée</w:t>
            </w:r>
          </w:p>
        </w:tc>
        <w:tc>
          <w:tcPr>
            <w:tcW w:type="dxa" w:w="1984"/>
          </w:tcPr>
          <w:p>
            <w:pPr>
              <w:spacing w:before="0" w:after="60" w:line="220" w:lineRule="auto"/>
            </w:pPr>
            <w:r>
              <w:rPr>
                <w:rFonts w:ascii="Arial" w:hAnsi="Arial"/>
                <w:sz w:val="19"/>
              </w:rPr>
              <w:t>Enquêteurs du GSU du SBU.</w:t>
            </w:r>
          </w:p>
        </w:tc>
        <w:tc>
          <w:tcPr>
            <w:tcW w:type="dxa" w:w="4394"/>
          </w:tcPr>
          <w:p>
            <w:pPr>
              <w:spacing w:before="0" w:after="60" w:line="220" w:lineRule="auto"/>
            </w:pPr>
            <w:r>
              <w:rPr>
                <w:rFonts w:ascii="Arial" w:hAnsi="Arial"/>
                <w:sz w:val="19"/>
              </w:rPr>
              <w:t>La décision de l'enquêteur sur la mise en recherche internationale d'AVB est fondée exclusivement sur le fait qu'AVB se trouve à l'étranger en Autriche et ne s'est pas présenté aux interrogatoires.</w:t>
              <w:br/>
              <w:t>Cependant, conformément à l'art. 281 § 1 du CPP, la mise en recherche d'une personne n'est possible qu'exclusivement au cas où :</w:t>
              <w:br/>
              <w:t>son lieu de séjour est inconnu ;</w:t>
              <w:br/>
              <w:t>ou bien elle ne comparaît pas sans motifs légitimes sur convocations de l'enquête/du parquet sous condition d'une notification régulière.</w:t>
              <w:br/>
              <w:t>En l'espèce, aucune de ces conditions n'est remplie.</w:t>
              <w:br/>
              <w:t>Le lieu de séjour d'AVB était connu de l'accusation avant même l'adoption de la Décision.</w:t>
              <w:br/>
              <w:t>AVB ne s'est pas soustrait à sa participation à la Procédure pénale — au contraire, il a coopéré avec l'enquête dans le cadre de la coopération internationale.</w:t>
              <w:br/>
              <w:t>Les motifs de sa non-comparution ont été signalés au préalable et sont objectivement légitimes.</w:t>
              <w:br/>
              <w:t>Ainsi, la Décision sur la mise en recherche internationale d'AVB est juridiquement non fondée, contraire aux dispositions du CPP d'Ukraine et revêt un caractère exclusivement formel.</w:t>
            </w:r>
          </w:p>
        </w:tc>
        <w:tc>
          <w:tcPr>
            <w:tcW w:type="dxa" w:w="2693"/>
          </w:tcPr>
          <w:p>
            <w:pPr>
              <w:spacing w:before="0" w:after="60" w:line="220" w:lineRule="auto"/>
            </w:pPr>
            <w:r>
              <w:rPr>
                <w:rFonts w:ascii="Arial" w:hAnsi="Arial"/>
                <w:sz w:val="19"/>
              </w:rPr>
              <w:t>L'enquêteur et le procureur connaissent avec certitude le lieu de séjour d'AVB. La recherche doit être clôturée.</w:t>
            </w:r>
          </w:p>
        </w:tc>
        <w:tc>
          <w:tcPr>
            <w:tcW w:type="dxa" w:w="2976"/>
          </w:tcPr>
          <w:p>
            <w:pPr>
              <w:spacing w:before="0" w:after="60" w:line="220" w:lineRule="auto"/>
            </w:pPr>
            <w:r>
              <w:rPr>
                <w:rFonts w:ascii="Arial" w:hAnsi="Arial"/>
                <w:sz w:val="19"/>
              </w:rPr>
              <w:t>Décision du 3 juillet 2025 sur la mise en recherche d'AVB.</w:t>
              <w:br/>
              <w:t>Réponse du Bureau national d'Interpol à la demande d'avocat sur l'absence de saisine relative à la recherche d'AVB.</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Poursuite d'un innocent notoire</w:t>
            </w:r>
          </w:p>
        </w:tc>
        <w:tc>
          <w:tcPr>
            <w:tcW w:type="dxa" w:w="1984"/>
          </w:tcPr>
          <w:p>
            <w:pPr>
              <w:spacing w:before="0" w:after="60" w:line="220" w:lineRule="auto"/>
            </w:pPr>
            <w:r>
              <w:rPr>
                <w:rFonts w:ascii="Arial" w:hAnsi="Arial"/>
                <w:sz w:val="19"/>
              </w:rPr>
              <w:t>Enquêteurs du GSU du SBU</w:t>
              <w:br/>
              <w:t>Procureurs de l'OGP</w:t>
            </w:r>
          </w:p>
        </w:tc>
        <w:tc>
          <w:tcPr>
            <w:tcW w:type="dxa" w:w="4394"/>
          </w:tcPr>
          <w:p>
            <w:pPr>
              <w:spacing w:before="0" w:after="60" w:line="220" w:lineRule="auto"/>
            </w:pPr>
            <w:r>
              <w:rPr>
                <w:rFonts w:ascii="Arial" w:hAnsi="Arial"/>
                <w:sz w:val="19"/>
              </w:rPr>
              <w:t>L'accusation exerce des poursuites contre AVB en l'absence de soupçon raisonnable. Ainsi, selon la version de l'enquête :</w:t>
              <w:br/>
              <w:t>L'infraction sous-jacente est l'appropriation par son père d'actions de la JSC « Motor Sich » lors de la privatisation à un coût minoré (art. 191 du CP) ;</w:t>
              <w:br/>
              <w:t>AVB a participé à la vente de 49,7 % des actions de la JSC « Motor Sich » à des citoyens de la RPC par le biais de sociétés offshore prétendument contrôlées ;</w:t>
              <w:br/>
              <w:t>Les fonds issus de la réalisation des actions ont ensuite été blanchis par virement sur d'autres comptes, placement sur des dépôts bancaires et acquisition de biens immobiliers dans différents pays du monde.</w:t>
              <w:br/>
              <w:t>Cependant, la Suspicion est manifestement non fondée, car :</w:t>
              <w:br/>
              <w:t>Tous indices d'actes illicites qui pourraient constituer des infractions sous-jacentes font défaut :</w:t>
              <w:br/>
              <w:t>La privatisation de « Motor Sich » est légale et correspondait à la pratique générale ;</w:t>
              <w:br/>
              <w:t>Le rachat des actions de « Motor Sich » a été effectué aux prix du marché, sans contrainte et selon la procédure fixée par la loi.</w:t>
              <w:br/>
              <w:t>La vente ultérieure d'actions de « Motor Sich » à des représentants de la RPC constitue une opération commerciale licite ordinaire. Tous indices de blanchiment de fonds quelconques font défaut.</w:t>
              <w:br/>
              <w:t>L'utilisation des fonds issus de la vente licite d'actions ne comporte aucun indice d'activité criminelle. Toutes preuves du contraire font défaut.</w:t>
              <w:br/>
              <w:t>Toutes preuves de la commission par AVB d'actes illicites quelconques font défaut.</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Initiation illégale envers AVB de la mesure de sûreté la plus stricte sous forme de détention (par défaut).</w:t>
            </w:r>
          </w:p>
        </w:tc>
        <w:tc>
          <w:tcPr>
            <w:tcW w:type="dxa" w:w="1984"/>
          </w:tcPr>
          <w:p>
            <w:pPr>
              <w:spacing w:before="0" w:after="60" w:line="220" w:lineRule="auto"/>
            </w:pPr>
            <w:r>
              <w:rPr>
                <w:rFonts w:ascii="Arial" w:hAnsi="Arial"/>
                <w:sz w:val="19"/>
              </w:rPr>
              <w:t>Procureur de l'OGP Safaryan O.</w:t>
            </w:r>
          </w:p>
        </w:tc>
        <w:tc>
          <w:tcPr>
            <w:tcW w:type="dxa" w:w="4394"/>
          </w:tcPr>
          <w:p>
            <w:pPr>
              <w:spacing w:before="0" w:after="60" w:line="220" w:lineRule="auto"/>
            </w:pPr>
            <w:r>
              <w:rPr>
                <w:rFonts w:ascii="Arial" w:hAnsi="Arial"/>
                <w:sz w:val="19"/>
              </w:rPr>
              <w:t>Le 4 juillet 2025, l'enquête a saisi le tribunal d'une Requête tendant à l'application envers AVB d'une mesure de sûreté sous forme de détention.</w:t>
              <w:br/>
              <w:t>Le principal argument de l'enquête pour l'application d'une telle mesure est le « lieu de séjour non établi » d'AVB.</w:t>
              <w:br/>
              <w:t>Cependant, au jour du dépôt de la Requête, l'accusation savait avec certitude : (a) qu'AVB se trouve à l'étranger ; (b) son adresse de résidence à l'étranger ; (c) qu'il n'est pas une personne qui se dissimule ou dont le lieu de séjour est inconnu.</w:t>
              <w:br/>
              <w:t>Cela exclut la possibilité d'utiliser l'argument du « lieu de séjour non établi » comme fondement pour l'application de la mesure de sûreté la plus stricte.</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Requête du 4 juillet 2025 tendant à l'application envers AVB d'une mesure de sûreté sous forme de détention.</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Signification sélective des actes de procédure</w:t>
            </w:r>
          </w:p>
        </w:tc>
        <w:tc>
          <w:tcPr>
            <w:tcW w:type="dxa" w:w="1984"/>
          </w:tcPr>
          <w:p>
            <w:pPr>
              <w:spacing w:before="0" w:after="60" w:line="220" w:lineRule="auto"/>
            </w:pPr>
            <w:r>
              <w:rPr>
                <w:rFonts w:ascii="Arial" w:hAnsi="Arial"/>
                <w:sz w:val="19"/>
              </w:rPr>
              <w:t>Procureur de l'OGP Safaryan O.</w:t>
            </w:r>
          </w:p>
        </w:tc>
        <w:tc>
          <w:tcPr>
            <w:tcW w:type="dxa" w:w="4394"/>
          </w:tcPr>
          <w:p>
            <w:pPr>
              <w:spacing w:before="0" w:after="60" w:line="220" w:lineRule="auto"/>
            </w:pPr>
            <w:r>
              <w:rPr>
                <w:rFonts w:ascii="Arial" w:hAnsi="Arial"/>
                <w:sz w:val="19"/>
              </w:rPr>
              <w:t>L'enquête notifie les actes de procédure de manière sélective.</w:t>
              <w:br/>
              <w:t>Les Décisions de rejet des requêtes d'AVB ont été expédiées à l'adresse postale en Autriche.</w:t>
              <w:br/>
              <w:t>La Requête tendant à l'application envers AVB d'une mesure de sûreté n'a pas été signifiée selon la procédure fixée par le CPP.</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Violation du droit du suspect de participer à l'examen de la requête portant sur le choix d'une mesure de sûreté à son égard.</w:t>
            </w:r>
          </w:p>
        </w:tc>
        <w:tc>
          <w:tcPr>
            <w:tcW w:type="dxa" w:w="1984"/>
          </w:tcPr>
          <w:p>
            <w:pPr>
              <w:spacing w:before="0" w:after="60" w:line="220" w:lineRule="auto"/>
            </w:pPr>
            <w:r>
              <w:rPr>
                <w:rFonts w:ascii="Arial" w:hAnsi="Arial"/>
                <w:sz w:val="19"/>
              </w:rPr>
              <w:t>Juge d'instruction Mikheeva I.M.</w:t>
            </w:r>
          </w:p>
        </w:tc>
        <w:tc>
          <w:tcPr>
            <w:tcW w:type="dxa" w:w="4394"/>
          </w:tcPr>
          <w:p>
            <w:pPr>
              <w:spacing w:before="0" w:after="60" w:line="220" w:lineRule="auto"/>
            </w:pPr>
            <w:r>
              <w:rPr>
                <w:rFonts w:ascii="Arial" w:hAnsi="Arial"/>
                <w:sz w:val="19"/>
              </w:rPr>
              <w:t>Le juge d'instruction a refusé de citer AVB devant le tribunal et de tenir l'audience en visioconférence (via les organes compétents de l'Autriche), malgré le fait que :</w:t>
              <w:br/>
              <w:t>AVB ne se cache pas et réside légalement à l'étranger en Autriche, ce qui est connu de l'enquête et du tribunal ;</w:t>
              <w:br/>
              <w:t>Le CPP d'Ukraine garantit le droit d'AVB d'être informé de l'audience judiciaire ;</w:t>
              <w:br/>
              <w:t>AVB, pour des raisons objectives, ne peut pas participer à l'audience judiciaire en utilisant ses propres moyens techniques (absence de signature électronique qualifiée en raison de l'absence de citoyenneté ukrainienne) ;</w:t>
              <w:br/>
              <w:t>il existe des mécanismes juridiques pour assurer la participation d'AVB à l'audience judiciaire au moyen de la procédure d'entraide judiciaire internationale ;</w:t>
              <w:br/>
              <w:t>l'enquête et le tribunal n'ont envoyé à AVB aucune notification dans les formes prescrites par la loi.</w:t>
              <w:br/>
              <w:t>Ainsi, AVB a été privé de la possibilité de participer à l'examen et d'exercer le droit à la défense.</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Enregistrements techniques et journaux d'audience de l'affaire.</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Refus de faire droit aux Requêtes sur la tenue de l'audition d'AVB dans le cadre de l'entraide judiciaire internationale</w:t>
            </w:r>
          </w:p>
        </w:tc>
        <w:tc>
          <w:tcPr>
            <w:tcW w:type="dxa" w:w="1984"/>
          </w:tcPr>
          <w:p>
            <w:pPr>
              <w:spacing w:before="0" w:after="60" w:line="220" w:lineRule="auto"/>
            </w:pPr>
            <w:r>
              <w:rPr>
                <w:rFonts w:ascii="Arial" w:hAnsi="Arial"/>
                <w:sz w:val="19"/>
              </w:rPr>
              <w:t>Enquêteur du GSU du SBU Romashkin D.S.</w:t>
              <w:br/>
              <w:t>Procureur de l'OGP Safaryan O.</w:t>
            </w:r>
          </w:p>
        </w:tc>
        <w:tc>
          <w:tcPr>
            <w:tcW w:type="dxa" w:w="4394"/>
          </w:tcPr>
          <w:p>
            <w:pPr>
              <w:spacing w:before="0" w:after="60" w:line="220" w:lineRule="auto"/>
            </w:pPr>
            <w:r>
              <w:rPr>
                <w:rFonts w:ascii="Arial" w:hAnsi="Arial"/>
                <w:sz w:val="19"/>
              </w:rPr>
              <w:t>La défense s'est adressée à deux reprises à l'accusation avec des Requêtes sur la tenue de l'audition d'AVB dans le cadre de l'entraide judiciaire internationale.</w:t>
              <w:br/>
              <w:t>L'enquêteur et le procureur ont illégalement refusé de faire droit à de telles Requêtes.</w:t>
              <w:br/>
              <w:t>Motifs du refus :</w:t>
              <w:br/>
              <w:t>Le 30 avril 2025, la notification de suspicion a été signifiée à AVB par les services répressifs de Monaco dans le cadre de l'exécution d'une commission rogatoire internationale de l'Ukraine.</w:t>
              <w:br/>
              <w:t>Des convocations du procureur à un interrogatoire ont été remises au suspect, mais il ne s'est pas présenté aux dates indiquées.</w:t>
              <w:br/>
              <w:t>Le refus d'AVB de signer les duplicatas des actes de procédure reçus est consigné dans les procès-verbaux correspondants.</w:t>
              <w:br/>
              <w:t>Le changement de lieu de résidence de Monaco pour l'Autriche ne libère pas de l'obligation de comparaître sur convocation du procureur.</w:t>
              <w:br/>
              <w:t>L'interrogatoire doit se dérouler au lieu de l'enquête préliminaire, et non à l'étranger.</w:t>
              <w:br/>
              <w:t>La tenue de l'interrogatoire uniquement dans le cadre de l'entraide judiciaire internationale n'est pas prévue par les dispositions du CPP d'Ukraine.</w:t>
              <w:br/>
              <w:t>La volonté de coopérer ne peut être confirmée que par la comparution personnelle sur convocation, ce qui constitue une obligation pour le suspect.</w:t>
              <w:br/>
              <w:t>Justification de l'illégalité du refus de l'enquêteur et du procureur :</w:t>
              <w:br/>
              <w:t>Violation de l'art. 567 du CPP d'Ukraine — AVB réside en permanence à l'étranger, et les actes d'instruction doivent être effectués dans le cadre de l'entraide judiciaire internationale ;</w:t>
              <w:br/>
              <w:t>Le refus ne contient pas de motivation adéquate — les modalités alternatives d'interrogatoire n'ont pas été examinées, ce qui constitue une violation de l'art. 110 du CPP d'Ukraine ;</w:t>
              <w:br/>
              <w:t>L'exigence d'une comparution personnelle est disproportionnée dans les conditions de la loi martiale et viole le principe de raisonnabilité procédurale ;</w:t>
              <w:br/>
              <w:t>La notification de suspicion et la remise des pièces ont déjà été effectuées dans le cadre de l'entraide judiciaire internationale — le mécanisme a prouvé son efficacité ;</w:t>
              <w:br/>
              <w:t>Violation du droit à la défense :</w:t>
              <w:br/>
              <w:t>refus de l'enquête de procéder à l'interrogatoire d'AVB à l'initiative de la défense, acte que seule l'accusation a le droit de réaliser ;</w:t>
              <w:br/>
              <w:t>privation de la possibilité de déposer.</w:t>
              <w:br/>
              <w:t>De tels actes violent le principe de « l'égalité des armes » (art. 6 de la Convention européenne, jurisprudence de la CEDH).</w:t>
            </w:r>
          </w:p>
        </w:tc>
        <w:tc>
          <w:tcPr>
            <w:tcW w:type="dxa" w:w="2693"/>
          </w:tcPr>
          <w:p>
            <w:pPr>
              <w:spacing w:before="0" w:after="60" w:line="220" w:lineRule="auto"/>
            </w:pPr>
            <w:r>
              <w:rPr>
                <w:rFonts w:ascii="Arial" w:hAnsi="Arial"/>
                <w:sz w:val="19"/>
              </w:rPr>
              <w:t>Refus de faire droit aux Plaintes formées contre les Décisions de l'enquêteur et du procureur portant refus de procéder à l'audition d'AVB dans le cadre de l'entraide judiciaire internationale.</w:t>
            </w:r>
          </w:p>
        </w:tc>
        <w:tc>
          <w:tcPr>
            <w:tcW w:type="dxa" w:w="2976"/>
          </w:tcPr>
          <w:p>
            <w:pPr>
              <w:spacing w:before="0" w:after="60" w:line="220" w:lineRule="auto"/>
            </w:pPr>
            <w:r>
              <w:rPr>
                <w:rFonts w:ascii="Arial" w:hAnsi="Arial"/>
                <w:sz w:val="19"/>
              </w:rPr>
              <w:t>Décisions du procureur des 9 juillet 2025 et 10 octobre 2025 portant refus de procéder à l'audition d'AVB dans le cadre de l'entraide judiciaire internationale.</w:t>
              <w:br/>
              <w:t>Décisions de l'enquêteur des 8 juillet 2025 et 10 octobre 2025 portant refus de procéder à l'audition d'AVB dans le cadre de l'entraide judiciaire internationale.</w:t>
              <w:br/>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L'enquêteur a suspendu illégalement et sans motifs suffisants, à deux reprises, l'enquête préliminaire pour une durée indéterminée.</w:t>
            </w:r>
          </w:p>
        </w:tc>
        <w:tc>
          <w:tcPr>
            <w:tcW w:type="dxa" w:w="1984"/>
          </w:tcPr>
          <w:p>
            <w:pPr>
              <w:spacing w:before="0" w:after="60" w:line="220" w:lineRule="auto"/>
            </w:pPr>
            <w:r>
              <w:rPr>
                <w:rFonts w:ascii="Arial" w:hAnsi="Arial"/>
                <w:sz w:val="19"/>
              </w:rPr>
              <w:t>Enquêteur du SBU Romashkin D.S.</w:t>
            </w:r>
          </w:p>
        </w:tc>
        <w:tc>
          <w:tcPr>
            <w:tcW w:type="dxa" w:w="4394"/>
          </w:tcPr>
          <w:p>
            <w:pPr>
              <w:spacing w:before="0" w:after="60" w:line="220" w:lineRule="auto"/>
            </w:pPr>
            <w:r>
              <w:rPr>
                <w:rFonts w:ascii="Arial" w:hAnsi="Arial"/>
                <w:sz w:val="19"/>
              </w:rPr>
              <w:t>L'enquêteur a rendu illégalement 2 Décisions des 25 septembre 2025 et 18 février 2026 sur la suspension de l'enquête préliminaire, dans la mesure où il a violé :</w:t>
              <w:br/>
              <w:t>L'alinéa 1 de la partie 1 de l'art. 280 du CPP — l'enquêteur a suspendu l'enquête préliminaire en l'absence du fait de notification à AVB de la suspicion de commission d'une infraction.</w:t>
              <w:br/>
              <w:t>Puisque la suspicion n'a pas été notifiée à AVB selon la procédure établie par le CPP, il n'a pas acquis le statut de suspect.</w:t>
              <w:br/>
              <w:t>À son tour, l'enquête préliminaire ne peut être suspendue qu'après notification de la suspicion à la personne.</w:t>
              <w:br/>
              <w:t>La partie 2 de l'art. 280 du CPP — avant l'adoption des Décisions, l'enquêteur n'a pas accompli tous les actes d'instruction et de procédure.</w:t>
              <w:br/>
              <w:t>En particulier, l'enquêteur n'a pas interrogé AVB.</w:t>
              <w:br/>
              <w:t>La partie 5 de l'art. 110 du CPP — en ce qui concerne la rédaction irrégulière des Décisions :</w:t>
              <w:br/>
              <w:t>les Décisions ne contiennent pas de données concrètes sur la nature précise des actes accomplis dans le cadre de la coopération internationale, dans quels délais, par quel organe et selon quelle procédure ;</w:t>
              <w:br/>
              <w:t>l'enquêteur n'a pas motivé l'impossibilité de poursuivre l'enquête préliminaire sans les résultats de l'entraide judiciaire internationale ;</w:t>
              <w:br/>
              <w:t>dans le texte de la Décision, il n'y a pas de formulation claire de ce qui constitue précisément le fondement de la suspension, hormis la référence aux demandes d'entraide judiciaire internationale ;</w:t>
              <w:br/>
              <w:t>dans la Décision, les autres mécanismes alternatifs d'exécution des actes de procédure prévus par le CPP ne sont pas évalués.</w:t>
              <w:br/>
              <w:t>L'article 6 de la Convention de sauvegarde des droits de l'homme et des libertés fondamentales — la suspension de l'enquête préliminaire en violation des exigences du CPP viole le droit d'AVB à l'achèvement de la Procédure dans un délai raisonnable.</w:t>
              <w:br/>
              <w:t>Par la Décision du 18 février 2026, l'enquête préliminaire est suspendue pour une durée indéterminée.</w:t>
              <w:br/>
              <w:t>Pendant toute la durée pour laquelle l'enquête préliminaire est suspendue, les droits d'AVB seront limités.</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Décisions de l'enquêteur sur la suspension de l'enquête préliminaire du 29 mai 2025 et du 18 février 2026.</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Une mesure de sûreté sous la forme de détention provisoire sans possibilité de versement d'une caution a été illégalement appliquée à l'égard d'AVB.</w:t>
            </w:r>
          </w:p>
        </w:tc>
        <w:tc>
          <w:tcPr>
            <w:tcW w:type="dxa" w:w="1984"/>
          </w:tcPr>
          <w:p>
            <w:pPr>
              <w:spacing w:before="0" w:after="60" w:line="220" w:lineRule="auto"/>
            </w:pPr>
            <w:r>
              <w:rPr>
                <w:rFonts w:ascii="Arial" w:hAnsi="Arial"/>
                <w:sz w:val="19"/>
              </w:rPr>
              <w:t>Juge d'instruction Mikheeva I.M.</w:t>
            </w:r>
          </w:p>
        </w:tc>
        <w:tc>
          <w:tcPr>
            <w:tcW w:type="dxa" w:w="4394"/>
          </w:tcPr>
          <w:p>
            <w:pPr>
              <w:spacing w:before="0" w:after="60" w:line="220" w:lineRule="auto"/>
            </w:pPr>
            <w:r>
              <w:rPr>
                <w:rFonts w:ascii="Arial" w:hAnsi="Arial"/>
                <w:sz w:val="19"/>
              </w:rPr>
              <w:t>Le juge d'instruction a rendu une Ordonnance sur le choix d'une mesure de sûreté à l'égard d'AVB, qui est infondée et illégale et a été rendue avec des violations substantielles des exigences du CPP d'Ukraine pour les motifs suivants :</w:t>
              <w:br/>
              <w:t>La notification de suspicion n'a pas été remise à AVB selon les modalités prévues par la loi.</w:t>
              <w:br/>
              <w:t>Le juge d'instruction n'a pas tenu compte, de manière non motivée, du fait que l'accusation n'a pas produit de preuves de la remise de la notification de suspicion, comme l'exige la législation de procédure pénale.</w:t>
              <w:br/>
              <w:t>Ne sont pas joints aux pièces de la Requête : (1) le récépissé d'AVB attestant la remise de la notification de suspicion, (2) l'attestation d'exécution de la commission rogatoire, telle que prévue par la Convention européenne, (3) l'enregistrement vidéo d'une telle remise, (4) tout autre document confirmant la remise de la notification de suspicion selon les formes et modalités régulières.</w:t>
              <w:br/>
              <w:t>La suspicion est non fondée.</w:t>
              <w:br/>
              <w:t>Il n'existe aucun signe d'actes illégaux qui pourraient constituer des infractions préalables au blanchiment de fonds.</w:t>
              <w:br/>
              <w:t>La vente ultérieure des actions de « Motor Sich » aux représentants de la RPC constitue une opération commerciale habituelle et légale. Les indices de blanchiment de quelconques fonds sont absents.</w:t>
              <w:br/>
              <w:t>L'utilisation des fonds obtenus de la vente légale des actions ne contient aucun indice d'activité criminelle. Toute preuve du contraire fait défaut.</w:t>
              <w:br/>
              <w:t>Il n'existe aucune preuve de la commission par le Client de quelconques actes illégaux.</w:t>
              <w:br/>
              <w:t>AVB n'a pas été déclaré recherché au niveau international, ce qui constitue une condition préalable obligatoire pour le choix de la mesure de sûreté.</w:t>
              <w:br/>
              <w:t>Le juge d'instruction n'a pas vérifié l'existence d'une recherche effective ni sa régularité, commettant une violation substantielle de la loi de procédure.</w:t>
              <w:br/>
              <w:t>À l'égard d'AVB, il n'existe aucun des risques prévus par le CPP d'Ukraine.</w:t>
              <w:br/>
              <w:t>Des violations substantielles des exigences du CPP ont été commises par le juge d'instruction.</w:t>
              <w:br/>
              <w:t>AVB n'a pas été cité à l'audience, l'examen de l'affaire s'est déroulé sans sa participation ;</w:t>
              <w:br/>
              <w:t>L'accusation n'a pas remis la Requête à AVB.</w:t>
              <w:br/>
              <w:t>Le juge d'instruction n'a pas examiné l'ensemble des pièces du dossier.</w:t>
              <w:br/>
              <w:t>Le juge d'instruction a refusé, sans justification, de faire droit aux Requêtes de la défense visant à examiner les preuves de l'affaire.</w:t>
              <w:br/>
              <w:t>Ainsi, lors de l'examen de la Requête, les droits d'AVB ont été gravement violés par le juge d'instruction : (1) à la défense, (2) à l'accès à la justice.</w:t>
              <w:br/>
              <w:t>En outre, les principes généraux de la justice ont été violés, à savoir : (1) le principe d'égalité des parties à la procédure pénale, (2) du contradictoire.</w:t>
            </w:r>
          </w:p>
        </w:tc>
        <w:tc>
          <w:tcPr>
            <w:tcW w:type="dxa" w:w="2693"/>
          </w:tcPr>
          <w:p>
            <w:pPr>
              <w:spacing w:before="0" w:after="60" w:line="220" w:lineRule="auto"/>
            </w:pPr>
            <w:r>
              <w:rPr>
                <w:rFonts w:ascii="Arial" w:hAnsi="Arial"/>
                <w:sz w:val="19"/>
              </w:rPr>
              <w:t>Le 1er avril 2026, rejet de l'Appel formé contre l'Ordonnance sur le choix d'une mesure de sûreté à l'égard d'AVB.</w:t>
              <w:br/>
            </w:r>
          </w:p>
        </w:tc>
        <w:tc>
          <w:tcPr>
            <w:tcW w:type="dxa" w:w="2976"/>
          </w:tcPr>
          <w:p>
            <w:pPr>
              <w:spacing w:before="0" w:after="60" w:line="220" w:lineRule="auto"/>
            </w:pPr>
            <w:r>
              <w:rPr>
                <w:rFonts w:ascii="Arial" w:hAnsi="Arial"/>
                <w:sz w:val="19"/>
              </w:rPr>
              <w:t>Ordonnance du tribunal de district Shevchenkivskyi de Kyiv du 31 juillet 2025 dans l'affaire n° 761/28187/25.</w:t>
              <w:br/>
              <w:t>Arrêt de la Cour d'appel de Kyiv du 1er avril 2026 dans l'affaire n° 761/19003/25.</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Saisie illégale des biens d'AVB situés à l'étranger</w:t>
            </w:r>
          </w:p>
        </w:tc>
        <w:tc>
          <w:tcPr>
            <w:tcW w:type="dxa" w:w="1984"/>
          </w:tcPr>
          <w:p>
            <w:pPr>
              <w:spacing w:before="0" w:after="60" w:line="220" w:lineRule="auto"/>
            </w:pPr>
            <w:r>
              <w:rPr>
                <w:rFonts w:ascii="Arial" w:hAnsi="Arial"/>
                <w:sz w:val="19"/>
              </w:rPr>
              <w:t>Juge d'instruction Tsiktich V.M.</w:t>
              <w:br/>
            </w:r>
          </w:p>
        </w:tc>
        <w:tc>
          <w:tcPr>
            <w:tcW w:type="dxa" w:w="4394"/>
          </w:tcPr>
          <w:p>
            <w:pPr>
              <w:spacing w:before="0" w:after="60" w:line="220" w:lineRule="auto"/>
            </w:pPr>
            <w:r>
              <w:rPr>
                <w:rFonts w:ascii="Arial" w:hAnsi="Arial"/>
                <w:sz w:val="19"/>
              </w:rPr>
              <w:t>Le juge d'instruction a rendu une Ordonnance de saisie des biens d'AVB situés à l'étranger.</w:t>
              <w:br/>
              <w:t>La saisie est ordonnée afin de garantir la confiscation des biens en tant que peine.</w:t>
              <w:br/>
              <w:t>Une telle Ordonnance est illégale pour les motifs suivants :</w:t>
              <w:br/>
              <w:t>La saisie aux fins de confiscation ne peut être ordonnée que sur les biens du suspect.</w:t>
              <w:br/>
              <w:t>Cependant, le juge d'instruction :</w:t>
              <w:br/>
              <w:t>A saisi les biens d'AVB, malgré le fait que, dans les pièces produites par l'accusation, font défaut les preuves de la remise de la notification de suspicion.</w:t>
              <w:br/>
              <w:t>Les pièces ne contiennent : (1) ni procès-verbal de remise de la notification de suspicion, (2) ni récépissé de réception par la personne, (3) ni document de l'organe compétent d'un État étranger indiquant les modalités, la date et les circonstances de la remise.</w:t>
              <w:br/>
              <w:t>C'est-à-dire que le juge d'instruction a saisi les biens d'AVB en qualité de suspect en l'absence de preuves de l'acquisition par lui d'un tel statut.</w:t>
              <w:br/>
              <w:t>A saisi les biens de tiers qui n'ont aucun statut dans le cadre de la Procédure.</w:t>
              <w:br/>
              <w:t>Le juge d'instruction, sur le fondement du procès-verbal d'examen des pièces obtenues dans le cadre de l'entraide judiciaire internationale, a tiré des conclusions sur : (1) l'existence chez AVB d'actifs à l'étranger, (2) la structure de propriété des sociétés concernées et (3) le lien d'AVB avec les personnes morales.</w:t>
              <w:br/>
              <w:t>Cependant, ces pièces sont rédigées en langue française sans traduction en langue ukrainienne.</w:t>
              <w:br/>
              <w:t>C'est-à-dire que de telles preuves ne pouvaient pas être retenues au fondement de la décision de justice.</w:t>
              <w:br/>
              <w:t>Le juge d'instruction, en violation des exigences de la partie 3 de l'art. 132 du CPP : (1) n'a pas fixé la valeur des actifs saisis ; (2) n'a pas déterminé le montant estimatif du préjudice ou de l'avantage indu ; (3) n'a pas mis en rapport l'étendue de la saisie avec le montant éventuel de la confiscation ; (4) n'a pas fixé les limites dans lesquelles l'exécution du jugement peut être assurée.</w:t>
              <w:br/>
              <w:t>Le juge d'instruction a de fait ordonné la saisie de l'ensemble des biens identifiés sans fixation de leur valeur et sans limitation aux bornes de la mesure éventuelle de la confiscation.</w:t>
              <w:br/>
              <w:t>L'Ordonnance a été rendue sans la participation d'AVB.</w:t>
              <w:br/>
              <w:t>L'examen d'une requête de saisie de biens sans citation du propriétaire n'est admis que dans les cas où il existe une menace réelle pour l'atteinte du but de la saisie en cas de notification à une telle personne.</w:t>
              <w:br/>
              <w:t>Cependant, le juge d'instruction n'a avancé aucun motif attestant : (1) de l'urgence de l'examen de la requête, (2) de l'impossibilité de citer la défense, (3) de l'existence de risques justifiant l'examen sans la participation du propriétaire.</w:t>
              <w:br/>
              <w:t>Le juge d'instruction n'a pas établi que la citation d'AVB/du défenseur aurait pu conduire à l'aliénation ou à la dissimulation des biens.</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Ordonnance du tribunal de district Shevchenkivskyi de Kyiv du 14 juillet 2025 dans l'affaire n° 761/28994/25.</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Le contrôle judiciaire dans le cadre de la Procédure est exercé en violation des règles de compétence juridictionnelle.</w:t>
            </w:r>
          </w:p>
        </w:tc>
        <w:tc>
          <w:tcPr>
            <w:tcW w:type="dxa" w:w="1984"/>
          </w:tcPr>
          <w:p>
            <w:pPr>
              <w:spacing w:before="0" w:after="60" w:line="220" w:lineRule="auto"/>
            </w:pPr>
            <w:r>
              <w:rPr>
                <w:rFonts w:ascii="Arial" w:hAnsi="Arial"/>
                <w:sz w:val="19"/>
              </w:rPr>
            </w:r>
          </w:p>
        </w:tc>
        <w:tc>
          <w:tcPr>
            <w:tcW w:type="dxa" w:w="4394"/>
          </w:tcPr>
          <w:p>
            <w:pPr>
              <w:spacing w:before="0" w:after="60" w:line="220" w:lineRule="auto"/>
            </w:pPr>
            <w:r>
              <w:rPr>
                <w:rFonts w:ascii="Arial" w:hAnsi="Arial"/>
                <w:sz w:val="19"/>
              </w:rPr>
              <w:t>Un autre suspect dans le cadre de la Procédure est VAB, père d'AVB.</w:t>
              <w:br/>
              <w:t>Il est soupçonné de la commission de l'infraction prévue par la partie 5 de l'art. 191 du CP (prédicat).</w:t>
              <w:br/>
              <w:t>Selon la version de l'enquête, une telle infraction a été commise de 1991 à 2014. Dans le même temps, VAB a été député du peuple d'Ukraine de 2002 à 2019.</w:t>
              <w:br/>
              <w:t>La procédure pénale relative au soupçon de commission par un député du peuple d'Ukraine de l'infraction prévue par la partie 5 de l'art. 191 du CP d'Ukraine relève de la compétence juridictionnelle exclusive de la VAKS conformément à la partie 1 de l'art. 33-1 du CPP.</w:t>
              <w:br/>
              <w:t>Cela constitue une violation du droit à l'examen de l'affaire par un tribunal établi par la loi, prévu par l'art. 6 de la Convention européenne.</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Refus opposé à la défense quant à la collecte de preuves, à savoir des renseignements tirés de l'ERDR.</w:t>
            </w:r>
          </w:p>
        </w:tc>
        <w:tc>
          <w:tcPr>
            <w:tcW w:type="dxa" w:w="1984"/>
          </w:tcPr>
          <w:p>
            <w:pPr>
              <w:spacing w:before="0" w:after="60" w:line="220" w:lineRule="auto"/>
            </w:pPr>
            <w:r>
              <w:rPr>
                <w:rFonts w:ascii="Arial" w:hAnsi="Arial"/>
                <w:sz w:val="19"/>
              </w:rPr>
              <w:t>Procureur de l'OGP Zhovnerchuk Y.</w:t>
              <w:br/>
              <w:t>Juge d'instruction Maltsev D.O.</w:t>
            </w:r>
          </w:p>
        </w:tc>
        <w:tc>
          <w:tcPr>
            <w:tcW w:type="dxa" w:w="4394"/>
          </w:tcPr>
          <w:p>
            <w:pPr>
              <w:spacing w:before="0" w:after="60" w:line="220" w:lineRule="auto"/>
            </w:pPr>
            <w:r>
              <w:rPr>
                <w:rFonts w:ascii="Arial" w:hAnsi="Arial"/>
                <w:sz w:val="19"/>
              </w:rPr>
              <w:t>Le procureur et le juge d'instruction ont refusé à la défense d'obtenir des renseignements tirés de l'ERDR, à savoir :</w:t>
              <w:br/>
              <w:t>Les informations relatives à la section « Renseignements généraux » et à tous les onglets de cette section.</w:t>
              <w:br/>
              <w:t>Les informations relatives à la section « Infractions pénales » et à tous les onglets de cette section.</w:t>
              <w:br/>
              <w:t>Les informations relatives à la section « Mouvement de la procédure ».</w:t>
              <w:br/>
              <w:t>Les informations relatives à la section « Fichiers joints » — s'agissant des documents confirmant les actes de procédure susmentionnés.</w:t>
              <w:br/>
              <w:t>L'obtention desdits renseignements de l'ERDR est nécessaire pour :</w:t>
              <w:br/>
              <w:t>réfuter les informations sur l'acquisition par AVB du statut de suspect (les informations correspondantes ont pu ne pas être inscrites au registre ERDR) ;</w:t>
              <w:br/>
              <w:t>confirmer la chronologie factuelle des actes de l'accusation concernant la suspension et la reprise de l'enquête préliminaire ;</w:t>
              <w:br/>
              <w:t>établir les circonstances du respect du délai de l'enquête préliminaire ;</w:t>
              <w:br/>
              <w:t>établir les circonstances de la violation de la procédure prescrite par la loi pour la mise en recherche d'AVB ;</w:t>
              <w:br/>
              <w:t>vérifier la régularité de l'accomplissement des actes de procédure pendant la période où la procédure était suspendue, y compris la délivrance d'instructions, la rédaction de documents et l'adoption de décisions procédurales par l'enquêteur ;</w:t>
              <w:br/>
              <w:t>identifier d'éventuelles divergences entre les actes de procédure effectifs et leur retranscription dans l'ERDR ;</w:t>
              <w:br/>
              <w:t>la formation régulière de la position de la défense.</w:t>
              <w:br/>
              <w:t>Le procureur, par Décision du 5 septembre 2025, a refusé de fournir les renseignements de l'ERDR au motif que les données de l'ERDR sont fournies uniquement sous la forme d'un Extrait.</w:t>
              <w:br/>
              <w:t>Le juge d'instruction, par Ordonnance du 29 septembre 2025, a refusé l'accès temporaire aux renseignements de l'ERDR. Motif — la défense n'a pas prouvé que l'obtention de tels renseignements avait une importance substantielle pour établir les circonstances de la Procédure.</w:t>
              <w:br/>
              <w:t>Ainsi, la défense a été limitée dans la collecte des preuves, à savoir des renseignements de l'ERDR. En conséquence, la défense est privée de la possibilité de :</w:t>
              <w:br/>
              <w:t>confirmer ou réfuter la régularité des décisions procédurales clés de l'enquête ;</w:t>
              <w:br/>
              <w:t>établir le volume effectif et la teneur des renseignements inscrits à l'ERDR ;</w:t>
              <w:br/>
              <w:t>déceler les violations éventuelles affectant la recevabilité des preuves.</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Décision du procureur du 5 septembre 2025 portant refus de faire droit à la Requête tendant à la mise à disposition pour consultation des pièces de l'enquête préliminaire.</w:t>
              <w:br/>
              <w:t>Ordonnance du tribunal de district Shevchenkivskyi du 29 septembre 2025 dans l'affaire n° 761/39679/25 portant refus de faire droit à la Requête d'accès temporaire aux renseignements de l'ERDR.</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Comportement partial envers la défense lors de l'examen de l'Appel formé contre l'Ordonnance sur l'arrestation in absentia d'AVB.</w:t>
            </w:r>
          </w:p>
        </w:tc>
        <w:tc>
          <w:tcPr>
            <w:tcW w:type="dxa" w:w="1984"/>
          </w:tcPr>
          <w:p>
            <w:pPr>
              <w:spacing w:before="0" w:after="60" w:line="220" w:lineRule="auto"/>
            </w:pPr>
            <w:r>
              <w:rPr>
                <w:rFonts w:ascii="Arial" w:hAnsi="Arial"/>
                <w:sz w:val="19"/>
              </w:rPr>
              <w:t>Collège de juges de la Cour d'appel de Kyiv composé de Lashevych V.M., Kaganovska T.V., Rybak I.O.</w:t>
              <w:br/>
              <w:t>Procureur de l'OGP Safaryan O.</w:t>
            </w:r>
          </w:p>
        </w:tc>
        <w:tc>
          <w:tcPr>
            <w:tcW w:type="dxa" w:w="4394"/>
          </w:tcPr>
          <w:p>
            <w:pPr>
              <w:spacing w:before="0" w:after="60" w:line="220" w:lineRule="auto"/>
            </w:pPr>
            <w:r>
              <w:rPr>
                <w:rFonts w:ascii="Arial" w:hAnsi="Arial"/>
                <w:sz w:val="19"/>
              </w:rPr>
              <w:t>Lors de l'examen de l'Appel formé contre l'arrestation in absentia d'AVB, le collège de juges et le procureur ont fait preuve d'un comportement partial à l'égard de la défense.</w:t>
              <w:br/>
              <w:t>Un tel comportement est attesté par les éléments suivants :</w:t>
              <w:br/>
              <w:t>Le procureur a saisi le tribunal d'une Requête tendant à la désignation d'un défenseur commis d'office au titre de l'art. 53 du CPP.</w:t>
              <w:br/>
              <w:t>Au soutien de la Requête, le procureur a indiqué que la défense ne se présentait pas systématiquement aux audiences judiciaires.</w:t>
              <w:br/>
              <w:t>Cependant, depuis la saisine du tribunal, 9 audiences judiciaires ont été fixées (1 audience n'a pas eu lieu en raison d'une alerte à la bombe concernant le tribunal).</w:t>
              <w:br/>
              <w:t>Le procureur n'était présent qu'à 1 audience sur 8, étant précisé que :</w:t>
              <w:br/>
              <w:t>il ne s'est pas présenté à 3 audiences sans informer le tribunal des motifs de sa non-comparution ;</w:t>
              <w:br/>
              <w:t>il ne s'est pas présenté à 3 audiences sans notification des motifs de son absence, après avoir préalablement déposé une requête de participation à l'audience en visioconférence ;</w:t>
              <w:br/>
              <w:t>il ne s'est pas présenté à 1 audience, ayant déposé une requête d'ajournement.</w:t>
              <w:br/>
              <w:t>Dans le même temps, la défense informait chaque fois le tribunal des motifs de non-comparution, que le tribunal reconnaissait comme valables.</w:t>
              <w:br/>
              <w:t>Le collège de juges a fait droit à ladite Requête du procureur et a désigné un défenseur commis d'office.</w:t>
              <w:br/>
              <w:t>Au soutien de l'Ordonnance, le tribunal s'est référé uniquement au défaut de comparution de la défense, sans mentionner le fait de la non-comparution systématique du procureur sans indication des motifs.</w:t>
              <w:br/>
              <w:t>Le collège de juges a rendu l'Ordonnance sur la désignation d'un défenseur commis d'office en dehors des formes procédurales.</w:t>
              <w:br/>
              <w:t>Le journal de l'audience judiciaire du 11 mars 2026 ne contient aucune mention de la saisine du procureur par Requête ni de son examen.</w:t>
              <w:br/>
              <w:t>Le collège de juges a rejeté la récusation du collège de juges et du procureur pour les motifs indiqués ci-dessus.</w:t>
            </w:r>
          </w:p>
        </w:tc>
        <w:tc>
          <w:tcPr>
            <w:tcW w:type="dxa" w:w="2693"/>
          </w:tcPr>
          <w:p>
            <w:pPr>
              <w:spacing w:before="0" w:after="60" w:line="220" w:lineRule="auto"/>
            </w:pPr>
            <w:r>
              <w:rPr>
                <w:rFonts w:ascii="Arial" w:hAnsi="Arial"/>
                <w:sz w:val="19"/>
              </w:rPr>
            </w:r>
          </w:p>
        </w:tc>
        <w:tc>
          <w:tcPr>
            <w:tcW w:type="dxa" w:w="2976"/>
          </w:tcPr>
          <w:p>
            <w:pPr>
              <w:spacing w:before="0" w:after="60" w:line="220" w:lineRule="auto"/>
            </w:pPr>
            <w:r>
              <w:rPr>
                <w:rFonts w:ascii="Arial" w:hAnsi="Arial"/>
                <w:sz w:val="19"/>
              </w:rPr>
              <w:t>Requête du procureur du 11 mars 2026 tendant à la désignation d'un défenseur pour l'examen de l'Appel.</w:t>
              <w:br/>
              <w:t>Arrêt de la Cour d'appel de Kyiv du 11 mars 2026 dans l'affaire n° 761/28187/25.</w:t>
              <w:br/>
              <w:t>Journal de l'audience judiciaire du 11 mars 2026 dans l'affaire n° 761/28187/25.</w:t>
              <w:br/>
              <w:t>Pièces du dossier judiciaire n° 761/28187/25.</w:t>
              <w:br/>
              <w:t xml:space="preserve"> </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Entrave causée à la défense dans la collecte de preuves par le refus illégitime de communiquer des informations et des documents.</w:t>
            </w:r>
          </w:p>
        </w:tc>
        <w:tc>
          <w:tcPr>
            <w:tcW w:type="dxa" w:w="1984"/>
          </w:tcPr>
          <w:p>
            <w:pPr>
              <w:spacing w:before="0" w:after="60" w:line="220" w:lineRule="auto"/>
            </w:pPr>
            <w:r>
              <w:rPr>
                <w:rFonts w:ascii="Arial" w:hAnsi="Arial"/>
                <w:sz w:val="19"/>
              </w:rPr>
              <w:t>L'État en la personne de la SA « Motor Sich »</w:t>
            </w:r>
          </w:p>
        </w:tc>
        <w:tc>
          <w:tcPr>
            <w:tcW w:type="dxa" w:w="4394"/>
          </w:tcPr>
          <w:p>
            <w:pPr>
              <w:spacing w:before="0" w:after="60" w:line="220" w:lineRule="auto"/>
            </w:pPr>
            <w:r>
              <w:rPr>
                <w:rFonts w:ascii="Arial" w:hAnsi="Arial"/>
                <w:sz w:val="19"/>
              </w:rPr>
              <w:t>La défense s'est adressée à la SA « Motor Sich » par une demande d'avocat tendant à la communication d'informations et de documents nécessaires à la défense d'AVB.</w:t>
              <w:br/>
              <w:t>La SA « Motor Sich » a refusé de fournir une part importante des informations demandées.</w:t>
              <w:br/>
              <w:t>Le motif principal — l'impossibilité d'établir de quelle manière les informations demandées se rapportent à la fourniture de l'assistance juridique à AVB.</w:t>
              <w:br/>
              <w:t>De tels motifs de refus ne sont pas prévus par la loi. L'avocat n'est pas tenu de justifier devant le destinataire de la demande d'avocat le but et l'opportunité d'obtenir les informations.</w:t>
              <w:br/>
              <w:t>Le but et le motif de l'obtention des informations peuvent constituer le secret professionnel de l'avocat.</w:t>
            </w:r>
          </w:p>
        </w:tc>
        <w:tc>
          <w:tcPr>
            <w:tcW w:type="dxa" w:w="2693"/>
          </w:tcPr>
          <w:p>
            <w:pPr>
              <w:spacing w:before="0" w:after="60" w:line="220" w:lineRule="auto"/>
            </w:pPr>
            <w:r>
              <w:rPr>
                <w:rFonts w:ascii="Arial" w:hAnsi="Arial"/>
                <w:sz w:val="19"/>
              </w:rPr>
              <w:t>Nous utilisons le refus pour saisir le tribunal d'une requête d'accès temporaire aux documents de la SA « Motor Sich ».</w:t>
              <w:br/>
              <w:t>Nous engageons la mise en jeu de la responsabilité administrative des agents de la SA « Motor Sich ».</w:t>
            </w:r>
          </w:p>
        </w:tc>
        <w:tc>
          <w:tcPr>
            <w:tcW w:type="dxa" w:w="2976"/>
          </w:tcPr>
          <w:p>
            <w:pPr>
              <w:spacing w:before="0" w:after="60" w:line="220" w:lineRule="auto"/>
            </w:pPr>
            <w:r>
              <w:rPr>
                <w:rFonts w:ascii="Arial" w:hAnsi="Arial"/>
                <w:sz w:val="19"/>
              </w:rPr>
              <w:t>Réponse de la SA « Motor Sich » du 19 août 2026 à la demande n° 20260812/1.</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Conduite de l'enquête préliminaire par un organe incompétent — le SBU au lieu du NABU.</w:t>
            </w:r>
          </w:p>
        </w:tc>
        <w:tc>
          <w:tcPr>
            <w:tcW w:type="dxa" w:w="1984"/>
          </w:tcPr>
          <w:p>
            <w:pPr>
              <w:spacing w:before="0" w:after="60" w:line="220" w:lineRule="auto"/>
            </w:pPr>
            <w:r>
              <w:rPr>
                <w:rFonts w:ascii="Arial" w:hAnsi="Arial"/>
                <w:sz w:val="19"/>
              </w:rPr>
              <w:t>Enquêteurs du GSU du SBU. Procureurs de l'OGP.</w:t>
            </w:r>
          </w:p>
        </w:tc>
        <w:tc>
          <w:tcPr>
            <w:tcW w:type="dxa" w:w="4394"/>
          </w:tcPr>
          <w:p>
            <w:pPr>
              <w:spacing w:before="0" w:after="60" w:line="220" w:lineRule="auto"/>
            </w:pPr>
            <w:r>
              <w:rPr>
                <w:rFonts w:ascii="Arial" w:hAnsi="Arial"/>
                <w:sz w:val="19"/>
              </w:rPr>
              <w:t>Dans le cadre de la Procédure sont instruites des infractions prévues par les art. 191 et 209 du CP d'Ukraine.</w:t>
              <w:br/>
              <w:t>Selon la version de l'enquête, les actes correspondants ont été commis par VAB pendant sa période de mandat de député du peuple d'Ukraine. Le montant du préjudice allégué par l'enquête dépasse 18 milliards d'UAH.</w:t>
              <w:br/>
              <w:t>Dans de telles circonstances, la Procédure relève de la compétence d'enquête exclusive du NABU. Malgré cela, l'enquête préliminaire est effectuée par le GSU du SBU.</w:t>
              <w:br/>
              <w:t>La défense s'est adressée à plusieurs reprises au procureur, à la direction de l'OGP et au tribunal sur la question du transfert de la Procédure au NABU.</w:t>
              <w:br/>
              <w:t>Le changement de compétence d'instruction a été refusé.</w:t>
            </w:r>
          </w:p>
        </w:tc>
        <w:tc>
          <w:tcPr>
            <w:tcW w:type="dxa" w:w="2693"/>
          </w:tcPr>
          <w:p>
            <w:pPr>
              <w:spacing w:before="0" w:after="60" w:line="220" w:lineRule="auto"/>
            </w:pPr>
            <w:r>
              <w:rPr>
                <w:rFonts w:ascii="Arial" w:hAnsi="Arial"/>
                <w:sz w:val="19"/>
              </w:rPr>
              <w:t>La défense a contesté le refus de modification de la compétence d'enquête auprès du Procureur Général et du Procureur Général adjoint.</w:t>
              <w:br/>
              <w:t>Résultat : le changement de compétence d'enquête a été refusé.</w:t>
            </w:r>
          </w:p>
        </w:tc>
        <w:tc>
          <w:tcPr>
            <w:tcW w:type="dxa" w:w="2976"/>
          </w:tcPr>
          <w:p>
            <w:pPr>
              <w:spacing w:before="0" w:after="60" w:line="220" w:lineRule="auto"/>
            </w:pPr>
            <w:r>
              <w:rPr>
                <w:rFonts w:ascii="Arial" w:hAnsi="Arial"/>
                <w:sz w:val="19"/>
              </w:rPr>
              <w:t>Requête au Procureur Général.</w:t>
              <w:br/>
              <w:t>Décision portant refus de faire droit à la Requête sur la détermination de la compétence d'instruction du 12 décembre 2025.</w:t>
              <w:br/>
              <w:t>Plaintes contre l'inaction du procureur liée à la non-modification de la compétence d'instruction du 26 décembre 2025.</w:t>
              <w:br/>
              <w:t>Décision de la VAKS du 8 mai 2026 dans l'affaire n° 991/4579/26.</w:t>
            </w:r>
          </w:p>
        </w:tc>
      </w:tr>
      <w:tr>
        <w:trPr/>
        <w:tc>
          <w:tcPr>
            <w:tcW w:type="dxa" w:w="709"/>
          </w:tcPr>
          <w:p>
            <w:pPr>
              <w:spacing w:before="0" w:after="60" w:line="220" w:lineRule="auto"/>
            </w:pPr>
            <w:r>
              <w:rPr>
                <w:rFonts w:ascii="Arial" w:hAnsi="Arial"/>
                <w:sz w:val="19"/>
              </w:rPr>
            </w:r>
          </w:p>
        </w:tc>
        <w:tc>
          <w:tcPr>
            <w:tcW w:type="dxa" w:w="2551"/>
          </w:tcPr>
          <w:p>
            <w:pPr>
              <w:spacing w:before="0" w:after="60" w:line="220" w:lineRule="auto"/>
            </w:pPr>
            <w:r>
              <w:rPr>
                <w:rFonts w:ascii="Arial" w:hAnsi="Arial"/>
                <w:sz w:val="19"/>
              </w:rPr>
              <w:t>Inaction du procureur relative à la reprise de l'enquête préliminaire rendant impossible la tenue de l'audition d'AVB</w:t>
            </w:r>
          </w:p>
        </w:tc>
        <w:tc>
          <w:tcPr>
            <w:tcW w:type="dxa" w:w="1984"/>
          </w:tcPr>
          <w:p>
            <w:pPr>
              <w:spacing w:before="0" w:after="60" w:line="220" w:lineRule="auto"/>
            </w:pPr>
            <w:r>
              <w:rPr>
                <w:rFonts w:ascii="Arial" w:hAnsi="Arial"/>
                <w:sz w:val="19"/>
              </w:rPr>
              <w:t>Procureur de l'OGP Safaryan O.</w:t>
            </w:r>
          </w:p>
        </w:tc>
        <w:tc>
          <w:tcPr>
            <w:tcW w:type="dxa" w:w="4394"/>
          </w:tcPr>
          <w:p>
            <w:pPr>
              <w:spacing w:before="0" w:after="60" w:line="220" w:lineRule="auto"/>
            </w:pPr>
            <w:r>
              <w:rPr>
                <w:rFonts w:ascii="Arial" w:hAnsi="Arial"/>
                <w:sz w:val="19"/>
              </w:rPr>
              <w:t>L'enquête préliminaire est suspendue. Dans le même temps, l'interrogatoire d'AVB, que l'accusation elle-même considérait comme nécessaire, n'a pas été mené. La localisation d'AVB en Autriche est établie avec certitude et est connue de l'accusation.</w:t>
              <w:br/>
              <w:t>La défense a demandé à plusieurs reprises de procéder à l'audition d'AVB en Autriche dans le cadre de l'entraide judiciaire internationale. L'audition n'a pas été menée. Après la suspension de l'enquête, sa tenue est procéduralement impossible avant la reprise de la Procédure.</w:t>
              <w:br/>
              <w:t>Le 27 juillet 2026, la défense a présenté au procureur une requête tendant à la reprise de l'enquête préliminaire. Le procureur n'a pas repris l'enquête.</w:t>
            </w:r>
          </w:p>
        </w:tc>
        <w:tc>
          <w:tcPr>
            <w:tcW w:type="dxa" w:w="2693"/>
          </w:tcPr>
          <w:p>
            <w:pPr>
              <w:spacing w:before="0" w:after="60" w:line="220" w:lineRule="auto"/>
            </w:pPr>
            <w:r>
              <w:rPr>
                <w:rFonts w:ascii="Arial" w:hAnsi="Arial"/>
                <w:sz w:val="19"/>
              </w:rPr>
              <w:t>Recours formé contre la Décision de suspension de l'enquête préliminaire.</w:t>
              <w:br/>
              <w:t>Par décision de la VAKS, la reprise de l'enquête préliminaire a été refusée.</w:t>
            </w:r>
          </w:p>
        </w:tc>
        <w:tc>
          <w:tcPr>
            <w:tcW w:type="dxa" w:w="2976"/>
          </w:tcPr>
          <w:p>
            <w:pPr>
              <w:spacing w:before="0" w:after="60" w:line="220" w:lineRule="auto"/>
            </w:pPr>
            <w:r>
              <w:rPr>
                <w:rFonts w:ascii="Arial" w:hAnsi="Arial"/>
                <w:sz w:val="19"/>
              </w:rPr>
              <w:t>Requête du 27 juillet 2026 tendant à la reprise de l'enquête préliminaire.</w:t>
              <w:br/>
              <w:t>Plainte contre l'inaction du procureur du 4 août 2026.</w:t>
              <w:br/>
              <w:t>Documents concernant le lieu de résidence d'AVB en Autriche.</w:t>
              <w:br/>
              <w:t>Demande de l'OGP relative à l'extradition d'AVB du 8 mai 2026.</w:t>
              <w:br/>
              <w:t>Ordonnance du Landesgericht Wiener Neustadt du 11 juin 2026.</w:t>
            </w:r>
          </w:p>
        </w:tc>
      </w:tr>
    </w:tbl>
    <w:sectPr w:rsidR="00FC693F" w:rsidRPr="0006063C" w:rsidSect="00034616">
      <w:headerReference w:type="default" r:id="rId9"/>
      <w:footerReference w:type="default" r:id="rId10"/>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pacing w:before="120" w:after="0" w:line="276" w:lineRule="auto"/>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