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80E9" w14:textId="75AB7460" w:rsidR="009D2F0C" w:rsidRDefault="00B40BCC" w:rsidP="00B40BCC">
      <w:pPr>
        <w:ind w:hanging="567"/>
        <w:jc w:val="center"/>
        <w:rPr>
          <w:rFonts w:eastAsiaTheme="majorEastAsia" w:cstheme="majorBidi"/>
          <w:b/>
          <w:bCs/>
          <w:lang/>
        </w:rPr>
      </w:pPr>
      <w:r w:rsidRPr="00B40BCC">
        <w:rPr>
          <w:rFonts w:eastAsiaTheme="majorEastAsia" w:cstheme="majorBidi"/>
          <w:b/>
          <w:bCs/>
          <w:color w:val="000000"/>
        </w:rPr>
        <w:t>NOTE D'INFORMATION</w:t>
      </w:r>
      <w:r w:rsidRPr="00B40BCC">
        <w:rPr>
          <w:rFonts w:eastAsiaTheme="majorEastAsia" w:cstheme="majorBidi"/>
          <w:b/>
          <w:bCs/>
          <w:color w:val="000000"/>
        </w:rPr>
        <w:br/>
        <w:t>relative à la mention de ME dans le dossier pénal français au titre du volet « Embargo »</w:t>
      </w:r>
    </w:p>
    <w:p w14:paraId="66079380" w14:textId="77777777" w:rsidR="00B40BCC" w:rsidRPr="00B40BCC" w:rsidRDefault="00B40BCC" w:rsidP="00B40BCC">
      <w:pPr>
        <w:ind w:hanging="567"/>
        <w:jc w:val="center"/>
        <w:rPr>
          <w:b/>
          <w:bCs/>
          <w:lang/>
        </w:rPr>
      </w:pPr>
    </w:p>
    <w:p w14:paraId="4634CAA1" w14:textId="35CC9974" w:rsidR="009D2F0C" w:rsidRPr="00B40BCC" w:rsidRDefault="00FD00DE" w:rsidP="00B40BCC">
      <w:pPr>
        <w:pStyle w:val="a6"/>
        <w:numPr>
          <w:ilvl w:val="0"/>
          <w:numId w:val="1"/>
        </w:numPr>
        <w:ind w:left="0" w:hanging="567"/>
        <w:contextualSpacing w:val="0"/>
        <w:rPr>
          <w:b/>
          <w:bCs/>
        </w:rPr>
      </w:pPr>
      <w:r w:rsidRPr="00B40BCC">
        <w:rPr>
          <w:b/>
          <w:bCs/>
          <w:color w:val="000000"/>
        </w:rPr>
        <w:t>L'instruction française reproduit la procédure pénale ukrainienne</w:t>
      </w:r>
    </w:p>
    <w:p w14:paraId="70C3C5D0" w14:textId="77777777" w:rsidR="009D2F0C" w:rsidRPr="00B40BCC" w:rsidRDefault="009D2F0C" w:rsidP="00B40BCC">
      <w:pPr>
        <w:jc w:val="both"/>
      </w:pPr>
      <w:r>
        <w:t>L'enquête française sur le volet « Embargo » est fondée sur la version factuelle de la procédure pénale ukrainienne n° 22023000000000773 sur les livraisons de produits de MS en 2020–2022 par l'intermédiaire de China Taly, Medipost, Mir Trading et Avia Atlas.</w:t>
      </w:r>
    </w:p>
    <w:p w14:paraId="11746E5B" w14:textId="1CA1B348" w:rsidR="009D2F0C" w:rsidRPr="00B40BCC" w:rsidRDefault="009D2F0C" w:rsidP="00B40BCC">
      <w:pPr>
        <w:jc w:val="both"/>
      </w:pPr>
      <w:r w:rsidRPr="00B40BCC">
        <w:rPr>
          <w:color w:val="000000"/>
        </w:rPr>
        <w:t>Les pièces du dossier ne contiennent aucun fait nouveau quant au mécanisme de ces livraisons ou à leurs participants. Les organisateurs désignés de ces opérations sont VAB et O. Dzyuba ; aucune participation d'AVB aux livraisons n'est décrite.</w:t>
      </w:r>
      <w:r w:rsidR="00FF3A34">
        <w:rPr>
          <w:rStyle w:val="a5"/>
        </w:rPr>
        <w:footnoteReference w:id="1"/>
      </w:r>
    </w:p>
    <w:p w14:paraId="1DDB62FA" w14:textId="782EDC4C" w:rsidR="009D2F0C" w:rsidRPr="00B40BCC" w:rsidRDefault="009D2F0C" w:rsidP="00B40BCC">
      <w:pPr>
        <w:jc w:val="both"/>
      </w:pPr>
      <w:r w:rsidRPr="00B40BCC">
        <w:rPr>
          <w:color w:val="000000"/>
        </w:rPr>
        <w:t>Sur ce volet, la position de la défense est d'ores et déjà formalisée.</w:t>
      </w:r>
    </w:p>
    <w:p w14:paraId="5986AEF0" w14:textId="77777777" w:rsidR="009D2F0C" w:rsidRPr="00B40BCC" w:rsidRDefault="009D2F0C" w:rsidP="00B40BCC">
      <w:pPr>
        <w:jc w:val="both"/>
      </w:pPr>
    </w:p>
    <w:p w14:paraId="455DB0B7" w14:textId="0527D448" w:rsidR="009D2F0C" w:rsidRPr="00B40BCC" w:rsidRDefault="009D2F0C" w:rsidP="00B40BCC">
      <w:pPr>
        <w:pStyle w:val="a6"/>
        <w:numPr>
          <w:ilvl w:val="0"/>
          <w:numId w:val="1"/>
        </w:numPr>
        <w:ind w:left="0" w:hanging="567"/>
        <w:contextualSpacing w:val="0"/>
        <w:rPr>
          <w:b/>
          <w:bCs/>
        </w:rPr>
      </w:pPr>
      <w:r w:rsidRPr="00B40BCC">
        <w:rPr>
          <w:b/>
          <w:bCs/>
          <w:color w:val="000000"/>
        </w:rPr>
        <w:t>Mention de ME dans le contexte de l'embargo</w:t>
      </w:r>
    </w:p>
    <w:p w14:paraId="6946E10C" w14:textId="4795015F" w:rsidR="009D2F0C" w:rsidRPr="00B40BCC" w:rsidRDefault="009D2F0C" w:rsidP="00B40BCC">
      <w:pPr>
        <w:jc w:val="both"/>
      </w:pPr>
      <w:r w:rsidRPr="00B40BCC">
        <w:rPr>
          <w:color w:val="000000"/>
        </w:rPr>
        <w:t>Il n'est nullement établi que l'activité de ME soit constitutive d'un chef d'infraction autonome de violation de l'embargo, pour les motifs suivants :</w:t>
      </w:r>
    </w:p>
    <w:p w14:paraId="0ED12840" w14:textId="47E7ECBB" w:rsidR="009D2F0C" w:rsidRPr="00B40BCC" w:rsidRDefault="009D2F0C" w:rsidP="00B40BCC">
      <w:pPr>
        <w:pStyle w:val="a6"/>
        <w:numPr>
          <w:ilvl w:val="1"/>
          <w:numId w:val="3"/>
        </w:numPr>
        <w:ind w:left="567" w:hanging="567"/>
        <w:contextualSpacing w:val="0"/>
        <w:jc w:val="both"/>
      </w:pPr>
      <w:r w:rsidRPr="00B40BCC">
        <w:rPr>
          <w:color w:val="000000"/>
        </w:rPr>
        <w:t>Les éléments désignant « Middle East » en qualité de destinataire de marchandises aux Émirats arabes unis émanent des services d'enquête ukrainiens sous la forme d'une allégation générale. Aucun contrat précis, aucune marchandise individualisée, aucun itinéraire d'acheminement ultérieur ni aucun destinataire final russe ne sont identifiés.</w:t>
      </w:r>
      <w:r w:rsidR="00FF3A34">
        <w:rPr>
          <w:rStyle w:val="a5"/>
        </w:rPr>
        <w:footnoteReference w:id="2"/>
      </w:r>
    </w:p>
    <w:p w14:paraId="20FCC4EB" w14:textId="6AC045FF" w:rsidR="00FD00DE" w:rsidRPr="00B40BCC" w:rsidRDefault="00FD00DE" w:rsidP="00B40BCC">
      <w:pPr>
        <w:pStyle w:val="a6"/>
        <w:numPr>
          <w:ilvl w:val="1"/>
          <w:numId w:val="3"/>
        </w:numPr>
        <w:ind w:left="567" w:hanging="567"/>
        <w:contextualSpacing w:val="0"/>
        <w:jc w:val="both"/>
      </w:pPr>
      <w:r w:rsidRPr="00B40BCC">
        <w:rPr>
          <w:color w:val="000000"/>
        </w:rPr>
        <w:t>L'instruction française conjecture que le contrat Geoford–Pitstone aurait pu être lié à une méconnaissance de l'embargo. Or, ME n'est pas partie à ce contrat. Aucune pièce ne confirme l'existence de livraisons ou de règlements entre ME, Geoford et Pitstone. Les contrats de ME ne sont cités qu'à titre d'opérations analogues.</w:t>
      </w:r>
      <w:r w:rsidR="00FF3A34">
        <w:rPr>
          <w:rStyle w:val="a5"/>
        </w:rPr>
        <w:footnoteReference w:id="3"/>
      </w:r>
    </w:p>
    <w:p w14:paraId="380755F5" w14:textId="3ABD8CF5" w:rsidR="001E0B0C" w:rsidRPr="00B40BCC" w:rsidRDefault="009D2F0C" w:rsidP="00B40BCC">
      <w:pPr>
        <w:pStyle w:val="a6"/>
        <w:numPr>
          <w:ilvl w:val="1"/>
          <w:numId w:val="3"/>
        </w:numPr>
        <w:ind w:left="567" w:hanging="567"/>
        <w:contextualSpacing w:val="0"/>
        <w:jc w:val="both"/>
      </w:pPr>
      <w:r w:rsidRPr="00B40BCC">
        <w:rPr>
          <w:color w:val="000000"/>
        </w:rPr>
        <w:t>Les contrats conclus avec la participation de ME sont tous antérieurs à l'adoption du Décret présidentiel ukrainien n° 691/2014 du 27/08/2014 instituant l'embargo :</w:t>
      </w:r>
    </w:p>
    <w:p w14:paraId="60E89AA0" w14:textId="77777777" w:rsidR="001E0B0C" w:rsidRPr="00B40BCC" w:rsidRDefault="009D2F0C" w:rsidP="00B40BCC">
      <w:pPr>
        <w:pStyle w:val="a6"/>
        <w:numPr>
          <w:ilvl w:val="0"/>
          <w:numId w:val="4"/>
        </w:numPr>
        <w:ind w:left="1134" w:hanging="425"/>
        <w:contextualSpacing w:val="0"/>
        <w:jc w:val="both"/>
      </w:pPr>
      <w:r w:rsidRPr="00B40BCC">
        <w:rPr>
          <w:color w:val="000000"/>
        </w:rPr>
        <w:t>avec Prust Holding — en 2010,</w:t>
      </w:r>
    </w:p>
    <w:p w14:paraId="6A792AC9" w14:textId="77777777" w:rsidR="001E0B0C" w:rsidRPr="00B40BCC" w:rsidRDefault="009D2F0C" w:rsidP="00B40BCC">
      <w:pPr>
        <w:pStyle w:val="a6"/>
        <w:numPr>
          <w:ilvl w:val="0"/>
          <w:numId w:val="4"/>
        </w:numPr>
        <w:ind w:left="1134" w:hanging="425"/>
        <w:contextualSpacing w:val="0"/>
        <w:jc w:val="both"/>
      </w:pPr>
      <w:r w:rsidRPr="00B40BCC">
        <w:rPr>
          <w:color w:val="000000"/>
        </w:rPr>
        <w:t>avec Vose Technical Systems — le 05/03/2014,</w:t>
      </w:r>
    </w:p>
    <w:p w14:paraId="0EAD8C6C" w14:textId="12A61A17" w:rsidR="00FD00DE" w:rsidRPr="00B40BCC" w:rsidRDefault="009D2F0C" w:rsidP="00B40BCC">
      <w:pPr>
        <w:pStyle w:val="a6"/>
        <w:numPr>
          <w:ilvl w:val="0"/>
          <w:numId w:val="4"/>
        </w:numPr>
        <w:ind w:left="1134" w:hanging="425"/>
        <w:contextualSpacing w:val="0"/>
        <w:jc w:val="both"/>
      </w:pPr>
      <w:r w:rsidRPr="00B40BCC">
        <w:rPr>
          <w:color w:val="000000"/>
        </w:rPr>
        <w:t>avec Nile Petroleum — le 17/06/2014.</w:t>
      </w:r>
      <w:r w:rsidR="00FF3A34">
        <w:rPr>
          <w:rStyle w:val="a5"/>
        </w:rPr>
        <w:footnoteReference w:id="4"/>
      </w:r>
    </w:p>
    <w:p w14:paraId="2DC667D3" w14:textId="2940888B" w:rsidR="00FD00DE" w:rsidRPr="00B40BCC" w:rsidRDefault="00FD00DE" w:rsidP="00B40BCC">
      <w:pPr>
        <w:ind w:left="567"/>
        <w:jc w:val="both"/>
      </w:pPr>
      <w:r w:rsidRPr="00B40BCC">
        <w:rPr>
          <w:color w:val="000000"/>
        </w:rPr>
        <w:t>Le contrat Geoford–Pitstone a également été conclu avant l'entrée en vigueur de l'interdiction — le 01/01/2014.</w:t>
      </w:r>
    </w:p>
    <w:p w14:paraId="273D0CE4" w14:textId="1659DC3C" w:rsidR="009D2F0C" w:rsidRPr="00B40BCC" w:rsidRDefault="009D2F0C" w:rsidP="00B40BCC">
      <w:pPr>
        <w:ind w:left="567"/>
        <w:jc w:val="both"/>
        <w:rPr>
          <w:lang/>
        </w:rPr>
      </w:pPr>
      <w:r w:rsidRPr="00B40BCC">
        <w:rPr>
          <w:color w:val="000000"/>
        </w:rPr>
        <w:t>Aucune date de livraison, d'exportation ou de réexportation au titre de ces contrats postérieurement au 27/08/2014 n'est constatée.</w:t>
      </w:r>
    </w:p>
    <w:p w14:paraId="6C243CC6" w14:textId="36985B4C" w:rsidR="009D2F0C" w:rsidRPr="00B40BCC" w:rsidRDefault="00B40BCC" w:rsidP="00B40BCC">
      <w:pPr>
        <w:pStyle w:val="a6"/>
        <w:numPr>
          <w:ilvl w:val="1"/>
          <w:numId w:val="3"/>
        </w:numPr>
        <w:ind w:left="567" w:hanging="567"/>
        <w:contextualSpacing w:val="0"/>
        <w:jc w:val="both"/>
      </w:pPr>
      <w:r>
        <w:t>L'enquête française décrit erronément le contrat avec Nile Petroleum comme une vente de quatre hélicoptères Mi-8. De fait, il prévoyait leur maintenance technique et ne confirme pas la livraison de matériel d'aviation en Fédération de Russie.</w:t>
      </w:r>
      <w:r w:rsidR="00FF3A34">
        <w:rPr>
          <w:rStyle w:val="a5"/>
        </w:rPr>
        <w:footnoteReference w:id="5"/>
      </w:r>
    </w:p>
    <w:p w14:paraId="5173E9C7" w14:textId="77777777" w:rsidR="00FD00DE" w:rsidRPr="00B40BCC" w:rsidRDefault="009D2F0C" w:rsidP="00B40BCC">
      <w:pPr>
        <w:pStyle w:val="a6"/>
        <w:numPr>
          <w:ilvl w:val="1"/>
          <w:numId w:val="3"/>
        </w:numPr>
        <w:ind w:left="567" w:hanging="567"/>
        <w:contextualSpacing w:val="0"/>
        <w:jc w:val="both"/>
      </w:pPr>
      <w:r>
        <w:t>Concernant les contrats de ME, il n'est pas établi :</w:t>
      </w:r>
    </w:p>
    <w:p w14:paraId="29EF4F4C" w14:textId="77777777" w:rsidR="00FD00DE" w:rsidRPr="00B40BCC" w:rsidRDefault="009D2F0C" w:rsidP="00B40BCC">
      <w:pPr>
        <w:pStyle w:val="a6"/>
        <w:numPr>
          <w:ilvl w:val="0"/>
          <w:numId w:val="5"/>
        </w:numPr>
        <w:ind w:left="1134" w:hanging="425"/>
        <w:contextualSpacing w:val="0"/>
        <w:jc w:val="both"/>
      </w:pPr>
      <w:r w:rsidRPr="00B40BCC">
        <w:rPr>
          <w:color w:val="000000"/>
        </w:rPr>
        <w:t>toute livraison ou réexportation de produits vers la Fédération de Russie,</w:t>
      </w:r>
    </w:p>
    <w:p w14:paraId="36C41FF2" w14:textId="77777777" w:rsidR="00FD00DE" w:rsidRPr="00B40BCC" w:rsidRDefault="009D2F0C" w:rsidP="00B40BCC">
      <w:pPr>
        <w:pStyle w:val="a6"/>
        <w:numPr>
          <w:ilvl w:val="0"/>
          <w:numId w:val="5"/>
        </w:numPr>
        <w:ind w:left="1134" w:hanging="425"/>
        <w:contextualSpacing w:val="0"/>
        <w:jc w:val="both"/>
      </w:pPr>
      <w:r w:rsidRPr="00B40BCC">
        <w:rPr>
          <w:color w:val="000000"/>
        </w:rPr>
        <w:t>tout utilisateur final russe,</w:t>
      </w:r>
    </w:p>
    <w:p w14:paraId="0D86A1C6" w14:textId="77777777" w:rsidR="00B40BCC" w:rsidRPr="00B40BCC" w:rsidRDefault="009D2F0C" w:rsidP="00B40BCC">
      <w:pPr>
        <w:pStyle w:val="a6"/>
        <w:numPr>
          <w:ilvl w:val="0"/>
          <w:numId w:val="5"/>
        </w:numPr>
        <w:ind w:left="1134" w:hanging="425"/>
        <w:contextualSpacing w:val="0"/>
        <w:jc w:val="both"/>
      </w:pPr>
      <w:r w:rsidRPr="00B40BCC">
        <w:rPr>
          <w:color w:val="000000"/>
        </w:rPr>
        <w:t>toute utilisation finale à des fins militaires,</w:t>
      </w:r>
    </w:p>
    <w:p w14:paraId="6CC4B2EA" w14:textId="00F8F1C4" w:rsidR="00FD00DE" w:rsidRPr="00B40BCC" w:rsidRDefault="00FD00DE" w:rsidP="00B40BCC">
      <w:pPr>
        <w:pStyle w:val="a6"/>
        <w:numPr>
          <w:ilvl w:val="0"/>
          <w:numId w:val="5"/>
        </w:numPr>
        <w:ind w:left="1134" w:hanging="425"/>
        <w:contextualSpacing w:val="0"/>
        <w:jc w:val="both"/>
      </w:pPr>
      <w:r w:rsidRPr="00B40BCC">
        <w:rPr>
          <w:color w:val="000000"/>
        </w:rPr>
        <w:t>toute participation d'AVB à l'organisation d'une livraison illicite.</w:t>
      </w:r>
    </w:p>
    <w:p w14:paraId="58D1565D" w14:textId="4EE1491F" w:rsidR="00B40BCC" w:rsidRDefault="009D2F0C" w:rsidP="00B40BCC">
      <w:pPr>
        <w:pStyle w:val="a6"/>
        <w:ind w:left="567"/>
        <w:contextualSpacing w:val="0"/>
        <w:jc w:val="both"/>
        <w:rPr>
          <w:lang/>
        </w:rPr>
      </w:pPr>
      <w:r w:rsidRPr="00B40BCC">
        <w:rPr>
          <w:color w:val="000000"/>
        </w:rPr>
        <w:lastRenderedPageBreak/>
        <w:t>L'existence de contrats portant sur la vente de moteurs et la maintenance technique atteste de l'activité économique normale et statutaire de la société, mais ne prouve aucunement une livraison de biens vers la Fédération de Russie ou un contournement des restrictions à l'exportation.</w:t>
      </w:r>
    </w:p>
    <w:p w14:paraId="445790BC" w14:textId="77777777" w:rsidR="00B40BCC" w:rsidRPr="00B40BCC" w:rsidRDefault="00B40BCC" w:rsidP="00B40BCC">
      <w:pPr>
        <w:pStyle w:val="a6"/>
        <w:ind w:left="567"/>
        <w:contextualSpacing w:val="0"/>
        <w:jc w:val="both"/>
        <w:rPr>
          <w:lang/>
        </w:rPr>
      </w:pPr>
    </w:p>
    <w:p w14:paraId="476869BA" w14:textId="77777777" w:rsidR="00B40BCC" w:rsidRPr="00B40BCC" w:rsidRDefault="00B40BCC" w:rsidP="00B40BCC">
      <w:pPr>
        <w:pStyle w:val="a6"/>
        <w:numPr>
          <w:ilvl w:val="0"/>
          <w:numId w:val="1"/>
        </w:numPr>
        <w:ind w:left="0" w:hanging="426"/>
        <w:contextualSpacing w:val="0"/>
        <w:rPr>
          <w:b/>
          <w:bCs/>
          <w:lang/>
        </w:rPr>
      </w:pPr>
      <w:r w:rsidRPr="00B40BCC">
        <w:rPr>
          <w:b/>
          <w:bCs/>
          <w:color w:val="000000"/>
          <w:lang/>
        </w:rPr>
        <w:t>Conclusion</w:t>
      </w:r>
    </w:p>
    <w:p w14:paraId="784AF2B3" w14:textId="0028A09A" w:rsidR="00B40BCC" w:rsidRPr="00B40BCC" w:rsidRDefault="00B40BCC" w:rsidP="00B40BCC">
      <w:pPr>
        <w:pStyle w:val="a6"/>
        <w:ind w:left="0"/>
        <w:contextualSpacing w:val="0"/>
        <w:jc w:val="both"/>
        <w:rPr>
          <w:b/>
          <w:bCs/>
          <w:lang/>
        </w:rPr>
      </w:pPr>
      <w:r>
        <w:rPr>
          <w:color w:val="000000"/>
        </w:rPr>
        <w:t>Il n'est nullement établi que l'activité de ME soit considérée en France comme un volet d'infraction autonome de violation de l'embargo. Les pièces de la société sont examinées au titre de son activité commerciale et de ses flux financiers, mais ne confirment en aucun cas l'utilisation de ME comme vecteur de livraison de produits vers la Fédération de Russie.</w:t>
      </w:r>
    </w:p>
    <w:sectPr w:rsidR="00B40BCC" w:rsidRPr="00B40BCC" w:rsidSect="00664EF9">
      <w:pgSz w:w="11906" w:h="16838"/>
      <w:pgMar w:top="567"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65A7" w14:textId="77777777" w:rsidR="0039387D" w:rsidRDefault="0039387D" w:rsidP="009D2F0C">
      <w:pPr>
        <w:spacing w:before="0"/>
      </w:pPr>
      <w:r>
        <w:separator/>
      </w:r>
    </w:p>
  </w:endnote>
  <w:endnote w:type="continuationSeparator" w:id="0">
    <w:p w14:paraId="6EB80ECB" w14:textId="77777777" w:rsidR="0039387D" w:rsidRDefault="0039387D" w:rsidP="009D2F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3AF3" w14:textId="77777777" w:rsidR="0039387D" w:rsidRDefault="0039387D" w:rsidP="009D2F0C">
      <w:pPr>
        <w:spacing w:before="0"/>
      </w:pPr>
      <w:r>
        <w:separator/>
      </w:r>
    </w:p>
  </w:footnote>
  <w:footnote w:type="continuationSeparator" w:id="0">
    <w:p w14:paraId="7983B2E4" w14:textId="77777777" w:rsidR="0039387D" w:rsidRDefault="0039387D" w:rsidP="009D2F0C">
      <w:pPr>
        <w:spacing w:before="0"/>
      </w:pPr>
      <w:r>
        <w:continuationSeparator/>
      </w:r>
    </w:p>
  </w:footnote>
  <w:footnote w:id="1">
    <w:p w14:paraId="026792F3" w14:textId="2147507F" w:rsidR="00FF3A34" w:rsidRPr="00FF3A34" w:rsidRDefault="00FF3A34">
      <w:pPr>
        <w:pStyle w:val="a3"/>
        <w:rPr>
          <w:lang w:val="uk-UA"/>
        </w:rPr>
      </w:pPr>
      <w:r>
        <w:rPr>
          <w:rStyle w:val="a5"/>
        </w:rPr>
        <w:footnoteRef/>
      </w:r>
      <w:r>
        <w:t xml:space="preserve"> T3_PGS_PV083; T3_PGS_PV084</w:t>
      </w:r>
    </w:p>
  </w:footnote>
  <w:footnote w:id="2">
    <w:p w14:paraId="27719E8C" w14:textId="03518DF9" w:rsidR="00FF3A34" w:rsidRPr="00FF3A34" w:rsidRDefault="00FF3A34">
      <w:pPr>
        <w:pStyle w:val="a3"/>
        <w:rPr>
          <w:lang w:val="uk-UA"/>
        </w:rPr>
      </w:pPr>
      <w:r>
        <w:rPr>
          <w:rStyle w:val="a5"/>
        </w:rPr>
        <w:footnoteRef/>
      </w:r>
      <w:r>
        <w:t xml:space="preserve"> T3_PGS_PV020</w:t>
      </w:r>
    </w:p>
  </w:footnote>
  <w:footnote w:id="3">
    <w:p w14:paraId="6D4A3ED9" w14:textId="7DA3DEC5" w:rsidR="00FF3A34" w:rsidRPr="00FF3A34" w:rsidRDefault="00FF3A34">
      <w:pPr>
        <w:pStyle w:val="a3"/>
        <w:rPr>
          <w:lang w:val="uk-UA"/>
        </w:rPr>
      </w:pPr>
      <w:r>
        <w:rPr>
          <w:rStyle w:val="a5"/>
        </w:rPr>
        <w:footnoteRef/>
      </w:r>
      <w:r>
        <w:t xml:space="preserve"> T3_PGS_PV117</w:t>
      </w:r>
    </w:p>
  </w:footnote>
  <w:footnote w:id="4">
    <w:p w14:paraId="094394D6" w14:textId="6FC012A6" w:rsidR="00FF3A34" w:rsidRPr="00FF3A34" w:rsidRDefault="00FF3A34">
      <w:pPr>
        <w:pStyle w:val="a3"/>
        <w:rPr>
          <w:lang w:val="uk-UA"/>
        </w:rPr>
      </w:pPr>
      <w:r>
        <w:rPr>
          <w:rStyle w:val="a5"/>
        </w:rPr>
        <w:footnoteRef/>
      </w:r>
      <w:r>
        <w:t xml:space="preserve"> T4_PGS_PV131; T3_PGS_PV117</w:t>
      </w:r>
    </w:p>
  </w:footnote>
  <w:footnote w:id="5">
    <w:p w14:paraId="0DF34928" w14:textId="0552C8EE" w:rsidR="00FF3A34" w:rsidRPr="00FF3A34" w:rsidRDefault="00FF3A34">
      <w:pPr>
        <w:pStyle w:val="a3"/>
        <w:rPr>
          <w:lang w:val="uk-UA"/>
        </w:rPr>
      </w:pPr>
      <w:r>
        <w:rPr>
          <w:rStyle w:val="a5"/>
        </w:rPr>
        <w:footnoteRef/>
      </w:r>
      <w:r>
        <w:t xml:space="preserve"> T3_PGS_PV117; T4_PGS_PV132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7E8E"/>
    <w:multiLevelType w:val="hybridMultilevel"/>
    <w:tmpl w:val="C7C8E65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45093D7C"/>
    <w:multiLevelType w:val="hybridMultilevel"/>
    <w:tmpl w:val="E3C4804C"/>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4E211B84"/>
    <w:multiLevelType w:val="hybridMultilevel"/>
    <w:tmpl w:val="1A1E7B86"/>
    <w:lvl w:ilvl="0" w:tplc="1F8C897E">
      <w:start w:val="1"/>
      <w:numFmt w:val="decimal"/>
      <w:lvlText w:val="(%1)"/>
      <w:lvlJc w:val="left"/>
      <w:pPr>
        <w:ind w:left="720" w:hanging="360"/>
      </w:pPr>
      <w:rPr>
        <w:rFonts w:hint="default"/>
      </w:rPr>
    </w:lvl>
    <w:lvl w:ilvl="1" w:tplc="1F8C897E">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53150862"/>
    <w:multiLevelType w:val="hybridMultilevel"/>
    <w:tmpl w:val="817CF454"/>
    <w:lvl w:ilvl="0" w:tplc="0422000F">
      <w:start w:val="1"/>
      <w:numFmt w:val="decimal"/>
      <w:lvlText w:val="%1."/>
      <w:lvlJc w:val="left"/>
      <w:pPr>
        <w:ind w:left="720" w:hanging="360"/>
      </w:pPr>
      <w:rPr>
        <w:rFonts w:hint="default"/>
      </w:rPr>
    </w:lvl>
    <w:lvl w:ilvl="1" w:tplc="E4B45F40">
      <w:start w:val="1"/>
      <w:numFmt w:val="decimal"/>
      <w:lvlText w:val="(%2)"/>
      <w:lvlJc w:val="left"/>
      <w:pPr>
        <w:ind w:left="1536" w:hanging="456"/>
      </w:pPr>
      <w:rPr>
        <w:rFonts w:hint="default"/>
        <w:b/>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FD82E15"/>
    <w:multiLevelType w:val="hybridMultilevel"/>
    <w:tmpl w:val="50EAA30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1771385967">
    <w:abstractNumId w:val="3"/>
  </w:num>
  <w:num w:numId="2" w16cid:durableId="288436849">
    <w:abstractNumId w:val="1"/>
  </w:num>
  <w:num w:numId="3" w16cid:durableId="2093695402">
    <w:abstractNumId w:val="2"/>
  </w:num>
  <w:num w:numId="4" w16cid:durableId="1674838214">
    <w:abstractNumId w:val="4"/>
  </w:num>
  <w:num w:numId="5" w16cid:durableId="96465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223"/>
    <w:rsid w:val="001E0B0C"/>
    <w:rsid w:val="0039387D"/>
    <w:rsid w:val="00401DE3"/>
    <w:rsid w:val="00462EA1"/>
    <w:rsid w:val="00664EF9"/>
    <w:rsid w:val="00761640"/>
    <w:rsid w:val="00772223"/>
    <w:rsid w:val="007C5FD6"/>
    <w:rsid w:val="00860E2E"/>
    <w:rsid w:val="00975EB2"/>
    <w:rsid w:val="009D2F0C"/>
    <w:rsid w:val="00AA3021"/>
    <w:rsid w:val="00B01DA0"/>
    <w:rsid w:val="00B40BCC"/>
    <w:rsid w:val="00B636C2"/>
    <w:rsid w:val="00F868C7"/>
    <w:rsid w:val="00FD00DE"/>
    <w:rsid w:val="00FF3A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23D4D"/>
  <w15:docId w15:val="{2031C5BB-7E46-4A9B-BE09-EAB77E47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40" w:lineRule="auto"/>
    </w:pPr>
    <w:rPr>
      <w:rFonts w:ascii="Cambria" w:hAnsi="Cambri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footnote text"/>
    <w:basedOn w:val="a"/>
    <w:link w:val="a4"/>
    <w:uiPriority w:val="99"/>
    <w:semiHidden/>
    <w:unhideWhenUsed/>
    <w:rsid w:val="009D2F0C"/>
    <w:pPr>
      <w:spacing w:before="0"/>
    </w:pPr>
    <w:rPr>
      <w:sz w:val="20"/>
      <w:szCs w:val="20"/>
    </w:rPr>
  </w:style>
  <w:style w:type="character" w:customStyle="1" w:styleId="a4">
    <w:name w:val="Текст виноски Знак"/>
    <w:basedOn w:val="a0"/>
    <w:link w:val="a3"/>
    <w:uiPriority w:val="99"/>
    <w:semiHidden/>
    <w:rsid w:val="009D2F0C"/>
    <w:rPr>
      <w:rFonts w:ascii="Cambria" w:hAnsi="Cambria"/>
      <w:sz w:val="20"/>
      <w:szCs w:val="20"/>
    </w:rPr>
  </w:style>
  <w:style w:type="character" w:styleId="a5">
    <w:name w:val="footnote reference"/>
    <w:basedOn w:val="a0"/>
    <w:uiPriority w:val="99"/>
    <w:semiHidden/>
    <w:unhideWhenUsed/>
    <w:rsid w:val="009D2F0C"/>
    <w:rPr>
      <w:vertAlign w:val="superscript"/>
    </w:rPr>
  </w:style>
  <w:style w:type="paragraph" w:styleId="a6">
    <w:name w:val="List Paragraph"/>
    <w:basedOn w:val="a"/>
    <w:uiPriority w:val="34"/>
    <w:qFormat/>
    <w:rsid w:val="009D2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557169">
      <w:bodyDiv w:val="1"/>
      <w:marLeft w:val="0"/>
      <w:marRight w:val="0"/>
      <w:marTop w:val="0"/>
      <w:marBottom w:val="0"/>
      <w:divBdr>
        <w:top w:val="none" w:sz="0" w:space="0" w:color="auto"/>
        <w:left w:val="none" w:sz="0" w:space="0" w:color="auto"/>
        <w:bottom w:val="none" w:sz="0" w:space="0" w:color="auto"/>
        <w:right w:val="none" w:sz="0" w:space="0" w:color="auto"/>
      </w:divBdr>
    </w:div>
    <w:div w:id="1583762370">
      <w:bodyDiv w:val="1"/>
      <w:marLeft w:val="0"/>
      <w:marRight w:val="0"/>
      <w:marTop w:val="0"/>
      <w:marBottom w:val="0"/>
      <w:divBdr>
        <w:top w:val="none" w:sz="0" w:space="0" w:color="auto"/>
        <w:left w:val="none" w:sz="0" w:space="0" w:color="auto"/>
        <w:bottom w:val="none" w:sz="0" w:space="0" w:color="auto"/>
        <w:right w:val="none" w:sz="0" w:space="0" w:color="auto"/>
      </w:divBdr>
    </w:div>
    <w:div w:id="1683319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55BF0-F2E5-44B0-BBA4-34C121BCA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504</Words>
  <Characters>2813</Characters>
  <Application>Microsoft Office Word</Application>
  <DocSecurity>0</DocSecurity>
  <Lines>52</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 </cp:lastModifiedBy>
  <cp:revision>3</cp:revision>
  <cp:lastPrinted>2026-10-22T06:47:00Z</cp:lastPrinted>
  <dcterms:created xsi:type="dcterms:W3CDTF">2026-07-17T07:00:00Z</dcterms:created>
  <dcterms:modified xsi:type="dcterms:W3CDTF">2026-10-22T06:47:00Z</dcterms:modified>
</cp:coreProperties>
</file>