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19D348" w14:textId="2796F5F2" w:rsidR="00975EB2" w:rsidRDefault="001758E7" w:rsidP="001758E7">
      <w:pPr>
        <w:pStyle w:val="1"/>
        <w:jc w:val="center"/>
        <w:rPr>
          <w:b/>
          <w:bCs/>
        </w:rPr>
        <w:spacing w:before="120" w:after="0" w:line="276" w:lineRule="auto"/>
      </w:pPr>
      <w:r w:rsidRPr="001758E7">
        <w:rPr>
          <w:rFonts w:ascii="Cambria" w:hAnsi="Cambria" w:cs="Cambria"/>
          <w:b/>
          <w:bCs/>
          <w:sz w:val="22"/>
        </w:rPr>
        <w:t>DÉPÊCHE / NOTE D’INFORMATION</w:t>
        <w:br/>
        <w:t>relative aux procédures pénales en Principauté de Monaco</w:t>
      </w:r>
      <w:r w:rsidRPr="001758E7">
        <w:rPr>
          <w:rFonts w:ascii="Cambria" w:hAnsi="Cambria" w:cs="Cambria"/>
          <w:b/>
          <w:bCs/>
          <w:sz w:val="22"/>
        </w:rPr>
      </w:r>
    </w:p>
    <w:p w14:paraId="16D3E506" w14:textId="77777777" w:rsidR="001758E7" w:rsidRDefault="001758E7" w:rsidP="009A2D84">
      <w:pPr>
        <w:jc w:val="both"/>
        <w:spacing w:before="120" w:after="0" w:line="276" w:lineRule="auto"/>
      </w:pPr>
    </w:p>
    <w:p w14:paraId="3829DC40" w14:textId="4F0571CB" w:rsidR="001758E7" w:rsidRPr="001758E7" w:rsidRDefault="001758E7" w:rsidP="009A2D84">
      <w:pPr>
        <w:pStyle w:val="a3"/>
        <w:numPr>
          <w:ilvl w:val="0"/>
          <w:numId w:val="8"/>
        </w:numPr>
        <w:contextualSpacing w:val="0"/>
        <w:jc w:val="both"/>
        <w:rPr>
          <w:b/>
          <w:bCs/>
        </w:rPr>
        <w:ind w:left="0" w:hanging="567"/>
        <w:spacing w:before="120" w:after="0" w:line="276" w:lineRule="auto"/>
      </w:pPr>
      <w:r w:rsidRPr="001758E7">
        <w:rPr>
          <w:rFonts w:ascii="Cambria" w:hAnsi="Cambria" w:cs="Cambria"/>
          <w:b/>
          <w:bCs/>
          <w:sz w:val="22"/>
        </w:rPr>
        <w:t>Nature des procédures et état d’avancement.</w:t>
      </w:r>
      <w:r w:rsidR="00B84DD1">
        <w:rPr>
          <w:rFonts w:ascii="Cambria" w:hAnsi="Cambria" w:cs="Cambria"/>
          <w:b/>
          <w:bCs/>
          <w:sz w:val="22"/>
        </w:rPr>
      </w:r>
      <w:r w:rsidRPr="001758E7">
        <w:rPr>
          <w:rFonts w:ascii="Cambria" w:hAnsi="Cambria" w:cs="Cambria"/>
          <w:b/>
          <w:bCs/>
          <w:sz w:val="22"/>
        </w:rPr>
      </w:r>
      <w:r w:rsidR="00B84DD1">
        <w:rPr>
          <w:rFonts w:ascii="Cambria" w:hAnsi="Cambria" w:cs="Cambria"/>
          <w:b/>
          <w:bCs/>
          <w:sz w:val="22"/>
        </w:rPr>
      </w:r>
    </w:p>
    <w:p w14:paraId="38F3426A" w14:textId="60F23267" w:rsidR="001758E7" w:rsidRPr="001758E7" w:rsidRDefault="001758E7" w:rsidP="009A2D84">
      <w:pPr>
        <w:jc w:val="both"/>
        <w:spacing w:before="120" w:after="0" w:line="276" w:lineRule="auto"/>
      </w:pPr>
      <w:r>
        <w:rPr>
          <w:rFonts w:ascii="Cambria" w:hAnsi="Cambria" w:cs="Cambria"/>
          <w:sz w:val="22"/>
        </w:rPr>
        <w:t>En Principauté de Monaco, 3 procédures pénales distinctes sont ouvertes, formellement disjointes mais matériellement connexes :</w:t>
      </w:r>
      <w:r w:rsidRPr="001758E7">
        <w:rPr>
          <w:rFonts w:ascii="Cambria" w:hAnsi="Cambria" w:cs="Cambria"/>
          <w:sz w:val="22"/>
        </w:rPr>
      </w:r>
      <w:r>
        <w:rPr>
          <w:rFonts w:ascii="Cambria" w:hAnsi="Cambria" w:cs="Cambria"/>
          <w:b/>
          <w:bCs/>
          <w:sz w:val="22"/>
        </w:rPr>
      </w:r>
      <w:r w:rsidRPr="001758E7">
        <w:rPr>
          <w:rFonts w:ascii="Cambria" w:hAnsi="Cambria" w:cs="Cambria"/>
          <w:b/>
          <w:bCs/>
          <w:sz w:val="22"/>
        </w:rPr>
      </w:r>
      <w:r w:rsidRPr="001758E7">
        <w:rPr>
          <w:rFonts w:ascii="Cambria" w:hAnsi="Cambria" w:cs="Cambria"/>
          <w:sz w:val="22"/>
        </w:rPr>
      </w:r>
    </w:p>
    <w:p w14:paraId="6747BB11" w14:textId="7D03C3C5" w:rsidR="001758E7" w:rsidRPr="001758E7" w:rsidRDefault="001758E7" w:rsidP="009A2D84">
      <w:pPr>
        <w:numPr>
          <w:ilvl w:val="0"/>
          <w:numId w:val="9"/>
        </w:numPr>
        <w:tabs>
          <w:tab w:val="clear" w:pos="720"/>
        </w:tabs>
        <w:jc w:val="both"/>
        <w:ind w:left="567" w:hanging="567"/>
        <w:spacing w:before="120" w:after="0" w:line="276" w:lineRule="auto"/>
      </w:pPr>
      <w:r w:rsidRPr="001758E7">
        <w:rPr>
          <w:rFonts w:ascii="Cambria" w:hAnsi="Cambria" w:cs="Cambria"/>
          <w:sz w:val="22"/>
        </w:rPr>
        <w:t>La première enquête préliminaire n° 2022/001332 (n° 22/1839) — concerne des faits de blanchiment de capitaux, initiée à la suite d'un signalement du S.I.C.C.F.I.N. en novembre 2022.</w:t>
      </w:r>
      <w:r>
        <w:rPr>
          <w:rFonts w:ascii="Cambria" w:hAnsi="Cambria" w:cs="Cambria"/>
          <w:sz w:val="22"/>
        </w:rPr>
      </w:r>
      <w:r w:rsidRPr="001758E7">
        <w:rPr>
          <w:rFonts w:ascii="Cambria" w:hAnsi="Cambria" w:cs="Cambria"/>
          <w:sz w:val="22"/>
        </w:rPr>
      </w:r>
      <w:r>
        <w:rPr>
          <w:rFonts w:ascii="Cambria" w:hAnsi="Cambria" w:cs="Cambria"/>
          <w:sz w:val="22"/>
        </w:rPr>
      </w:r>
    </w:p>
    <w:p w14:paraId="45E05DDB" w14:textId="6A8EC0D5" w:rsidR="001758E7" w:rsidRPr="001758E7" w:rsidRDefault="001758E7" w:rsidP="009A2D84">
      <w:pPr>
        <w:numPr>
          <w:ilvl w:val="0"/>
          <w:numId w:val="9"/>
        </w:numPr>
        <w:tabs>
          <w:tab w:val="clear" w:pos="720"/>
        </w:tabs>
        <w:jc w:val="both"/>
        <w:ind w:left="567" w:hanging="567"/>
        <w:spacing w:before="120" w:after="0" w:line="276" w:lineRule="auto"/>
      </w:pPr>
      <w:r w:rsidRPr="001758E7">
        <w:rPr>
          <w:rFonts w:ascii="Cambria" w:hAnsi="Cambria" w:cs="Cambria"/>
          <w:sz w:val="22"/>
        </w:rPr>
        <w:t>La seconde enquête préliminaire n° 2024/000311 (n° 24/0556) — porte également sur des faits de blanchiment de capitaux.</w:t>
      </w:r>
      <w:r>
        <w:rPr>
          <w:rFonts w:ascii="Cambria" w:hAnsi="Cambria" w:cs="Cambria"/>
          <w:sz w:val="22"/>
        </w:rPr>
      </w:r>
      <w:r w:rsidRPr="001758E7">
        <w:rPr>
          <w:rFonts w:ascii="Cambria" w:hAnsi="Cambria" w:cs="Cambria"/>
          <w:sz w:val="22"/>
        </w:rPr>
      </w:r>
    </w:p>
    <w:p w14:paraId="4B7D7CDD" w14:textId="6B8C63B1" w:rsidR="001758E7" w:rsidRPr="001758E7" w:rsidRDefault="001758E7" w:rsidP="009A2D84">
      <w:pPr>
        <w:numPr>
          <w:ilvl w:val="0"/>
          <w:numId w:val="9"/>
        </w:numPr>
        <w:tabs>
          <w:tab w:val="clear" w:pos="720"/>
        </w:tabs>
        <w:jc w:val="both"/>
        <w:ind w:left="567" w:hanging="567"/>
        <w:spacing w:before="120" w:after="0" w:line="276" w:lineRule="auto"/>
      </w:pPr>
      <w:r w:rsidRPr="001758E7">
        <w:rPr>
          <w:rFonts w:ascii="Cambria" w:hAnsi="Cambria" w:cs="Cambria"/>
          <w:sz w:val="22"/>
        </w:rPr>
        <w:t>La procédure d’exécution de l'entraide judiciaire internationale — initiée par les autorités françaises en septembre 2023.</w:t>
      </w:r>
      <w:r>
        <w:rPr>
          <w:rFonts w:ascii="Cambria" w:hAnsi="Cambria" w:cs="Cambria"/>
          <w:sz w:val="22"/>
        </w:rPr>
      </w:r>
      <w:r w:rsidRPr="001758E7">
        <w:rPr>
          <w:rFonts w:ascii="Cambria" w:hAnsi="Cambria" w:cs="Cambria"/>
          <w:sz w:val="22"/>
        </w:rPr>
      </w:r>
      <w:r>
        <w:rPr>
          <w:rFonts w:ascii="Cambria" w:hAnsi="Cambria" w:cs="Cambria"/>
          <w:sz w:val="22"/>
        </w:rPr>
      </w:r>
    </w:p>
    <w:p w14:paraId="3ED5ABE1" w14:textId="77777777" w:rsidR="007C5D2E" w:rsidRPr="001758E7" w:rsidRDefault="007C5D2E" w:rsidP="009A2D84">
      <w:pPr>
        <w:jc w:val="both"/>
        <w:spacing w:before="120" w:after="0" w:line="276" w:lineRule="auto"/>
      </w:pPr>
    </w:p>
    <w:p w14:paraId="0ED80C77" w14:textId="2DF0E700" w:rsidR="007C5D2E" w:rsidRDefault="007C5D2E" w:rsidP="009A2D84">
      <w:pPr>
        <w:pStyle w:val="a3"/>
        <w:numPr>
          <w:ilvl w:val="0"/>
          <w:numId w:val="8"/>
        </w:numPr>
        <w:contextualSpacing w:val="0"/>
        <w:jc w:val="both"/>
        <w:rPr>
          <w:b/>
          <w:bCs/>
        </w:rPr>
        <w:ind w:left="0" w:hanging="567"/>
        <w:spacing w:before="120" w:after="0" w:line="276" w:lineRule="auto"/>
      </w:pPr>
      <w:r>
        <w:rPr>
          <w:rFonts w:ascii="Cambria" w:hAnsi="Cambria" w:cs="Cambria"/>
          <w:b/>
          <w:bCs/>
          <w:sz w:val="22"/>
        </w:rPr>
        <w:t>Statut</w:t>
      </w:r>
    </w:p>
    <w:p w14:paraId="32C8D17A" w14:textId="356A0A32" w:rsidR="007C5D2E" w:rsidRDefault="007C5D2E" w:rsidP="007C5D2E">
      <w:pPr>
        <w:pStyle w:val="a3"/>
        <w:contextualSpacing w:val="0"/>
        <w:jc w:val="both"/>
        <w:ind w:left="0"/>
        <w:spacing w:before="120" w:after="0" w:line="276" w:lineRule="auto"/>
      </w:pPr>
      <w:r>
        <w:rPr>
          <w:rFonts w:ascii="Cambria" w:hAnsi="Cambria" w:cs="Cambria"/>
          <w:sz w:val="22"/>
        </w:rPr>
        <w:t>La procédure se trouve au stade de l’enquête préliminaire — instruction préparatoire sous la direction et le contrôle du Procureur Général de Monaco.</w:t>
      </w:r>
      <w:proofErr w:type="spellStart"/>
      <w:r>
        <w:rPr>
          <w:rStyle w:val="a4"/>
          <w:rFonts w:ascii="Cambria" w:hAnsi="Cambria" w:cs="Cambria"/>
          <w:sz w:val="22"/>
        </w:rPr>
      </w:r>
      <w:proofErr w:type="spellEnd"/>
      <w:r>
        <w:rPr>
          <w:rStyle w:val="a4"/>
          <w:rFonts w:ascii="Cambria" w:hAnsi="Cambria" w:cs="Cambria"/>
          <w:sz w:val="22"/>
        </w:rPr>
      </w:r>
      <w:proofErr w:type="spellStart"/>
      <w:r>
        <w:rPr>
          <w:rStyle w:val="a4"/>
          <w:rFonts w:ascii="Cambria" w:hAnsi="Cambria" w:cs="Cambria"/>
          <w:sz w:val="22"/>
        </w:rPr>
      </w:r>
      <w:proofErr w:type="spellEnd"/>
      <w:r>
        <w:rPr>
          <w:rFonts w:ascii="Cambria" w:hAnsi="Cambria" w:cs="Cambria"/>
          <w:sz w:val="22"/>
        </w:rPr>
      </w:r>
      <w:r>
        <w:rPr>
          <w:rFonts w:ascii="Cambria" w:hAnsi="Cambria" w:cs="Cambria"/>
          <w:sz w:val="22"/>
        </w:rPr>
      </w:r>
      <w:r>
        <w:rPr>
          <w:rFonts w:ascii="Cambria" w:hAnsi="Cambria" w:cs="Cambria"/>
          <w:sz w:val="22"/>
        </w:rPr>
      </w:r>
    </w:p>
    <w:p w14:paraId="26FF4035" w14:textId="0BBB1B31" w:rsidR="007C5D2E" w:rsidRDefault="007C5D2E" w:rsidP="007C5D2E">
      <w:pPr>
        <w:pStyle w:val="a3"/>
        <w:contextualSpacing w:val="0"/>
        <w:jc w:val="both"/>
        <w:ind w:left="0"/>
        <w:spacing w:before="120" w:after="0" w:line="276" w:lineRule="auto"/>
      </w:pPr>
      <w:r>
        <w:rPr>
          <w:rFonts w:ascii="Cambria" w:hAnsi="Cambria" w:cs="Cambria"/>
          <w:sz w:val="22"/>
        </w:rPr>
        <w:t>Les pièces de la procédure pénale ont été communiquées à la défense pour consultation et exercice du droit de formuler des observations.</w:t>
      </w:r>
    </w:p>
    <w:p w14:paraId="5EF4EBFC" w14:textId="77777777" w:rsidR="007C5D2E" w:rsidRDefault="007C5D2E" w:rsidP="007C5D2E">
      <w:pPr>
        <w:pStyle w:val="a3"/>
        <w:contextualSpacing w:val="0"/>
        <w:jc w:val="both"/>
        <w:rPr>
          <w:b/>
          <w:bCs/>
        </w:rPr>
        <w:ind w:left="0"/>
        <w:spacing w:before="120" w:after="0" w:line="276" w:lineRule="auto"/>
      </w:pPr>
    </w:p>
    <w:p w14:paraId="78FFAF18" w14:textId="262FB24D" w:rsidR="001758E7" w:rsidRPr="00B84DD1" w:rsidRDefault="001758E7" w:rsidP="009A2D84">
      <w:pPr>
        <w:pStyle w:val="a3"/>
        <w:numPr>
          <w:ilvl w:val="0"/>
          <w:numId w:val="8"/>
        </w:numPr>
        <w:contextualSpacing w:val="0"/>
        <w:jc w:val="both"/>
        <w:rPr>
          <w:b/>
          <w:bCs/>
        </w:rPr>
        <w:ind w:left="0" w:hanging="567"/>
        <w:spacing w:before="120" w:after="0" w:line="276" w:lineRule="auto"/>
      </w:pPr>
      <w:r w:rsidRPr="00B84DD1">
        <w:rPr>
          <w:rFonts w:ascii="Cambria" w:hAnsi="Cambria" w:cs="Cambria"/>
          <w:b/>
          <w:bCs/>
          <w:sz w:val="22"/>
        </w:rPr>
        <w:t>Autorités compétentes et ÉCI (JIT).</w:t>
      </w:r>
      <w:r w:rsidR="00B84DD1">
        <w:rPr>
          <w:rFonts w:ascii="Cambria" w:hAnsi="Cambria" w:cs="Cambria"/>
          <w:b/>
          <w:bCs/>
          <w:sz w:val="22"/>
        </w:rPr>
      </w:r>
    </w:p>
    <w:p w14:paraId="7617B12B" w14:textId="77777777" w:rsidR="00B84DD1" w:rsidRDefault="001758E7" w:rsidP="009A2D84">
      <w:pPr>
        <w:jc w:val="both"/>
        <w:spacing w:before="120" w:after="0" w:line="276" w:lineRule="auto"/>
      </w:pPr>
      <w:r w:rsidRPr="001758E7">
        <w:rPr>
          <w:rFonts w:ascii="Cambria" w:hAnsi="Cambria" w:cs="Cambria"/>
          <w:sz w:val="22"/>
        </w:rPr>
        <w:t>L’autorité principale chargée de l'enquête est le Procureur Général de Monaco.</w:t>
      </w:r>
      <w:r w:rsidR="00B84DD1">
        <w:rPr>
          <w:rFonts w:ascii="Cambria" w:hAnsi="Cambria" w:cs="Cambria"/>
          <w:sz w:val="22"/>
        </w:rPr>
      </w:r>
    </w:p>
    <w:p w14:paraId="03ED1A18" w14:textId="37BD594D" w:rsidR="001758E7" w:rsidRPr="001758E7" w:rsidRDefault="001758E7" w:rsidP="009A2D84">
      <w:pPr>
        <w:jc w:val="both"/>
        <w:spacing w:before="120" w:after="0" w:line="276" w:lineRule="auto"/>
      </w:pPr>
      <w:r w:rsidRPr="001758E7">
        <w:rPr>
          <w:rFonts w:ascii="Cambria" w:hAnsi="Cambria" w:cs="Cambria"/>
          <w:sz w:val="22"/>
        </w:rPr>
        <w:t>L'enquête est confiée à la Direction de la Sûreté Publique, et sur délégations spécifiques, sur la base d'une commission rogatoire du juge d'instruction.</w:t>
      </w:r>
      <w:r w:rsidR="00B84DD1">
        <w:rPr>
          <w:rFonts w:ascii="Cambria" w:hAnsi="Cambria" w:cs="Cambria"/>
          <w:sz w:val="22"/>
        </w:rPr>
      </w:r>
      <w:r w:rsidRPr="001758E7">
        <w:rPr>
          <w:rFonts w:ascii="Cambria" w:hAnsi="Cambria" w:cs="Cambria"/>
          <w:sz w:val="22"/>
        </w:rPr>
      </w:r>
    </w:p>
    <w:p w14:paraId="2A259220" w14:textId="55C7D789" w:rsidR="001758E7" w:rsidRDefault="00B84DD1" w:rsidP="009A2D84">
      <w:pPr>
        <w:jc w:val="both"/>
        <w:spacing w:before="120" w:after="0" w:line="276" w:lineRule="auto"/>
      </w:pPr>
      <w:r>
        <w:rPr>
          <w:rFonts w:ascii="Cambria" w:hAnsi="Cambria" w:cs="Cambria"/>
          <w:sz w:val="22"/>
        </w:rPr>
        <w:t>La présence de représentants de l’Ukraine lors d'actes d’instruction à Monaco a été confirmée. Cela atteste d'une coordination active au sein de l'ÉCI (JIT).</w:t>
      </w:r>
      <w:r w:rsidR="001758E7" w:rsidRPr="001758E7">
        <w:rPr>
          <w:rFonts w:ascii="Cambria" w:hAnsi="Cambria" w:cs="Cambria"/>
          <w:sz w:val="22"/>
        </w:rPr>
      </w:r>
      <w:r>
        <w:rPr>
          <w:rFonts w:ascii="Cambria" w:hAnsi="Cambria" w:cs="Cambria"/>
          <w:sz w:val="22"/>
        </w:rPr>
      </w:r>
      <w:r w:rsidR="001758E7" w:rsidRPr="001758E7">
        <w:rPr>
          <w:rFonts w:ascii="Cambria" w:hAnsi="Cambria" w:cs="Cambria"/>
          <w:sz w:val="22"/>
        </w:rPr>
      </w:r>
    </w:p>
    <w:p w14:paraId="0C6EEFB0" w14:textId="77777777" w:rsidR="007C5D2E" w:rsidRPr="001758E7" w:rsidRDefault="007C5D2E" w:rsidP="009A2D84">
      <w:pPr>
        <w:jc w:val="both"/>
        <w:spacing w:before="120" w:after="0" w:line="276" w:lineRule="auto"/>
      </w:pPr>
    </w:p>
    <w:p w14:paraId="65A71146" w14:textId="25CDD989" w:rsidR="001758E7" w:rsidRPr="009A2D84" w:rsidRDefault="001758E7" w:rsidP="009A2D84">
      <w:pPr>
        <w:pStyle w:val="a3"/>
        <w:numPr>
          <w:ilvl w:val="0"/>
          <w:numId w:val="8"/>
        </w:numPr>
        <w:contextualSpacing w:val="0"/>
        <w:jc w:val="both"/>
        <w:rPr>
          <w:b/>
          <w:bCs/>
        </w:rPr>
        <w:ind w:left="0" w:hanging="567"/>
        <w:spacing w:before="120" w:after="0" w:line="276" w:lineRule="auto"/>
      </w:pPr>
      <w:r w:rsidRPr="009A2D84">
        <w:rPr>
          <w:rFonts w:ascii="Cambria" w:hAnsi="Cambria" w:cs="Cambria"/>
          <w:b/>
          <w:bCs/>
          <w:sz w:val="22"/>
        </w:rPr>
        <w:t>Pièces du dossier et accès aux éléments de l’enquête.</w:t>
      </w:r>
      <w:r w:rsidR="009A2D84" w:rsidRPr="009A2D84">
        <w:rPr>
          <w:rFonts w:ascii="Cambria" w:hAnsi="Cambria" w:cs="Cambria"/>
          <w:b/>
          <w:bCs/>
          <w:sz w:val="22"/>
        </w:rPr>
      </w:r>
    </w:p>
    <w:p w14:paraId="230E53DA" w14:textId="3C7AA6A8" w:rsidR="001758E7" w:rsidRPr="001758E7" w:rsidRDefault="001758E7" w:rsidP="00076A63">
      <w:pPr>
        <w:jc w:val="both"/>
        <w:spacing w:before="120" w:after="0" w:line="276" w:lineRule="auto"/>
      </w:pPr>
      <w:r w:rsidRPr="001758E7">
        <w:rPr>
          <w:rFonts w:ascii="Cambria" w:hAnsi="Cambria" w:cs="Cambria"/>
          <w:sz w:val="22"/>
        </w:rPr>
        <w:t>L'accès au dossier est prévu à l'issue d'un délai de 6 mois à compter du premier acte d'instruction, mais en pratique cette voie n'est presque jamais mise en œuvre.</w:t>
      </w:r>
    </w:p>
    <w:p w14:paraId="10B9DFCF" w14:textId="77777777" w:rsidR="007C5D2E" w:rsidRDefault="007C5D2E" w:rsidP="00076A63">
      <w:pPr>
        <w:pStyle w:val="a3"/>
        <w:numPr>
          <w:ilvl w:val="0"/>
          <w:numId w:val="8"/>
        </w:numPr>
        <w:rPr>
          <w:b/>
          <w:bCs/>
        </w:rPr>
        <w:ind w:left="0" w:hanging="567"/>
        <w:spacing w:before="120" w:after="0" w:line="276" w:lineRule="auto"/>
      </w:pPr>
    </w:p>
    <w:p w14:paraId="3331BCCA" w14:textId="77777777" w:rsidR="007C5D2E" w:rsidRDefault="007C5D2E" w:rsidP="007C5D2E">
      <w:pPr>
        <w:pStyle w:val="a3"/>
        <w:rPr>
          <w:b/>
          <w:bCs/>
        </w:rPr>
        <w:ind w:left="0"/>
        <w:spacing w:before="120" w:after="0" w:line="276" w:lineRule="auto"/>
      </w:pPr>
    </w:p>
    <w:p w14:paraId="2A3E060B" w14:textId="1BEECCC1" w:rsidR="001758E7" w:rsidRPr="00076A63" w:rsidRDefault="001758E7" w:rsidP="00076A63">
      <w:pPr>
        <w:pStyle w:val="a3"/>
        <w:numPr>
          <w:ilvl w:val="0"/>
          <w:numId w:val="8"/>
        </w:numPr>
        <w:rPr>
          <w:b/>
          <w:bCs/>
        </w:rPr>
        <w:ind w:left="0" w:hanging="567"/>
        <w:spacing w:before="120" w:after="0" w:line="276" w:lineRule="auto"/>
      </w:pPr>
      <w:r w:rsidRPr="00076A63">
        <w:rPr>
          <w:rFonts w:ascii="Cambria" w:hAnsi="Cambria" w:cs="Cambria"/>
          <w:b/>
          <w:bCs/>
          <w:sz w:val="22"/>
        </w:rPr>
        <w:t>Délais de procédure.</w:t>
      </w:r>
      <w:r w:rsidR="00076A63">
        <w:rPr>
          <w:rFonts w:ascii="Cambria" w:hAnsi="Cambria" w:cs="Cambria"/>
          <w:b/>
          <w:bCs/>
          <w:sz w:val="22"/>
        </w:rPr>
      </w:r>
    </w:p>
    <w:p w14:paraId="287A9629" w14:textId="77777777" w:rsidR="001758E7" w:rsidRPr="001758E7" w:rsidRDefault="001758E7" w:rsidP="001758E7">
      <w:pPr>
        <w:spacing w:before="120" w:after="0" w:line="276" w:lineRule="auto"/>
      </w:pPr>
      <w:r w:rsidRPr="001758E7">
        <w:rPr>
          <w:rFonts w:ascii="Cambria" w:hAnsi="Cambria" w:cs="Cambria"/>
          <w:sz w:val="22"/>
        </w:rPr>
        <w:t>Conformément à la législation monégasque :</w:t>
      </w:r>
    </w:p>
    <w:p w14:paraId="01DF6549" w14:textId="7A23378C" w:rsidR="001758E7" w:rsidRPr="001758E7" w:rsidRDefault="001758E7" w:rsidP="00076A63">
      <w:pPr>
        <w:numPr>
          <w:ilvl w:val="0"/>
          <w:numId w:val="7"/>
        </w:numPr>
        <w:tabs>
          <w:tab w:val="clear" w:pos="720"/>
        </w:tabs>
        <w:ind w:left="567" w:hanging="567"/>
        <w:spacing w:before="120" w:after="0" w:line="276" w:lineRule="auto"/>
      </w:pPr>
      <w:r w:rsidRPr="001758E7">
        <w:rPr>
          <w:rFonts w:ascii="Cambria" w:hAnsi="Cambria" w:cs="Cambria"/>
          <w:sz w:val="22"/>
        </w:rPr>
        <w:t>Le délai de l’enquête préliminaire est de 2 ans à compter du premier acte d’enquête, avec possibilité d'une prorogation unique d'un an (sur autorisation du Procureur Général) ;</w:t>
      </w:r>
      <w:r w:rsidR="00076A63">
        <w:rPr>
          <w:rFonts w:ascii="Cambria" w:hAnsi="Cambria" w:cs="Cambria"/>
          <w:sz w:val="22"/>
        </w:rPr>
      </w:r>
      <w:r w:rsidRPr="001758E7">
        <w:rPr>
          <w:rFonts w:ascii="Cambria" w:hAnsi="Cambria" w:cs="Cambria"/>
          <w:sz w:val="22"/>
        </w:rPr>
      </w:r>
      <w:r w:rsidRPr="001758E7">
        <w:rPr>
          <w:rFonts w:ascii="Cambria" w:hAnsi="Cambria" w:cs="Cambria"/>
          <w:b/>
          <w:bCs/>
          <w:sz w:val="22"/>
        </w:rPr>
      </w:r>
      <w:r w:rsidR="00076A63">
        <w:rPr>
          <w:rFonts w:ascii="Cambria" w:hAnsi="Cambria" w:cs="Cambria"/>
          <w:b/>
          <w:bCs/>
          <w:sz w:val="22"/>
        </w:rPr>
      </w:r>
      <w:r w:rsidRPr="001758E7">
        <w:rPr>
          <w:rFonts w:ascii="Cambria" w:hAnsi="Cambria" w:cs="Cambria"/>
          <w:b/>
          <w:bCs/>
          <w:sz w:val="22"/>
        </w:rPr>
      </w:r>
      <w:r w:rsidRPr="001758E7">
        <w:rPr>
          <w:rFonts w:ascii="Cambria" w:hAnsi="Cambria" w:cs="Cambria"/>
          <w:sz w:val="22"/>
        </w:rPr>
      </w:r>
      <w:r w:rsidRPr="001758E7">
        <w:rPr>
          <w:rFonts w:ascii="Cambria" w:hAnsi="Cambria" w:cs="Cambria"/>
          <w:b/>
          <w:bCs/>
          <w:sz w:val="22"/>
        </w:rPr>
      </w:r>
      <w:r w:rsidR="00076A63">
        <w:rPr>
          <w:rFonts w:ascii="Cambria" w:hAnsi="Cambria" w:cs="Cambria"/>
          <w:b/>
          <w:bCs/>
          <w:sz w:val="22"/>
        </w:rPr>
      </w:r>
      <w:r w:rsidRPr="001758E7">
        <w:rPr>
          <w:rFonts w:ascii="Cambria" w:hAnsi="Cambria" w:cs="Cambria"/>
          <w:sz w:val="22"/>
        </w:rPr>
      </w:r>
      <w:r w:rsidR="00076A63">
        <w:rPr>
          <w:rFonts w:ascii="Cambria" w:hAnsi="Cambria" w:cs="Cambria"/>
          <w:sz w:val="22"/>
        </w:rPr>
      </w:r>
      <w:r w:rsidRPr="001758E7">
        <w:rPr>
          <w:rFonts w:ascii="Cambria" w:hAnsi="Cambria" w:cs="Cambria"/>
          <w:sz w:val="22"/>
        </w:rPr>
      </w:r>
      <w:r w:rsidR="00076A63">
        <w:rPr>
          <w:rFonts w:ascii="Cambria" w:hAnsi="Cambria" w:cs="Cambria"/>
          <w:sz w:val="22"/>
        </w:rPr>
      </w:r>
    </w:p>
    <w:p w14:paraId="723D5272" w14:textId="4EB72836" w:rsidR="001758E7" w:rsidRPr="001758E7" w:rsidRDefault="001758E7" w:rsidP="00076A63">
      <w:pPr>
        <w:numPr>
          <w:ilvl w:val="0"/>
          <w:numId w:val="7"/>
        </w:numPr>
        <w:tabs>
          <w:tab w:val="clear" w:pos="720"/>
        </w:tabs>
        <w:ind w:left="567" w:hanging="567"/>
        <w:spacing w:before="120" w:after="0" w:line="276" w:lineRule="auto"/>
      </w:pPr>
      <w:r w:rsidRPr="001758E7">
        <w:rPr>
          <w:rFonts w:ascii="Cambria" w:hAnsi="Cambria" w:cs="Cambria"/>
          <w:sz w:val="22"/>
        </w:rPr>
        <w:t>Le premier acte d’instruction (signalement du S.I.C.C.F.I.N.) est intervenu le 7 novembre 2022 ; par conséquent, la date butoir était fixée au 7 novembre 2024 ou en 2025 (en cas de prorogation).</w:t>
      </w:r>
      <w:r w:rsidR="00076A63">
        <w:rPr>
          <w:rFonts w:ascii="Cambria" w:hAnsi="Cambria" w:cs="Cambria"/>
          <w:sz w:val="22"/>
        </w:rPr>
      </w:r>
      <w:r w:rsidR="00076A63">
        <w:rPr>
          <w:rFonts w:ascii="Cambria" w:hAnsi="Cambria" w:cs="Cambria"/>
          <w:b/>
          <w:bCs/>
          <w:sz w:val="22"/>
        </w:rPr>
      </w:r>
      <w:r w:rsidRPr="001758E7">
        <w:rPr>
          <w:rFonts w:ascii="Cambria" w:hAnsi="Cambria" w:cs="Cambria"/>
          <w:b/>
          <w:bCs/>
          <w:sz w:val="22"/>
        </w:rPr>
      </w:r>
      <w:r w:rsidR="00076A63">
        <w:rPr>
          <w:rFonts w:ascii="Cambria" w:hAnsi="Cambria" w:cs="Cambria"/>
          <w:b/>
          <w:bCs/>
          <w:sz w:val="22"/>
        </w:rPr>
      </w:r>
      <w:r w:rsidRPr="001758E7">
        <w:rPr>
          <w:rFonts w:ascii="Cambria" w:hAnsi="Cambria" w:cs="Cambria"/>
          <w:sz w:val="22"/>
        </w:rPr>
      </w:r>
      <w:r w:rsidR="00076A63">
        <w:rPr>
          <w:rFonts w:ascii="Cambria" w:hAnsi="Cambria" w:cs="Cambria"/>
          <w:sz w:val="22"/>
        </w:rPr>
      </w:r>
      <w:r w:rsidRPr="001758E7">
        <w:rPr>
          <w:rFonts w:ascii="Cambria" w:hAnsi="Cambria" w:cs="Cambria"/>
          <w:sz w:val="22"/>
        </w:rPr>
      </w:r>
      <w:r w:rsidR="00076A63">
        <w:rPr>
          <w:rFonts w:ascii="Cambria" w:hAnsi="Cambria" w:cs="Cambria"/>
          <w:sz w:val="22"/>
        </w:rPr>
      </w:r>
      <w:r w:rsidRPr="001758E7">
        <w:rPr>
          <w:rFonts w:ascii="Cambria" w:hAnsi="Cambria" w:cs="Cambria"/>
          <w:sz w:val="22"/>
        </w:rPr>
      </w:r>
      <w:r w:rsidR="00076A63">
        <w:rPr>
          <w:rFonts w:ascii="Cambria" w:hAnsi="Cambria" w:cs="Cambria"/>
          <w:sz w:val="22"/>
        </w:rPr>
      </w:r>
      <w:r w:rsidRPr="001758E7">
        <w:rPr>
          <w:rFonts w:ascii="Cambria" w:hAnsi="Cambria" w:cs="Cambria"/>
          <w:sz w:val="22"/>
        </w:rPr>
      </w:r>
      <w:r w:rsidR="00076A63">
        <w:rPr>
          <w:rFonts w:ascii="Cambria" w:hAnsi="Cambria" w:cs="Cambria"/>
          <w:sz w:val="22"/>
        </w:rPr>
      </w:r>
      <w:r w:rsidRPr="001758E7">
        <w:rPr>
          <w:rFonts w:ascii="Cambria" w:hAnsi="Cambria" w:cs="Cambria"/>
          <w:sz w:val="22"/>
        </w:rPr>
      </w:r>
    </w:p>
    <w:p w14:paraId="3590D0B5" w14:textId="156D1696" w:rsidR="001758E7" w:rsidRPr="001758E7" w:rsidRDefault="001758E7" w:rsidP="00076A63">
      <w:pPr>
        <w:spacing w:before="120" w:after="0" w:line="276" w:lineRule="auto"/>
      </w:pPr>
      <w:r w:rsidRPr="001758E7">
        <w:rPr>
          <w:rFonts w:ascii="Cambria" w:hAnsi="Cambria" w:cs="Cambria"/>
          <w:sz w:val="22"/>
        </w:rPr>
        <w:t>Il n'est pas établi que le délai ait été formellement prorogé. À défaut, tous les actes accomplis après le 7 novembre 2024 encourent la contestation pour illégalité.</w:t>
      </w:r>
      <w:r w:rsidR="00FC4B97">
        <w:rPr>
          <w:rFonts w:ascii="Cambria" w:hAnsi="Cambria" w:cs="Cambria"/>
          <w:sz w:val="22"/>
        </w:rPr>
      </w:r>
      <w:r w:rsidRPr="001758E7">
        <w:rPr>
          <w:rFonts w:ascii="Cambria" w:hAnsi="Cambria" w:cs="Cambria"/>
          <w:sz w:val="22"/>
        </w:rPr>
      </w:r>
      <w:r w:rsidR="00FC4B97">
        <w:rPr>
          <w:rFonts w:ascii="Cambria" w:hAnsi="Cambria" w:cs="Cambria"/>
          <w:sz w:val="22"/>
        </w:rPr>
      </w:r>
      <w:r w:rsidRPr="001758E7">
        <w:rPr>
          <w:rFonts w:ascii="Cambria" w:hAnsi="Cambria" w:cs="Cambria"/>
          <w:sz w:val="22"/>
        </w:rPr>
      </w:r>
    </w:p>
    <w:p w14:paraId="77F80698" w14:textId="32A450CA" w:rsidR="00FC4B97" w:rsidRDefault="001758E7" w:rsidP="00FC4B97">
      <w:pPr>
        <w:spacing w:before="120" w:after="0" w:line="276" w:lineRule="auto"/>
      </w:pPr>
      <w:r w:rsidRPr="001758E7">
        <w:rPr>
          <w:rFonts w:ascii="Cambria" w:hAnsi="Cambria" w:cs="Cambria"/>
          <w:sz w:val="22"/>
        </w:rPr>
        <w:t>La perquisition du 28 avril 2025 et l'interpellation ont été exécutées dans le cadre de la seconde enquête (n° 2024/000311), et n'entrent donc pas dans ces délais.</w:t>
      </w:r>
      <w:r w:rsidR="00FC4B97">
        <w:rPr>
          <w:rFonts w:ascii="Cambria" w:hAnsi="Cambria" w:cs="Cambria"/>
          <w:sz w:val="22"/>
        </w:rPr>
      </w:r>
      <w:r w:rsidRPr="001758E7">
        <w:rPr>
          <w:rFonts w:ascii="Cambria" w:hAnsi="Cambria" w:cs="Cambria"/>
          <w:sz w:val="22"/>
        </w:rPr>
      </w:r>
    </w:p>
    <w:p w14:paraId="1C3442AE" w14:textId="77777777" w:rsidR="007C5D2E" w:rsidRDefault="007C5D2E" w:rsidP="00FC4B97">
      <w:pPr>
        <w:spacing w:before="120" w:after="0" w:line="276" w:lineRule="auto"/>
      </w:pPr>
    </w:p>
    <w:p w14:paraId="320BA892" w14:textId="0AF6FBDB" w:rsidR="00FC4B97" w:rsidRPr="00D2235E" w:rsidRDefault="00FC4B97" w:rsidP="00D2235E">
      <w:pPr>
        <w:pStyle w:val="a3"/>
        <w:numPr>
          <w:ilvl w:val="0"/>
          <w:numId w:val="8"/>
        </w:numPr>
        <w:jc w:val="both"/>
        <w:rPr>
          <w:b/>
          <w:bCs/>
        </w:rPr>
        <w:ind w:left="0" w:hanging="567"/>
        <w:spacing w:before="120" w:after="0" w:line="276" w:lineRule="auto"/>
      </w:pPr>
      <w:r w:rsidRPr="00D2235E">
        <w:rPr>
          <w:rFonts w:ascii="Cambria" w:hAnsi="Cambria" w:cs="Cambria"/>
          <w:b/>
          <w:bCs/>
          <w:sz w:val="22"/>
        </w:rPr>
        <w:t>Dépendance de l'affaire à Monaco vis-à-vis de la procédure en Ukraine.</w:t>
      </w:r>
      <w:r w:rsidR="00D2235E">
        <w:rPr>
          <w:rFonts w:ascii="Cambria" w:hAnsi="Cambria" w:cs="Cambria"/>
          <w:b/>
          <w:bCs/>
          <w:sz w:val="22"/>
        </w:rPr>
      </w:r>
    </w:p>
    <w:p w14:paraId="044EBC5D" w14:textId="0BAE0EC1" w:rsidR="00FC4B97" w:rsidRPr="00FC4B97" w:rsidRDefault="00D2235E" w:rsidP="00D2235E">
      <w:pPr>
        <w:jc w:val="both"/>
        <w:spacing w:before="120" w:after="0" w:line="276" w:lineRule="auto"/>
      </w:pPr>
      <w:r>
        <w:rPr>
          <w:rFonts w:ascii="Cambria" w:hAnsi="Cambria" w:cs="Cambria"/>
          <w:sz w:val="22"/>
        </w:rPr>
        <w:t>Selon la jurisprudence monégasque, le blanchiment est une infraction autonome, indépendante de l'infraction sous-jacente.</w:t>
      </w:r>
      <w:r w:rsidR="00FC4B97" w:rsidRPr="00FC4B97">
        <w:rPr>
          <w:rFonts w:ascii="Cambria" w:hAnsi="Cambria" w:cs="Cambria"/>
          <w:sz w:val="22"/>
        </w:rPr>
      </w:r>
      <w:r>
        <w:rPr>
          <w:rFonts w:ascii="Cambria" w:hAnsi="Cambria" w:cs="Cambria"/>
          <w:b/>
          <w:bCs/>
          <w:sz w:val="22"/>
        </w:rPr>
      </w:r>
      <w:r w:rsidR="00FC4B97" w:rsidRPr="00FC4B97">
        <w:rPr>
          <w:rFonts w:ascii="Cambria" w:hAnsi="Cambria" w:cs="Cambria"/>
          <w:b/>
          <w:bCs/>
          <w:sz w:val="22"/>
        </w:rPr>
      </w:r>
      <w:r>
        <w:rPr>
          <w:rFonts w:ascii="Cambria" w:hAnsi="Cambria" w:cs="Cambria"/>
          <w:b/>
          <w:bCs/>
          <w:sz w:val="22"/>
        </w:rPr>
      </w:r>
      <w:r w:rsidR="00FC4B97" w:rsidRPr="00FC4B97">
        <w:rPr>
          <w:rFonts w:ascii="Cambria" w:hAnsi="Cambria" w:cs="Cambria"/>
          <w:b/>
          <w:bCs/>
          <w:sz w:val="22"/>
        </w:rPr>
      </w:r>
      <w:r w:rsidR="00FC4B97" w:rsidRPr="00FC4B97">
        <w:rPr>
          <w:rFonts w:ascii="Cambria" w:hAnsi="Cambria" w:cs="Cambria"/>
          <w:sz w:val="22"/>
        </w:rPr>
      </w:r>
      <w:r>
        <w:rPr>
          <w:rFonts w:ascii="Cambria" w:hAnsi="Cambria" w:cs="Cambria"/>
          <w:sz w:val="22"/>
        </w:rPr>
      </w:r>
    </w:p>
    <w:p w14:paraId="5B9CEEA9" w14:textId="42F56962" w:rsidR="00FC4B97" w:rsidRPr="00FC4B97" w:rsidRDefault="00FC4B97" w:rsidP="00D2235E">
      <w:pPr>
        <w:jc w:val="both"/>
        <w:spacing w:before="120" w:after="0" w:line="276" w:lineRule="auto"/>
      </w:pPr>
      <w:r w:rsidRPr="00FC4B97">
        <w:rPr>
          <w:rFonts w:ascii="Cambria" w:hAnsi="Cambria" w:cs="Cambria"/>
          <w:sz w:val="22"/>
        </w:rPr>
        <w:t>L'affaire à Monaco peut se poursuivre même si la procédure ukrainienne est classée ou se clôt par un acquittement.</w:t>
      </w:r>
      <w:r w:rsidR="00D2235E">
        <w:rPr>
          <w:rFonts w:ascii="Cambria" w:hAnsi="Cambria" w:cs="Cambria"/>
          <w:sz w:val="22"/>
        </w:rPr>
      </w:r>
      <w:r w:rsidRPr="00FC4B97">
        <w:rPr>
          <w:rFonts w:ascii="Cambria" w:hAnsi="Cambria" w:cs="Cambria"/>
          <w:sz w:val="22"/>
        </w:rPr>
      </w:r>
      <w:proofErr w:type="spellStart"/>
      <w:r w:rsidRPr="00FC4B97">
        <w:rPr>
          <w:rFonts w:ascii="Cambria" w:hAnsi="Cambria" w:cs="Cambria"/>
          <w:sz w:val="22"/>
        </w:rPr>
      </w:r>
      <w:proofErr w:type="spellEnd"/>
      <w:r w:rsidRPr="00FC4B97">
        <w:rPr>
          <w:rFonts w:ascii="Cambria" w:hAnsi="Cambria" w:cs="Cambria"/>
          <w:sz w:val="22"/>
        </w:rPr>
      </w:r>
    </w:p>
    <w:p w14:paraId="2E7CB00C" w14:textId="0872730B" w:rsidR="00FC4B97" w:rsidRPr="00FC4B97" w:rsidRDefault="00FC4B97" w:rsidP="00D2235E">
      <w:pPr>
        <w:jc w:val="both"/>
        <w:spacing w:before="120" w:after="0" w:line="276" w:lineRule="auto"/>
      </w:pPr>
      <w:r w:rsidRPr="00FC4B97">
        <w:rPr>
          <w:rFonts w:ascii="Cambria" w:hAnsi="Cambria" w:cs="Cambria"/>
          <w:sz w:val="22"/>
        </w:rPr>
        <w:t>Toutefois, une décision judiciaire ukrainienne favorable à AVB constituera un argument pour la défense, notamment pour prouver l'absence d'infraction sous-jacente.</w:t>
      </w:r>
      <w:r w:rsidR="00D2235E" w:rsidRPr="00D2235E">
        <w:rPr>
          <w:rFonts w:ascii="Cambria" w:hAnsi="Cambria" w:cs="Cambria"/>
          <w:sz w:val="22"/>
        </w:rPr>
      </w:r>
      <w:r w:rsidRPr="00FC4B97">
        <w:rPr>
          <w:rFonts w:ascii="Cambria" w:hAnsi="Cambria" w:cs="Cambria"/>
          <w:sz w:val="22"/>
        </w:rPr>
      </w:r>
      <w:r w:rsidR="00D2235E">
        <w:rPr>
          <w:rFonts w:ascii="Cambria" w:hAnsi="Cambria" w:cs="Cambria"/>
          <w:sz w:val="22"/>
        </w:rPr>
      </w:r>
      <w:r w:rsidRPr="00FC4B97">
        <w:rPr>
          <w:rFonts w:ascii="Cambria" w:hAnsi="Cambria" w:cs="Cambria"/>
          <w:sz w:val="22"/>
        </w:rPr>
      </w:r>
      <w:r w:rsidR="00D2235E">
        <w:rPr>
          <w:rFonts w:ascii="Cambria" w:hAnsi="Cambria" w:cs="Cambria"/>
          <w:sz w:val="22"/>
        </w:rPr>
      </w:r>
    </w:p>
    <w:p w14:paraId="4B16685E" w14:textId="50E74005" w:rsidR="00D2235E" w:rsidRDefault="00FC4B97" w:rsidP="00D2235E">
      <w:pPr>
        <w:jc w:val="both"/>
        <w:spacing w:before="120" w:after="0" w:line="276" w:lineRule="auto"/>
      </w:pPr>
      <w:r w:rsidRPr="00FC4B97">
        <w:rPr>
          <w:rFonts w:ascii="Cambria" w:hAnsi="Cambria" w:cs="Cambria"/>
          <w:sz w:val="22"/>
        </w:rPr>
        <w:t>En cas de condamnation pour les mêmes faits matériels en Ukraine, il sera possible d'invoquer la règle de non-cumul des poursuites (non bis in idem).</w:t>
      </w:r>
      <w:proofErr w:type="spellStart"/>
      <w:r w:rsidRPr="00FC4B97">
        <w:rPr>
          <w:rFonts w:ascii="Cambria" w:hAnsi="Cambria" w:cs="Cambria"/>
          <w:sz w:val="22"/>
        </w:rPr>
      </w:r>
      <w:proofErr w:type="spellEnd"/>
      <w:r w:rsidRPr="00FC4B97">
        <w:rPr>
          <w:rFonts w:ascii="Cambria" w:hAnsi="Cambria" w:cs="Cambria"/>
          <w:sz w:val="22"/>
        </w:rPr>
      </w:r>
      <w:proofErr w:type="spellStart"/>
      <w:r w:rsidRPr="00FC4B97">
        <w:rPr>
          <w:rFonts w:ascii="Cambria" w:hAnsi="Cambria" w:cs="Cambria"/>
          <w:sz w:val="22"/>
        </w:rPr>
      </w:r>
      <w:proofErr w:type="spellEnd"/>
      <w:r w:rsidRPr="00FC4B97">
        <w:rPr>
          <w:rFonts w:ascii="Cambria" w:hAnsi="Cambria" w:cs="Cambria"/>
          <w:sz w:val="22"/>
        </w:rPr>
      </w:r>
      <w:proofErr w:type="spellStart"/>
      <w:r w:rsidRPr="00FC4B97">
        <w:rPr>
          <w:rFonts w:ascii="Cambria" w:hAnsi="Cambria" w:cs="Cambria"/>
          <w:sz w:val="22"/>
        </w:rPr>
      </w:r>
      <w:proofErr w:type="spellEnd"/>
      <w:r w:rsidRPr="00FC4B97">
        <w:rPr>
          <w:rFonts w:ascii="Cambria" w:hAnsi="Cambria" w:cs="Cambria"/>
          <w:sz w:val="22"/>
        </w:rPr>
      </w:r>
      <w:proofErr w:type="spellStart"/>
      <w:r w:rsidRPr="00FC4B97">
        <w:rPr>
          <w:rFonts w:ascii="Cambria" w:hAnsi="Cambria" w:cs="Cambria"/>
          <w:sz w:val="22"/>
        </w:rPr>
      </w:r>
      <w:proofErr w:type="spellEnd"/>
      <w:r w:rsidRPr="00FC4B97">
        <w:rPr>
          <w:rFonts w:ascii="Cambria" w:hAnsi="Cambria" w:cs="Cambria"/>
          <w:sz w:val="22"/>
        </w:rPr>
      </w:r>
      <w:r w:rsidR="00D2235E">
        <w:rPr>
          <w:rFonts w:ascii="Cambria" w:hAnsi="Cambria" w:cs="Cambria"/>
          <w:sz w:val="22"/>
        </w:rPr>
      </w:r>
    </w:p>
    <w:p w14:paraId="7500FEB9" w14:textId="7C3EC8E7" w:rsidR="001758E7" w:rsidRPr="00CF763F" w:rsidRDefault="001758E7" w:rsidP="001758E7">
      <w:pPr>
        <w:rPr>
          <w:lang w:val="en-US"/>
        </w:rPr>
        <w:spacing w:before="120" w:after="0" w:line="276" w:lineRule="auto"/>
      </w:pPr>
    </w:p>
    <w:sectPr w:rsidR="001758E7" w:rsidRPr="00CF763F" w:rsidSect="00664EF9">
      <w:headerReference w:type="default" r:id="rId7"/>
      <w:footerReference w:type="default" r:id="rId8"/>
      <w:pgSz w:w="11906" w:h="16838"/>
      <w:pgMar w:top="1134" w:right="1134" w:bottom="1134" w:left="212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FE74DF"/>
    <w:multiLevelType w:val="multilevel"/>
    <w:tmpl w:val="B6B4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33C5E"/>
    <w:multiLevelType w:val="multilevel"/>
    <w:tmpl w:val="4CB4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C33EC"/>
    <w:multiLevelType w:val="multilevel"/>
    <w:tmpl w:val="6A104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3C35"/>
    <w:multiLevelType w:val="hybridMultilevel"/>
    <w:tmpl w:val="D42418B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D31333"/>
    <w:multiLevelType w:val="multilevel"/>
    <w:tmpl w:val="7B70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36F77"/>
    <w:multiLevelType w:val="multilevel"/>
    <w:tmpl w:val="FDC4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46306D"/>
    <w:multiLevelType w:val="multilevel"/>
    <w:tmpl w:val="01FE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1D4E36"/>
    <w:multiLevelType w:val="multilevel"/>
    <w:tmpl w:val="95D21316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496211"/>
    <w:multiLevelType w:val="multilevel"/>
    <w:tmpl w:val="DAEE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F236B"/>
    <w:multiLevelType w:val="multilevel"/>
    <w:tmpl w:val="130C1F38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9C787D"/>
    <w:multiLevelType w:val="multilevel"/>
    <w:tmpl w:val="9CD62414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084308"/>
    <w:multiLevelType w:val="multilevel"/>
    <w:tmpl w:val="759E90C8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94CE8"/>
    <w:multiLevelType w:val="multilevel"/>
    <w:tmpl w:val="3E4E8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16270C"/>
    <w:multiLevelType w:val="multilevel"/>
    <w:tmpl w:val="37507772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A65294"/>
    <w:multiLevelType w:val="multilevel"/>
    <w:tmpl w:val="84A2B470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C95706"/>
    <w:multiLevelType w:val="multilevel"/>
    <w:tmpl w:val="8918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E597E"/>
    <w:multiLevelType w:val="multilevel"/>
    <w:tmpl w:val="9AD0AD3C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976FEE"/>
    <w:multiLevelType w:val="multilevel"/>
    <w:tmpl w:val="B67A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990951"/>
    <w:multiLevelType w:val="multilevel"/>
    <w:tmpl w:val="30244BC4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870095">
    <w:abstractNumId w:val="6"/>
  </w:num>
  <w:num w:numId="2" w16cid:durableId="1327976953">
    <w:abstractNumId w:val="15"/>
  </w:num>
  <w:num w:numId="3" w16cid:durableId="317731159">
    <w:abstractNumId w:val="5"/>
  </w:num>
  <w:num w:numId="4" w16cid:durableId="800464698">
    <w:abstractNumId w:val="7"/>
  </w:num>
  <w:num w:numId="5" w16cid:durableId="919750812">
    <w:abstractNumId w:val="11"/>
  </w:num>
  <w:num w:numId="6" w16cid:durableId="1184322568">
    <w:abstractNumId w:val="13"/>
  </w:num>
  <w:num w:numId="7" w16cid:durableId="453912688">
    <w:abstractNumId w:val="0"/>
  </w:num>
  <w:num w:numId="8" w16cid:durableId="1757902555">
    <w:abstractNumId w:val="3"/>
  </w:num>
  <w:num w:numId="9" w16cid:durableId="862784747">
    <w:abstractNumId w:val="10"/>
  </w:num>
  <w:num w:numId="10" w16cid:durableId="1013066789">
    <w:abstractNumId w:val="14"/>
  </w:num>
  <w:num w:numId="11" w16cid:durableId="2042582228">
    <w:abstractNumId w:val="9"/>
  </w:num>
  <w:num w:numId="12" w16cid:durableId="2072843100">
    <w:abstractNumId w:val="18"/>
  </w:num>
  <w:num w:numId="13" w16cid:durableId="1281838411">
    <w:abstractNumId w:val="16"/>
  </w:num>
  <w:num w:numId="14" w16cid:durableId="395588714">
    <w:abstractNumId w:val="4"/>
  </w:num>
  <w:num w:numId="15" w16cid:durableId="1179125630">
    <w:abstractNumId w:val="1"/>
  </w:num>
  <w:num w:numId="16" w16cid:durableId="550967793">
    <w:abstractNumId w:val="2"/>
  </w:num>
  <w:num w:numId="17" w16cid:durableId="1001393740">
    <w:abstractNumId w:val="17"/>
  </w:num>
  <w:num w:numId="18" w16cid:durableId="1371800093">
    <w:abstractNumId w:val="8"/>
  </w:num>
  <w:num w:numId="19" w16cid:durableId="124048140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E7"/>
    <w:rsid w:val="00076A63"/>
    <w:rsid w:val="001758E7"/>
    <w:rsid w:val="00401DE3"/>
    <w:rsid w:val="00462EA1"/>
    <w:rsid w:val="00664EF9"/>
    <w:rsid w:val="00761640"/>
    <w:rsid w:val="007C5D2E"/>
    <w:rsid w:val="00935B60"/>
    <w:rsid w:val="00975EB2"/>
    <w:rsid w:val="009A2D84"/>
    <w:rsid w:val="00AA3021"/>
    <w:rsid w:val="00B01DA0"/>
    <w:rsid w:val="00B636C2"/>
    <w:rsid w:val="00B84DD1"/>
    <w:rsid w:val="00CF763F"/>
    <w:rsid w:val="00D2235E"/>
    <w:rsid w:val="00FC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A0F52"/>
  <w15:chartTrackingRefBased/>
  <w15:docId w15:val="{7FDB1CEE-D66F-4C41-8706-8496DDDAD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DA0"/>
    <w:pPr>
      <w:spacing w:before="120" w:after="0" w:line="276" w:lineRule="auto"/>
    </w:pPr>
    <w:rPr>
      <w:rFonts w:ascii="Cambria" w:hAnsi="Cambria"/>
      <w:sz w:val="22"/>
      <w:lang w:val="uk-UA"/>
    </w:rPr>
  </w:style>
  <w:style w:type="paragraph" w:styleId="1">
    <w:name w:val="heading 1"/>
    <w:basedOn w:val="a"/>
    <w:next w:val="a"/>
    <w:link w:val="10"/>
    <w:uiPriority w:val="9"/>
    <w:qFormat/>
    <w:rsid w:val="00B636C2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5E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8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6C2"/>
    <w:rPr>
      <w:rFonts w:ascii="Cambria" w:eastAsiaTheme="majorEastAsia" w:hAnsi="Cambr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rsid w:val="00975E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758E7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uk-UA"/>
    </w:rPr>
  </w:style>
  <w:style w:type="paragraph" w:styleId="a3">
    <w:name w:val="List Paragraph"/>
    <w:basedOn w:val="a"/>
    <w:uiPriority w:val="34"/>
    <w:qFormat/>
    <w:rsid w:val="001758E7"/>
    <w:pPr>
      <w:ind w:left="720"/>
      <w:contextualSpacing/>
      <w:spacing w:before="120" w:after="0" w:line="276" w:lineRule="auto"/>
    </w:pPr>
    <w:rPr>
      <w:rFonts w:ascii="Cambria" w:hAnsi="Cambria"/>
      <w:sz w:val="22"/>
    </w:rPr>
  </w:style>
  <w:style w:type="character" w:styleId="a4">
    <w:name w:val="Emphasis"/>
    <w:basedOn w:val="a0"/>
    <w:uiPriority w:val="20"/>
    <w:qFormat/>
    <w:rsid w:val="007C5D2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8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1524</Words>
  <Characters>870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opanasenko</dc:creator>
  <cp:keywords/>
  <dc:description/>
  <cp:lastModifiedBy>ivanna opanasenko</cp:lastModifiedBy>
  <cp:revision>2</cp:revision>
  <dcterms:created xsi:type="dcterms:W3CDTF">2025-07-22T11:51:00Z</dcterms:created>
  <dcterms:modified xsi:type="dcterms:W3CDTF">2026-09-02T09:22:00Z</dcterms:modified>
</cp:coreProperties>
</file>