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D044" w14:textId="77777777" w:rsidR="002C434A" w:rsidRDefault="00640E92">
      <w:pPr>
        <w:jc w:val="center"/>
        <w:spacing w:before="120" w:after="0" w:line="276" w:lineRule="auto"/>
      </w:pPr>
      <w:r>
        <w:rPr>
          <w:b/>
          <w:sz w:val="28"/>
        </w:rPr>
        <w:t>POSITION</w:t>
      </w:r>
      <w:r>
        <w:rPr>
          <w:b/>
          <w:sz w:val="28"/>
        </w:rPr>
        <w:br/>
        <w:t>sur le volet « Accords d'agence » (enquête française)</w:t>
      </w:r>
    </w:p>
    <w:p w14:paraId="0343A244" w14:textId="77777777" w:rsidR="002C434A" w:rsidRDefault="002C434A">
      <w:pPr>
        <w:jc w:val="both"/>
        <w:spacing w:before="120" w:after="0" w:line="276" w:lineRule="auto"/>
      </w:pPr>
    </w:p>
    <w:p w14:paraId="54B4AAD9" w14:textId="77777777" w:rsidR="002C434A" w:rsidRDefault="00640E92">
      <w:pPr>
        <w:spacing w:before="120" w:after="0" w:line="276" w:lineRule="auto"/>
      </w:pPr>
      <w:r>
        <w:rPr>
          <w:b/>
        </w:rPr>
        <w:t>Position de l'enquête.</w:t>
      </w:r>
    </w:p>
    <w:p w14:paraId="320B1DC1" w14:textId="77777777" w:rsidR="002C434A" w:rsidRDefault="00640E92">
      <w:pPr>
        <w:spacing w:before="120" w:after="0" w:line="276" w:lineRule="auto"/>
      </w:pPr>
      <w:r>
        <w:rPr>
          <w:b/>
        </w:rPr>
        <w:t>Position sommaire de l'enquête.</w:t>
      </w:r>
    </w:p>
    <w:p w14:paraId="6F813433" w14:textId="77777777" w:rsidR="002C434A" w:rsidRDefault="00640E92">
      <w:pPr>
        <w:jc w:val="both"/>
        <w:spacing w:before="120" w:after="0" w:line="276" w:lineRule="auto"/>
      </w:pPr>
      <w:r>
        <w:t>L'enquête considère les contrats d'agence, de marketing et commerciaux connexes, les factures comme l'un des mécanismes possibles de justification de l'origine des fonds.</w:t>
      </w:r>
    </w:p>
    <w:p w14:paraId="4ABC867B" w14:textId="77777777" w:rsidR="002C434A" w:rsidRDefault="00640E92">
      <w:pPr>
        <w:jc w:val="both"/>
        <w:spacing w:before="120" w:after="0" w:line="276" w:lineRule="auto"/>
      </w:pPr>
      <w:r>
        <w:t>Selon la version de l'enquête, ces fonds parvenaient sur les comptes de sociétés étrangères liées à AVB, et pouvaient par la suite être utilisés pour l'acquisition ou le financement d'actifs en France et à Monaco.</w:t>
      </w:r>
    </w:p>
    <w:p w14:paraId="3D800390" w14:textId="77777777" w:rsidR="002C434A" w:rsidRDefault="00640E92">
      <w:pPr>
        <w:jc w:val="both"/>
        <w:spacing w:before="120" w:after="0" w:line="276" w:lineRule="auto"/>
      </w:pPr>
      <w:r>
        <w:t>L'enquête tente de construire une construction financière dans laquelle les documents d'agence et commerciaux connexes sont liés à des sociétés étrangères, à des comptes bancaires, aux mouvements de fonds et à l'acquisition ultérieure d'actifs.</w:t>
      </w:r>
    </w:p>
    <w:p w14:paraId="73156DD9" w14:textId="77777777" w:rsidR="002C434A" w:rsidRDefault="00640E92">
      <w:pPr>
        <w:jc w:val="both"/>
        <w:spacing w:before="120" w:after="0" w:line="276" w:lineRule="auto"/>
      </w:pPr>
      <w:r>
        <w:t>Cette version se construit autour de plusieurs éléments : l'existence de contrats d'agence et de marketing, le lien des sociétés étrangères avec AVB, la version d'un éventuel caractère formel de certaines opérations, le rôle de Motor Sich Middle East FZE (ME), les documents bancaires et le mouvement ultérieur des fonds.</w:t>
      </w:r>
    </w:p>
    <w:p w14:paraId="18240310" w14:textId="77777777" w:rsidR="002C434A" w:rsidRDefault="00640E92">
      <w:pPr>
        <w:jc w:val="both"/>
        <w:spacing w:before="120" w:after="0" w:line="276" w:lineRule="auto"/>
      </w:pPr>
      <w:r>
        <w:t>Les preuves détaillées par lesquelles l'enquête justifie chacun des éléments mentionnés sont exposées ci-dessous par blocs logiques.</w:t>
      </w:r>
    </w:p>
    <w:p w14:paraId="38963F93" w14:textId="77777777" w:rsidR="002C434A" w:rsidRDefault="00640E92">
      <w:pPr>
        <w:spacing w:before="120" w:after="0" w:line="276" w:lineRule="auto"/>
      </w:pPr>
      <w:r>
        <w:rPr>
          <w:b/>
        </w:rPr>
        <w:t>Preuves de l'enquête.</w:t>
      </w:r>
    </w:p>
    <w:p w14:paraId="7711BE2B" w14:textId="77777777" w:rsidR="002C434A" w:rsidRDefault="00640E92">
      <w:pPr>
        <w:spacing w:before="120" w:after="0" w:line="276" w:lineRule="auto"/>
      </w:pPr>
      <w:r>
        <w:rPr>
          <w:b/>
        </w:rPr>
        <w:t>Contrats d'agence entre la SA « Motor Sich » et les agents.</w:t>
      </w:r>
    </w:p>
    <w:p w14:paraId="7EB97AAB" w14:textId="77777777" w:rsidR="002C434A" w:rsidRDefault="00640E92">
      <w:pPr>
        <w:jc w:val="both"/>
        <w:spacing w:before="120" w:after="0" w:line="276" w:lineRule="auto"/>
      </w:pPr>
      <w:r>
        <w:t>L'enquête indique que la SA « Motor Sich » (MS) concluait de manière systémique des contrats d'agence avec des agents étrangers, en vertu desquels des paiements de commissions étaient effectués pour le concours à la promotion des produits et l'accompagnement des opérations commerciales.</w:t>
      </w:r>
    </w:p>
    <w:p w14:paraId="2CA3E67C" w14:textId="5961D944" w:rsidR="002C434A" w:rsidRDefault="00640E92">
      <w:pPr>
        <w:jc w:val="both"/>
        <w:spacing w:before="120" w:after="0" w:line="276" w:lineRule="auto"/>
      </w:pPr>
      <w:r>
        <w:t>À l'appui de cela, l'enquête se réfère au Procès-verbal de l'Office National Anti-Fraude (ONAF) sur les contrats d'agence de MS</w:t>
      </w:r>
      <w:r w:rsidR="00553238">
        <w:rPr>
          <w:rStyle w:val="affc"/>
        </w:rPr>
        <w:footnoteReference w:id="1"/>
      </w:r>
      <w:r>
        <w:t xml:space="preserve"> et à l'annexe sous forme de tableau avec la liste des contrats d'agence, des factures et des paiements entre MS et les agents</w:t>
      </w:r>
      <w:r w:rsidR="00553238">
        <w:rPr>
          <w:rStyle w:val="affc"/>
        </w:rPr>
        <w:footnoteReference w:id="2"/>
      </w:r>
      <w:r>
        <w:t xml:space="preserve"> .</w:t>
      </w:r>
    </w:p>
    <w:p w14:paraId="26CE0056" w14:textId="77777777" w:rsidR="002C434A" w:rsidRDefault="00640E92">
      <w:pPr>
        <w:jc w:val="both"/>
        <w:spacing w:before="120" w:after="0" w:line="276" w:lineRule="auto"/>
      </w:pPr>
      <w:r>
        <w:t>Ces éléments confirment l'existence d'un modèle stable de paiements au profit de sociétés étrangères.</w:t>
      </w:r>
    </w:p>
    <w:p w14:paraId="47EF9C30" w14:textId="77777777" w:rsidR="002C434A" w:rsidRDefault="00640E92">
      <w:pPr>
        <w:spacing w:before="120" w:after="0" w:line="276" w:lineRule="auto"/>
      </w:pPr>
      <w:r>
        <w:rPr>
          <w:b/>
        </w:rPr>
        <w:t>Contrats de ME avec des sociétés étrangères.</w:t>
      </w:r>
    </w:p>
    <w:p w14:paraId="4E47B913" w14:textId="77777777" w:rsidR="002C434A" w:rsidRDefault="00640E92">
      <w:pPr>
        <w:jc w:val="both"/>
        <w:spacing w:before="120" w:after="0" w:line="276" w:lineRule="auto"/>
      </w:pPr>
      <w:r>
        <w:t>L'enquête considère ME comme un maillon intermédiaire entre MS et les sociétés étrangères au profit desquelles étaient établis des paiements d'agence, de marketing ou de commission.</w:t>
      </w:r>
    </w:p>
    <w:p w14:paraId="3093ED5D" w14:textId="7C00E24C" w:rsidR="002C434A" w:rsidRDefault="00640E92">
      <w:pPr>
        <w:jc w:val="both"/>
        <w:spacing w:before="120" w:after="0" w:line="276" w:lineRule="auto"/>
      </w:pPr>
      <w:r>
        <w:t>À l'appui de cela, l'enquête se réfère au Procès-verbal de l'ONAF sur les contrats avec les agents commerciaux. Dans lequel sont analysés les contrats et factures entre ME et des sociétés offshore, notamment Geoford LLP, Enfields Trade &amp; Capital Corp, Fraser Corporation, Business House Helena AG et etc.</w:t>
      </w:r>
      <w:r w:rsidR="00553238">
        <w:rPr>
          <w:rStyle w:val="affc"/>
        </w:rPr>
        <w:footnoteReference w:id="3"/>
      </w:r>
    </w:p>
    <w:p w14:paraId="3605CBFF" w14:textId="468FF037" w:rsidR="002C434A" w:rsidRDefault="00640E92">
      <w:pPr>
        <w:jc w:val="both"/>
        <w:spacing w:before="120" w:after="0" w:line="276" w:lineRule="auto"/>
      </w:pPr>
      <w:r>
        <w:lastRenderedPageBreak/>
        <w:t>L'enquête utilise également les factures de Geoford LLP et Enfields Trade &amp; Capital Corp à l'adresse de ME pour des services de marketing, en soulignant leur caractère stéréotypé, le caractère général de la description des services et l'absence de détail du travail accompli.</w:t>
      </w:r>
      <w:r w:rsidR="00553238">
        <w:rPr>
          <w:rStyle w:val="affc"/>
        </w:rPr>
        <w:footnoteReference w:id="4"/>
      </w:r>
    </w:p>
    <w:p w14:paraId="176FCCDB" w14:textId="57A72653" w:rsidR="002C434A" w:rsidRDefault="00640E92">
      <w:pPr>
        <w:jc w:val="both"/>
        <w:spacing w:before="120" w:after="0" w:line="276" w:lineRule="auto"/>
      </w:pPr>
      <w:r>
        <w:t>Le droit de ME de verser des commissions à des intermédiaires est justifié par l'enquête à travers le Procès-verbal de l'ONAF sur l'autorisation de MS de verser des commissions à des sociétés offshore</w:t>
      </w:r>
      <w:r w:rsidR="00553238">
        <w:rPr>
          <w:rStyle w:val="affc"/>
        </w:rPr>
        <w:footnoteReference w:id="5"/>
      </w:r>
      <w:r>
        <w:t>, la lettre de MS sur le droit de ME de verser des commissions à des intermédiaires</w:t>
      </w:r>
      <w:r w:rsidR="00553238">
        <w:rPr>
          <w:rStyle w:val="affc"/>
        </w:rPr>
        <w:footnoteReference w:id="6"/>
      </w:r>
      <w:r>
        <w:t xml:space="preserve"> et la correspondance avec Julius Baer concernant les accords de commission de ME</w:t>
      </w:r>
      <w:r w:rsidR="00553238">
        <w:rPr>
          <w:rStyle w:val="affc"/>
        </w:rPr>
        <w:footnoteReference w:id="7"/>
      </w:r>
      <w:r>
        <w:t xml:space="preserve"> .</w:t>
      </w:r>
    </w:p>
    <w:p w14:paraId="3712B185" w14:textId="77777777" w:rsidR="002C434A" w:rsidRDefault="00640E92">
      <w:pPr>
        <w:jc w:val="both"/>
        <w:spacing w:before="120" w:after="0" w:line="276" w:lineRule="auto"/>
      </w:pPr>
      <w:r>
        <w:t>Sur la base de ces éléments, l'enquête conclut que les documents de ME pouvaient être utilisés pour expliquer les paiements au profit de sociétés étrangères et leur justification devant les banques., des factures et des paiements au profit de sociétés que l'enquête lie à AVB.</w:t>
      </w:r>
    </w:p>
    <w:p w14:paraId="63310B7D" w14:textId="77777777" w:rsidR="002C434A" w:rsidRDefault="00640E92">
      <w:pPr>
        <w:spacing w:before="120" w:after="0" w:line="276" w:lineRule="auto"/>
      </w:pPr>
      <w:r>
        <w:rPr>
          <w:b/>
        </w:rPr>
        <w:t>Contrôle d'AVB sur les deux parties aux opérations</w:t>
      </w:r>
    </w:p>
    <w:p w14:paraId="6B92A1E2" w14:textId="77777777" w:rsidR="002C434A" w:rsidRDefault="00640E92">
      <w:pPr>
        <w:jc w:val="both"/>
        <w:spacing w:before="120" w:after="0" w:line="276" w:lineRule="auto"/>
      </w:pPr>
      <w:r>
        <w:t>Selon la version de l'enquête, AVB pouvait contrôler les deux parties d'une partie des opérations : d'un côté - ME, de l'autre - les sociétés offshore qui recevaient des paiements de ME ou de MS.</w:t>
      </w:r>
    </w:p>
    <w:p w14:paraId="73595562" w14:textId="7510A662" w:rsidR="002C434A" w:rsidRDefault="00640E92">
      <w:pPr>
        <w:jc w:val="both"/>
        <w:spacing w:before="120" w:after="0" w:line="276" w:lineRule="auto"/>
      </w:pPr>
      <w:r>
        <w:t xml:space="preserve">À l'appui du lien d'AVB avec ME, l'enquête se réfère à une lettre de ME dans laquelle AVB est indiqué comme directeur de ME. </w:t>
      </w:r>
      <w:r w:rsidR="00553238">
        <w:rPr>
          <w:rStyle w:val="affc"/>
        </w:rPr>
        <w:footnoteReference w:id="8"/>
      </w:r>
    </w:p>
    <w:p w14:paraId="452D7B39" w14:textId="77777777" w:rsidR="002C434A" w:rsidRDefault="00640E92">
      <w:pPr>
        <w:jc w:val="both"/>
        <w:spacing w:before="120" w:after="0" w:line="276" w:lineRule="auto"/>
      </w:pPr>
      <w:r>
        <w:t>Ce document est mis en regard avec les explications d'AVB, qui lors de son interrogatoire a nié la direction chez ME et a indiqué que le directeur était Loukianov.</w:t>
      </w:r>
    </w:p>
    <w:p w14:paraId="7CDD25D3" w14:textId="77777777" w:rsidR="002C434A" w:rsidRDefault="00640E92">
      <w:pPr>
        <w:jc w:val="both"/>
        <w:spacing w:before="120" w:after="0" w:line="276" w:lineRule="auto"/>
      </w:pPr>
      <w:r>
        <w:t>Le lien d'AVB avec les sociétés étrangères est justifié par l'enquête à travers :</w:t>
      </w:r>
    </w:p>
    <w:p w14:paraId="4B0113FA" w14:textId="13712139" w:rsidR="002C434A" w:rsidRDefault="00640E92">
      <w:pPr>
        <w:ind w:left="360"/>
        <w:jc w:val="both"/>
        <w:spacing w:before="120" w:after="0" w:line="276" w:lineRule="auto"/>
      </w:pPr>
      <w:r>
        <w:t xml:space="preserve">Procès-verbal de l'ONAF sur le KYC Julius Baer ID ; </w:t>
      </w:r>
      <w:r w:rsidR="00553238">
        <w:rPr>
          <w:rStyle w:val="affc"/>
        </w:rPr>
        <w:footnoteReference w:id="9"/>
      </w:r>
    </w:p>
    <w:p w14:paraId="03682F45" w14:textId="227DC5B0" w:rsidR="002C434A" w:rsidRDefault="00640E92">
      <w:pPr>
        <w:ind w:left="360"/>
        <w:jc w:val="both"/>
        <w:spacing w:before="120" w:after="0" w:line="276" w:lineRule="auto"/>
      </w:pPr>
      <w:r>
        <w:t xml:space="preserve">Julius Baer KYC Package concernant AVB et les sociétés liées ;, </w:t>
      </w:r>
      <w:r w:rsidR="00553238">
        <w:rPr>
          <w:rStyle w:val="affc"/>
        </w:rPr>
        <w:footnoteReference w:id="10"/>
      </w:r>
    </w:p>
    <w:p w14:paraId="4EEA2E8D" w14:textId="4E07069B" w:rsidR="002C434A" w:rsidRDefault="00640E92">
      <w:pPr>
        <w:ind w:left="360"/>
        <w:jc w:val="both"/>
        <w:spacing w:before="120" w:after="0" w:line="276" w:lineRule="auto"/>
      </w:pPr>
      <w:r>
        <w:t xml:space="preserve">documents d'entreprise BBP Baltic / Enfields Trade &amp; Capital Corp ; </w:t>
      </w:r>
      <w:r w:rsidR="00553238">
        <w:rPr>
          <w:rStyle w:val="affc"/>
        </w:rPr>
        <w:footnoteReference w:id="11"/>
      </w:r>
    </w:p>
    <w:p w14:paraId="0908B1D1" w14:textId="22C52CB1" w:rsidR="002C434A" w:rsidRDefault="00640E92">
      <w:pPr>
        <w:ind w:left="360"/>
        <w:jc w:val="both"/>
        <w:spacing w:before="120" w:after="0" w:line="276" w:lineRule="auto"/>
      </w:pPr>
      <w:r>
        <w:t>Procès-verbal de l'ONAF sur les documents de Geoford LLP et les comptes de la société.</w:t>
      </w:r>
      <w:r w:rsidR="00553238">
        <w:rPr>
          <w:rStyle w:val="affc"/>
        </w:rPr>
        <w:footnoteReference w:id="12"/>
      </w:r>
    </w:p>
    <w:p w14:paraId="2D9A4331" w14:textId="77777777" w:rsidR="002C434A" w:rsidRDefault="00640E92">
      <w:pPr>
        <w:ind w:left="360"/>
        <w:jc w:val="both"/>
        <w:spacing w:before="120" w:after="0" w:line="276" w:lineRule="auto"/>
      </w:pPr>
      <w:r>
        <w:t>documents sur les pouvoirs d'AVB à l'égard de Fraser Corporation.</w:t>
      </w:r>
    </w:p>
    <w:p w14:paraId="12108559" w14:textId="66E638FB" w:rsidR="002C434A" w:rsidRDefault="00640E92">
      <w:pPr>
        <w:jc w:val="both"/>
        <w:spacing w:before="120" w:after="0" w:line="276" w:lineRule="auto"/>
      </w:pPr>
      <w:r>
        <w:t>Séparément, l'enquête utilise l'interrogatoire d'AVB à Monaco sur ME, les contrats d'agence pour mettre en regard les explications d'AVB avec les documents relatifs aux sociétés, aux comptes, aux paiements et aux contrats d'agence.</w:t>
      </w:r>
      <w:r w:rsidR="00553238">
        <w:rPr>
          <w:rStyle w:val="affc"/>
        </w:rPr>
        <w:footnoteReference w:id="13"/>
      </w:r>
    </w:p>
    <w:p w14:paraId="1ED852F1" w14:textId="77777777" w:rsidR="002C434A" w:rsidRDefault="00640E92">
      <w:pPr>
        <w:jc w:val="both"/>
        <w:spacing w:before="120" w:after="0" w:line="276" w:lineRule="auto"/>
      </w:pPr>
      <w:r>
        <w:t>Sur la base de ces éléments, l'enquête formule la thèse selon laquelle une partie des contrats pouvait être conclue entre des structures de fait liées à une seule personne - AVB.</w:t>
      </w:r>
    </w:p>
    <w:p w14:paraId="6BF2B673" w14:textId="77777777" w:rsidR="002C434A" w:rsidRDefault="00640E92">
      <w:pPr>
        <w:jc w:val="both"/>
        <w:spacing w:before="120" w:after="0" w:line="276" w:lineRule="auto"/>
      </w:pPr>
      <w:r>
        <w:rPr>
          <w:b/>
        </w:rPr>
        <w:t>Signes de caractère formel et d'anomalie des documents commerciaux.</w:t>
      </w:r>
    </w:p>
    <w:p w14:paraId="594E3DE1" w14:textId="77777777" w:rsidR="002C434A" w:rsidRDefault="00640E92">
      <w:pPr>
        <w:jc w:val="both"/>
        <w:spacing w:before="120" w:after="0" w:line="276" w:lineRule="auto"/>
      </w:pPr>
      <w:r>
        <w:t>L'enquête indique que certains contrats et factures présentent des signes d'établissement formel et ne confirment pas la prestation réelle de services d'agence, de marketing ou commerciaux.</w:t>
      </w:r>
    </w:p>
    <w:p w14:paraId="29A8D45B" w14:textId="4A67A06D" w:rsidR="002C434A" w:rsidRDefault="00640E92">
      <w:pPr>
        <w:jc w:val="both"/>
        <w:spacing w:before="120" w:after="0" w:line="276" w:lineRule="auto"/>
      </w:pPr>
      <w:r>
        <w:lastRenderedPageBreak/>
        <w:t>À l'appui de cela, l'enquête se réfère au Procès-verbal de l'ONAF concernant l'examen anormal des documents commerciaux. Dans ledit procès-verbal, l'enquête analyse en particulier :</w:t>
      </w:r>
      <w:r w:rsidR="00553238">
        <w:rPr>
          <w:rStyle w:val="affc"/>
        </w:rPr>
        <w:footnoteReference w:id="14"/>
      </w:r>
    </w:p>
    <w:p w14:paraId="4CE764F3" w14:textId="6DDEE3E2" w:rsidR="002C434A" w:rsidRDefault="00640E92">
      <w:pPr>
        <w:ind w:left="360"/>
        <w:jc w:val="both"/>
        <w:spacing w:before="120" w:after="0" w:line="276" w:lineRule="auto"/>
      </w:pPr>
      <w:r>
        <w:t>Contrat n° ME/148/2013 entre ME et Enfields Trade &amp; Capital Corp pour des services de marketing ;</w:t>
      </w:r>
      <w:r w:rsidR="00553238">
        <w:rPr>
          <w:rStyle w:val="affc"/>
        </w:rPr>
        <w:footnoteReference w:id="15"/>
      </w:r>
    </w:p>
    <w:p w14:paraId="64189977" w14:textId="230DB48D" w:rsidR="002C434A" w:rsidRDefault="00640E92">
      <w:pPr>
        <w:ind w:left="360"/>
        <w:jc w:val="both"/>
        <w:spacing w:before="120" w:after="0" w:line="276" w:lineRule="auto"/>
      </w:pPr>
      <w:r>
        <w:t>Contrat n° ME/154/2014 entre ME et Geoford LLP pour des services de marketing ;</w:t>
      </w:r>
      <w:r w:rsidR="00553238">
        <w:rPr>
          <w:rStyle w:val="affc"/>
        </w:rPr>
        <w:footnoteReference w:id="16"/>
      </w:r>
    </w:p>
    <w:p w14:paraId="1EC4463F" w14:textId="7E7F157E" w:rsidR="002C434A" w:rsidRDefault="00640E92">
      <w:pPr>
        <w:ind w:left="360"/>
        <w:jc w:val="both"/>
        <w:spacing w:before="120" w:after="0" w:line="276" w:lineRule="auto"/>
      </w:pPr>
      <w:r>
        <w:t>Contrat n° RT/02/2014 entre Fraser Corporation et ME pour des services d'agence ;</w:t>
      </w:r>
      <w:r w:rsidR="00553238">
        <w:rPr>
          <w:rStyle w:val="affc"/>
        </w:rPr>
        <w:footnoteReference w:id="17"/>
      </w:r>
    </w:p>
    <w:p w14:paraId="6AC79475" w14:textId="43F99526" w:rsidR="002C434A" w:rsidRDefault="00640E92">
      <w:pPr>
        <w:ind w:left="360"/>
        <w:jc w:val="both"/>
        <w:spacing w:before="120" w:after="0" w:line="276" w:lineRule="auto"/>
      </w:pPr>
      <w:r>
        <w:t>Ensemble de contrats et factures concernant Fraser Corporation / Mondo Corporation LP au titre du contrat AC0308 ;</w:t>
      </w:r>
      <w:r w:rsidR="00553238">
        <w:rPr>
          <w:rStyle w:val="affc"/>
        </w:rPr>
        <w:footnoteReference w:id="18"/>
      </w:r>
    </w:p>
    <w:p w14:paraId="059747D7" w14:textId="18B9CD12" w:rsidR="002C434A" w:rsidRDefault="00640E92">
      <w:pPr>
        <w:ind w:left="360"/>
        <w:jc w:val="both"/>
        <w:spacing w:before="120" w:after="0" w:line="276" w:lineRule="auto"/>
      </w:pPr>
      <w:r>
        <w:t>Contrat n° ME/141/2014 entre Geoford LLP et Pitstone Trade LP relatif à la vente d'équipements ;</w:t>
      </w:r>
      <w:r w:rsidR="00553238">
        <w:rPr>
          <w:rStyle w:val="affc"/>
        </w:rPr>
        <w:footnoteReference w:id="19"/>
      </w:r>
    </w:p>
    <w:p w14:paraId="17ABB5FC" w14:textId="0389769D" w:rsidR="002C434A" w:rsidRDefault="00640E92">
      <w:pPr>
        <w:ind w:left="360"/>
        <w:jc w:val="both"/>
        <w:spacing w:before="120" w:after="0" w:line="276" w:lineRule="auto"/>
      </w:pPr>
      <w:r>
        <w:t>Factures de Geoford LLP et Enfields Trade &amp; Capital Corp à l'adresse de ME pour des services de marketing ;</w:t>
      </w:r>
      <w:r w:rsidR="00553238">
        <w:rPr>
          <w:rStyle w:val="affc"/>
        </w:rPr>
        <w:footnoteReference w:id="20"/>
      </w:r>
    </w:p>
    <w:p w14:paraId="317144D6" w14:textId="4D82E240" w:rsidR="002C434A" w:rsidRDefault="00640E92">
      <w:pPr>
        <w:ind w:left="360"/>
        <w:jc w:val="both"/>
        <w:spacing w:before="120" w:after="0" w:line="276" w:lineRule="auto"/>
      </w:pPr>
      <w:r>
        <w:t>Contrat n° ME/144/2013 entre ME et Business House Helena AG pour des services de marketing</w:t>
      </w:r>
      <w:r w:rsidR="00553238">
        <w:rPr>
          <w:rStyle w:val="affc"/>
        </w:rPr>
        <w:footnoteReference w:id="21"/>
      </w:r>
    </w:p>
    <w:p w14:paraId="616A99BC" w14:textId="77777777" w:rsidR="002C434A" w:rsidRDefault="00640E92">
      <w:pPr>
        <w:jc w:val="both"/>
        <w:spacing w:before="120" w:after="0" w:line="276" w:lineRule="auto"/>
      </w:pPr>
      <w:r>
        <w:t>L'enquête signale le caractère général de la description des services, l'absence de précision, la répétition de numéros de contrat avec un contenu différent, la modification des montants et des signataires, ainsi que des divergences entre les contrats, les factures et les paiements effectifs.</w:t>
      </w:r>
    </w:p>
    <w:p w14:paraId="5198B2E3" w14:textId="77777777" w:rsidR="002C434A" w:rsidRDefault="00640E92">
      <w:pPr>
        <w:jc w:val="both"/>
        <w:spacing w:before="120" w:after="0" w:line="276" w:lineRule="auto"/>
      </w:pPr>
      <w:r>
        <w:t>Sur la base de ces éléments, l'enquête conclut qu'une partie des documents pouvait être utilisée comme motif formel pour des opérations bancaires</w:t>
      </w:r>
    </w:p>
    <w:p w14:paraId="6A139663" w14:textId="77777777" w:rsidR="002C434A" w:rsidRDefault="00640E92">
      <w:pPr>
        <w:spacing w:before="120" w:after="0" w:line="276" w:lineRule="auto"/>
      </w:pPr>
      <w:r>
        <w:rPr>
          <w:b/>
        </w:rPr>
        <w:t>Geoford LLP comme exemple clé de non-conformités.</w:t>
      </w:r>
    </w:p>
    <w:p w14:paraId="0C7D51B3" w14:textId="77777777" w:rsidR="002C434A" w:rsidRDefault="00640E92">
      <w:pPr>
        <w:jc w:val="both"/>
        <w:spacing w:before="120" w:after="0" w:line="276" w:lineRule="auto"/>
      </w:pPr>
      <w:r>
        <w:t>Geoford LLP est mis en avant par l'enquête comme l'un des épisodes les plus risqués du volet d'agence.</w:t>
      </w:r>
    </w:p>
    <w:p w14:paraId="3EB3EB90" w14:textId="77777777" w:rsidR="002C434A" w:rsidRDefault="00640E92">
      <w:pPr>
        <w:jc w:val="both"/>
        <w:spacing w:before="120" w:after="0" w:line="276" w:lineRule="auto"/>
      </w:pPr>
      <w:r>
        <w:t>Les principaux documents de ce bloc sont :</w:t>
      </w:r>
    </w:p>
    <w:p w14:paraId="1760BB3F" w14:textId="4E740609" w:rsidR="002C434A" w:rsidRDefault="00640E92">
      <w:pPr>
        <w:ind w:left="360"/>
        <w:jc w:val="both"/>
        <w:spacing w:before="120" w:after="0" w:line="276" w:lineRule="auto"/>
      </w:pPr>
      <w:r>
        <w:t>Procès-verbal de l'ONAF sur le contrat n° ME/141/2014 entre Geoford LLP et Pitstone Trade LP ;</w:t>
      </w:r>
      <w:r w:rsidR="00553238">
        <w:rPr>
          <w:rStyle w:val="affc"/>
        </w:rPr>
        <w:footnoteReference w:id="22"/>
      </w:r>
    </w:p>
    <w:p w14:paraId="74FC21BF" w14:textId="635B705F" w:rsidR="002C434A" w:rsidRDefault="00640E92">
      <w:pPr>
        <w:ind w:left="360"/>
        <w:jc w:val="both"/>
        <w:spacing w:before="120" w:after="0" w:line="276" w:lineRule="auto"/>
      </w:pPr>
      <w:r>
        <w:t>ensemble de documents au titre du contrat n° ME/141/2014 entre Geoford LLP et Pitstone Trade LP ;</w:t>
      </w:r>
      <w:r w:rsidR="00553238">
        <w:rPr>
          <w:rStyle w:val="affc"/>
        </w:rPr>
        <w:footnoteReference w:id="23"/>
      </w:r>
    </w:p>
    <w:p w14:paraId="07A78FA1" w14:textId="681DBEC4" w:rsidR="002C434A" w:rsidRDefault="00640E92">
      <w:pPr>
        <w:ind w:left="360"/>
        <w:jc w:val="both"/>
        <w:spacing w:before="120" w:after="0" w:line="276" w:lineRule="auto"/>
      </w:pPr>
      <w:r>
        <w:t>Procès-verbal de l'ONAF sur les documents de Geoford LLP et les comptes de la société ;</w:t>
      </w:r>
      <w:r w:rsidR="00553238">
        <w:rPr>
          <w:rStyle w:val="affc"/>
        </w:rPr>
        <w:footnoteReference w:id="24"/>
      </w:r>
    </w:p>
    <w:p w14:paraId="423DD50D" w14:textId="41903C66" w:rsidR="002C434A" w:rsidRDefault="00640E92">
      <w:pPr>
        <w:ind w:left="360"/>
        <w:jc w:val="both"/>
        <w:spacing w:before="120" w:after="0" w:line="276" w:lineRule="auto"/>
      </w:pPr>
      <w:r>
        <w:t>confirmation de l'absence d'activité économique de Geoford LLP.</w:t>
      </w:r>
      <w:r w:rsidR="00553238">
        <w:rPr>
          <w:rStyle w:val="affc"/>
        </w:rPr>
        <w:footnoteReference w:id="25"/>
      </w:r>
    </w:p>
    <w:p w14:paraId="59232B16" w14:textId="77777777" w:rsidR="002C434A" w:rsidRDefault="00640E92">
      <w:pPr>
        <w:jc w:val="both"/>
        <w:spacing w:before="120" w:after="0" w:line="276" w:lineRule="auto"/>
      </w:pPr>
      <w:r>
        <w:t>Ces documents sont mis en regard avec l'existence effective d'un compte bancaire et les mouvements de fonds sur celui-ci.</w:t>
      </w:r>
    </w:p>
    <w:p w14:paraId="3538E341" w14:textId="77777777" w:rsidR="002C434A" w:rsidRDefault="00640E92">
      <w:pPr>
        <w:jc w:val="both"/>
        <w:spacing w:before="120" w:after="0" w:line="276" w:lineRule="auto"/>
      </w:pPr>
      <w:r>
        <w:t>Sur la base de ces éléments, l'enquête considère Geoford LLP comme un exemple d'établissement post factum possible de documents commerciaux pour expliquer des paiements déjà effectués.</w:t>
      </w:r>
    </w:p>
    <w:p w14:paraId="6272FC8B" w14:textId="77777777" w:rsidR="002C434A" w:rsidRDefault="00640E92">
      <w:pPr>
        <w:jc w:val="both"/>
        <w:spacing w:before="120" w:after="0" w:line="276" w:lineRule="auto"/>
      </w:pPr>
      <w:r>
        <w:rPr>
          <w:b/>
        </w:rPr>
        <w:lastRenderedPageBreak/>
        <w:t>Opérations commerciales de ME et opérations connexes entre sociétés étrangères.</w:t>
      </w:r>
    </w:p>
    <w:p w14:paraId="704F48B8" w14:textId="77777777" w:rsidR="002C434A" w:rsidRDefault="00640E92">
      <w:pPr>
        <w:jc w:val="both"/>
        <w:spacing w:before="120" w:after="0" w:line="276" w:lineRule="auto"/>
      </w:pPr>
      <w:r>
        <w:t>Séparément, l'enquête analyse les opérations commerciales entre sociétés étrangères qui ne constituent pas des contrats d'agence de MS ou de ME.</w:t>
      </w:r>
    </w:p>
    <w:p w14:paraId="2CA5AE16" w14:textId="4D35433C" w:rsidR="002C434A" w:rsidRDefault="00640E92">
      <w:pPr>
        <w:jc w:val="both"/>
        <w:spacing w:before="120" w:after="0" w:line="276" w:lineRule="auto"/>
      </w:pPr>
      <w:r>
        <w:t>En ce qui concerne ME, l'enquête se réfère au Procès-verbal de l'ONAF sur le contrat ME / Prust Holding relatif à la vente de moteurs TV3-117VM</w:t>
      </w:r>
      <w:r w:rsidR="00553238">
        <w:rPr>
          <w:rStyle w:val="affc"/>
        </w:rPr>
        <w:footnoteReference w:id="26"/>
      </w:r>
      <w:r>
        <w:t xml:space="preserve"> et au Procès-verbal de l'ONAF sur le contrat ME / Nile Petroleum Corporation relatif à la maintenance technique d'hélicoptères</w:t>
      </w:r>
      <w:r w:rsidR="00553238">
        <w:rPr>
          <w:rStyle w:val="affc"/>
        </w:rPr>
        <w:footnoteReference w:id="27"/>
      </w:r>
      <w:r>
        <w:t xml:space="preserve">. </w:t>
      </w:r>
    </w:p>
    <w:p w14:paraId="6B14438D" w14:textId="77777777" w:rsidR="002C434A" w:rsidRDefault="00640E92">
      <w:pPr>
        <w:jc w:val="both"/>
        <w:spacing w:before="120" w:after="0" w:line="276" w:lineRule="auto"/>
      </w:pPr>
      <w:r>
        <w:t>En ce qui concerne les opérations connexes entre sociétés étrangères, l'enquête se réfère à :</w:t>
      </w:r>
    </w:p>
    <w:p w14:paraId="037075F5" w14:textId="6E474C84" w:rsidR="002C434A" w:rsidRDefault="00640E92">
      <w:pPr>
        <w:ind w:left="360"/>
        <w:jc w:val="both"/>
        <w:spacing w:before="120" w:after="0" w:line="276" w:lineRule="auto"/>
      </w:pPr>
      <w:r>
        <w:t>Procès-verbal de l'ONAF sur le contrat Transnet International Inc. / Laterson Management Group Ltd ;</w:t>
      </w:r>
      <w:r w:rsidR="00553238">
        <w:rPr>
          <w:rStyle w:val="affc"/>
        </w:rPr>
        <w:footnoteReference w:id="28"/>
      </w:r>
    </w:p>
    <w:p w14:paraId="0C69E3B1" w14:textId="62F71062" w:rsidR="002C434A" w:rsidRDefault="00640E92">
      <w:pPr>
        <w:ind w:left="360"/>
        <w:jc w:val="both"/>
        <w:spacing w:before="120" w:after="0" w:line="276" w:lineRule="auto"/>
      </w:pPr>
      <w:r>
        <w:t xml:space="preserve">contrat n° NV/5-11/2015 entre Transnet International Inc. et Laterson Management Group Ltd, </w:t>
      </w:r>
      <w:r w:rsidR="00553238">
        <w:rPr>
          <w:rStyle w:val="affc"/>
        </w:rPr>
        <w:footnoteReference w:id="29"/>
      </w:r>
    </w:p>
    <w:p w14:paraId="5550ACCE" w14:textId="4B4CF98C" w:rsidR="002C434A" w:rsidRDefault="00640E92">
      <w:pPr>
        <w:ind w:left="360"/>
        <w:jc w:val="both"/>
        <w:spacing w:before="120" w:after="0" w:line="276" w:lineRule="auto"/>
      </w:pPr>
      <w:r>
        <w:t>Procès-verbal de l'ONAF sur la correspondance de Laterson et le contrat de Valantia Group ;</w:t>
      </w:r>
      <w:r w:rsidR="00553238">
        <w:rPr>
          <w:rStyle w:val="affc"/>
        </w:rPr>
        <w:footnoteReference w:id="30"/>
      </w:r>
    </w:p>
    <w:p w14:paraId="13023AD2" w14:textId="50DAAEF3" w:rsidR="002C434A" w:rsidRDefault="00640E92">
      <w:pPr>
        <w:ind w:left="360"/>
        <w:jc w:val="both"/>
        <w:spacing w:before="120" w:after="0" w:line="276" w:lineRule="auto"/>
      </w:pPr>
      <w:r>
        <w:t>contrat de vente n° 0110-VAL entre Laterson Management Group Ltd et Valantia Group Inc ;</w:t>
      </w:r>
      <w:r w:rsidR="00553238">
        <w:rPr>
          <w:rStyle w:val="affc"/>
        </w:rPr>
        <w:footnoteReference w:id="31"/>
      </w:r>
    </w:p>
    <w:p w14:paraId="579757EA" w14:textId="20EF5128" w:rsidR="002C434A" w:rsidRDefault="00640E92">
      <w:pPr>
        <w:ind w:left="360"/>
        <w:jc w:val="both"/>
        <w:spacing w:before="120" w:after="0" w:line="276" w:lineRule="auto"/>
      </w:pPr>
      <w:r>
        <w:t xml:space="preserve">documents sur les opérations Laterson / Standholm </w:t>
      </w:r>
      <w:r w:rsidR="00553238">
        <w:rPr>
          <w:rStyle w:val="affc"/>
        </w:rPr>
        <w:footnoteReference w:id="32"/>
      </w:r>
    </w:p>
    <w:p w14:paraId="64148CBD" w14:textId="77777777" w:rsidR="002C434A" w:rsidRDefault="00640E92">
      <w:pPr>
        <w:jc w:val="both"/>
        <w:spacing w:before="120" w:after="0" w:line="276" w:lineRule="auto"/>
      </w:pPr>
      <w:r>
        <w:t>L'enquête utilise ces éléments comme un élément supplémentaire de la version relative à l'établissement commercial formel du mouvement des fonds à travers des sociétés étrangères.</w:t>
      </w:r>
    </w:p>
    <w:p w14:paraId="03681B9C" w14:textId="77777777" w:rsidR="002C434A" w:rsidRDefault="002C434A">
      <w:pPr>
        <w:jc w:val="both"/>
        <w:spacing w:before="120" w:after="0" w:line="276" w:lineRule="auto"/>
      </w:pPr>
    </w:p>
    <w:p w14:paraId="4BF7E731" w14:textId="77777777" w:rsidR="002C434A" w:rsidRDefault="00640E92">
      <w:pPr>
        <w:spacing w:before="120" w:after="0" w:line="276" w:lineRule="auto"/>
      </w:pPr>
      <w:r>
        <w:rPr>
          <w:b/>
        </w:rPr>
        <w:t>Position de la défense</w:t>
      </w:r>
    </w:p>
    <w:p w14:paraId="006D337F" w14:textId="77777777" w:rsidR="002C434A" w:rsidRDefault="00640E92">
      <w:pPr>
        <w:jc w:val="both"/>
        <w:spacing w:before="120" w:after="0" w:line="276" w:lineRule="auto"/>
      </w:pPr>
      <w:r>
        <w:rPr>
          <w:b/>
        </w:rPr>
        <w:t>Le modèle d'agence est une pratique courante et économiquement justifiée pour le secteur de l'aviation et de la construction mécanique.</w:t>
      </w:r>
    </w:p>
    <w:p w14:paraId="785D49CD" w14:textId="77777777" w:rsidR="002C434A" w:rsidRDefault="00640E92">
      <w:pPr>
        <w:jc w:val="both"/>
        <w:spacing w:before="120" w:after="0" w:line="276" w:lineRule="auto"/>
      </w:pPr>
      <w:r>
        <w:t>Le modèle d'agence est un instrument standard de l'activité commerciale internationale dans le secteur de l'aviation et de la construction mécanique.</w:t>
      </w:r>
    </w:p>
    <w:p w14:paraId="2DE5464B" w14:textId="77777777" w:rsidR="002C434A" w:rsidRDefault="00640E92">
      <w:pPr>
        <w:jc w:val="both"/>
        <w:spacing w:before="120" w:after="0" w:line="276" w:lineRule="auto"/>
      </w:pPr>
      <w:r>
        <w:t>Il est utilisé pour pénétrer les marchés régionaux, rechercher des acheteurs, communiquer avec les clients étrangers, organiser des négociations, accompagner les livraisons et réduire les coûts d'entretien des représentations à l'étranger.</w:t>
      </w:r>
    </w:p>
    <w:p w14:paraId="4FC6842F" w14:textId="77777777" w:rsidR="002C434A" w:rsidRDefault="00640E92">
      <w:pPr>
        <w:jc w:val="both"/>
        <w:spacing w:before="120" w:after="0" w:line="276" w:lineRule="auto"/>
      </w:pPr>
      <w:r>
        <w:t>Un tel modèle correspond à la spécificité du secteur de l'aviation, dans la mesure où l'objet des transactions porte sur des moteurs d'aviation, des composants, des équipements, des services de réparation et de maintenance technique. La promotion de tels produits exige des contacts locaux, de la confiance sur le marché, une communication technique et la connaissance de la spécificité régionale.</w:t>
      </w:r>
    </w:p>
    <w:p w14:paraId="0DC9F038" w14:textId="77777777" w:rsidR="002C434A" w:rsidRDefault="00640E92">
      <w:pPr>
        <w:jc w:val="both"/>
        <w:spacing w:before="120" w:after="0" w:line="276" w:lineRule="auto"/>
      </w:pPr>
      <w:r>
        <w:t>Le caractère usuel du modèle d'agence est confirmé par la pratique internationale de Boeing, Embraer Executive Jets, RUAG Aerospace Services GmbH, Bombardier Inc., Piaggio Aero, Airbus, Airbus Helicopters, Diamond Aircraft, Bell, Nextant Aerospace, MTU Aero Engines, qui utilisent des modèles d'agence pour la promotion de produits sur les marchés étrangers (Annexe 1).</w:t>
      </w:r>
    </w:p>
    <w:p w14:paraId="17115276" w14:textId="77777777" w:rsidR="002C434A" w:rsidRDefault="00640E92">
      <w:pPr>
        <w:jc w:val="both"/>
        <w:spacing w:before="120" w:after="0" w:line="276" w:lineRule="auto"/>
      </w:pPr>
      <w:r>
        <w:lastRenderedPageBreak/>
        <w:t>Par conséquent, le fait même de l'existence de contrats d'agence, de marketing ou de commission pour le secteur de l'aviation et de la construction mécanique constitue un modèle économique habituel.</w:t>
      </w:r>
    </w:p>
    <w:p w14:paraId="0E95429A" w14:textId="77777777" w:rsidR="002C434A" w:rsidRDefault="00640E92">
      <w:pPr>
        <w:jc w:val="both"/>
        <w:spacing w:before="120" w:after="0" w:line="276" w:lineRule="auto"/>
      </w:pPr>
      <w:r>
        <w:rPr>
          <w:b/>
        </w:rPr>
        <w:t>Pour MS, le modèle d'agence était une pratique stable et systémique.</w:t>
      </w:r>
    </w:p>
    <w:p w14:paraId="0F28B73C" w14:textId="77777777" w:rsidR="002C434A" w:rsidRDefault="00640E92">
      <w:pPr>
        <w:jc w:val="both"/>
        <w:spacing w:before="120" w:after="0" w:line="276" w:lineRule="auto"/>
      </w:pPr>
      <w:r>
        <w:t>MS utilisait sur une base permanente le modèle d'agence pour la promotion de ses produits sur les marchés étrangers, la recherche d'acheteurs, l'organisation de négociations, l'accompagnement de contrats et la communication avec les clients.</w:t>
      </w:r>
    </w:p>
    <w:p w14:paraId="280A2F7F" w14:textId="77777777" w:rsidR="002C434A" w:rsidRDefault="00640E92">
      <w:pPr>
        <w:jc w:val="both"/>
        <w:spacing w:before="120" w:after="0" w:line="276" w:lineRule="auto"/>
      </w:pPr>
      <w:r>
        <w:t>Il est important que la position même de l'enquête confirme non pas le caractère exceptionnel, mais le caractère massif et systémique du modèle d'agence de MS.</w:t>
      </w:r>
    </w:p>
    <w:p w14:paraId="29CCE58B" w14:textId="77777777" w:rsidR="002C434A" w:rsidRDefault="00640E92">
      <w:pPr>
        <w:jc w:val="both"/>
        <w:spacing w:before="120" w:after="0" w:line="276" w:lineRule="auto"/>
      </w:pPr>
      <w:r>
        <w:t>De même, le caractère systémique d'un tel modèle est confirmé par la jurisprudence relative aux litiges de MS avec les autorités fiscales. Dans de telles affaires, les tribunaux examinaient les contrats d'agence, les actes de réception des travaux exécutés, les rapports, les documents de paiement, après quoi ils confirmaient la réalité des relations juridiques d'agence correspondantes.</w:t>
      </w:r>
    </w:p>
    <w:p w14:paraId="348EC722" w14:textId="77777777" w:rsidR="002C434A" w:rsidRDefault="00640E92">
      <w:pPr>
        <w:jc w:val="both"/>
        <w:spacing w:before="120" w:after="0" w:line="276" w:lineRule="auto"/>
      </w:pPr>
      <w:r>
        <w:t>Selon l'analyse de la jurisprudence, MS utilisait activement des contrats d'agence au cours de la période 2002–2018 ; ont été identifiées 10 décisions de justice confirmant la réalité des contrats d'agence de MS et 27 contrats d'agence conclus pour favoriser l'écoulement des produits de l'entreprise (Annexe 2).</w:t>
      </w:r>
    </w:p>
    <w:p w14:paraId="647A41AF" w14:textId="77777777" w:rsidR="002C434A" w:rsidRDefault="00640E92">
      <w:pPr>
        <w:jc w:val="both"/>
        <w:spacing w:before="120" w:after="0" w:line="276" w:lineRule="auto"/>
      </w:pPr>
      <w:r>
        <w:t>Le caractère systémique du modèle d'agence de MS est également confirmé par les pièces de la procédure française :</w:t>
      </w:r>
    </w:p>
    <w:p w14:paraId="4136CAB7" w14:textId="1727BFE7" w:rsidR="002C434A" w:rsidRDefault="00640E92">
      <w:pPr>
        <w:ind w:left="360"/>
        <w:jc w:val="both"/>
        <w:spacing w:before="120" w:after="0" w:line="276" w:lineRule="auto"/>
      </w:pPr>
      <w:r>
        <w:t>l'annexe sous forme de tableau avec la liste des contrats d'agence, des factures et des paiements entre MS et les agents ;</w:t>
      </w:r>
      <w:r w:rsidR="00553238">
        <w:rPr>
          <w:rStyle w:val="affc"/>
        </w:rPr>
        <w:footnoteReference w:id="33"/>
      </w:r>
    </w:p>
    <w:p w14:paraId="6E0B96C9" w14:textId="6BFB5640" w:rsidR="002C434A" w:rsidRDefault="00640E92">
      <w:pPr>
        <w:ind w:left="360"/>
        <w:jc w:val="both"/>
        <w:spacing w:before="120" w:after="0" w:line="276" w:lineRule="auto"/>
      </w:pPr>
      <w:r>
        <w:t>le Procès-verbal de l'ONAF sur les contrats d'agence de MS ;</w:t>
      </w:r>
      <w:r w:rsidR="00553238">
        <w:rPr>
          <w:rStyle w:val="affc"/>
        </w:rPr>
        <w:footnoteReference w:id="34"/>
      </w:r>
    </w:p>
    <w:p w14:paraId="4DA481B9" w14:textId="1241668B" w:rsidR="002C434A" w:rsidRDefault="00640E92">
      <w:pPr>
        <w:ind w:left="360"/>
        <w:jc w:val="both"/>
        <w:spacing w:before="120" w:after="0" w:line="276" w:lineRule="auto"/>
      </w:pPr>
      <w:r>
        <w:t>le Procès-verbal de l'ONAF sur la réception d'informations de la part des enquêteurs ukrainiens concernant les contrats d'agence de MS.</w:t>
      </w:r>
      <w:r w:rsidR="00553238">
        <w:rPr>
          <w:rStyle w:val="affc"/>
        </w:rPr>
        <w:footnoteReference w:id="35"/>
      </w:r>
    </w:p>
    <w:p w14:paraId="3B1174D8" w14:textId="77777777" w:rsidR="002C434A" w:rsidRDefault="00640E92">
      <w:pPr>
        <w:jc w:val="both"/>
        <w:spacing w:before="120" w:after="0" w:line="276" w:lineRule="auto"/>
      </w:pPr>
      <w:r>
        <w:rPr>
          <w:b/>
        </w:rPr>
        <w:t>Les contrats d'agence étaient une partie économiquement justifiée de l'activité commerciale de MS et de ME.</w:t>
      </w:r>
    </w:p>
    <w:p w14:paraId="27BC45C2" w14:textId="77777777" w:rsidR="002C434A" w:rsidRDefault="00640E92">
      <w:pPr>
        <w:jc w:val="both"/>
        <w:spacing w:before="120" w:after="0" w:line="276" w:lineRule="auto"/>
      </w:pPr>
      <w:r>
        <w:t>Le sens économique du modèle d'agence résidait dans le fait que MS et ME pouvaient opérer sur les marchés étrangers sans entretenir de représentations permanentes, de personnel local ni d'infrastructure distincte dans chaque juridiction.</w:t>
      </w:r>
    </w:p>
    <w:p w14:paraId="7CCCDB4B" w14:textId="77777777" w:rsidR="002C434A" w:rsidRDefault="00640E92">
      <w:pPr>
        <w:jc w:val="both"/>
        <w:spacing w:before="120" w:after="0" w:line="276" w:lineRule="auto"/>
      </w:pPr>
      <w:r>
        <w:t>ME exerçait également une activité commerciale indépendante. Cela est confirmé par :</w:t>
      </w:r>
    </w:p>
    <w:p w14:paraId="5A05D8CF" w14:textId="3E49D1DF" w:rsidR="002C434A" w:rsidRDefault="00640E92">
      <w:pPr>
        <w:ind w:left="360"/>
        <w:jc w:val="both"/>
        <w:spacing w:before="120" w:after="0" w:line="276" w:lineRule="auto"/>
      </w:pPr>
      <w:r>
        <w:t>le contrat ME / Prust Holding relatif à la vente de moteurs TV3-117VM ;</w:t>
      </w:r>
      <w:r w:rsidR="00553238">
        <w:rPr>
          <w:rStyle w:val="affc"/>
        </w:rPr>
        <w:footnoteReference w:id="36"/>
      </w:r>
    </w:p>
    <w:p w14:paraId="2D5B741D" w14:textId="3BFC92C9" w:rsidR="002C434A" w:rsidRDefault="00640E92">
      <w:pPr>
        <w:ind w:left="360"/>
        <w:jc w:val="both"/>
        <w:spacing w:before="120" w:after="0" w:line="276" w:lineRule="auto"/>
      </w:pPr>
      <w:r>
        <w:t>le contrat ME / Nile Petroleum Corporation n° ME/155/2014 relatif à la maintenance technique d'hélicoptères Mi-8, la facture et les messages SWIFT.</w:t>
      </w:r>
      <w:r w:rsidR="00553238">
        <w:rPr>
          <w:rStyle w:val="affc"/>
        </w:rPr>
        <w:footnoteReference w:id="37"/>
      </w:r>
    </w:p>
    <w:p w14:paraId="28823A21" w14:textId="6C93699C" w:rsidR="002C434A" w:rsidRDefault="00640E92">
      <w:pPr>
        <w:ind w:left="360"/>
        <w:jc w:val="both"/>
        <w:spacing w:before="120" w:after="0" w:line="276" w:lineRule="auto"/>
      </w:pPr>
      <w:r>
        <w:t>le contrat n° ME/151/2014 entre ME et Vose Technical Systems Inc. relatif à la vente d'un moteur TV3-117VM série 02 d'une valeur de 902 040 USD ;</w:t>
      </w:r>
      <w:r w:rsidR="00553238">
        <w:rPr>
          <w:rStyle w:val="affc"/>
        </w:rPr>
        <w:footnoteReference w:id="38"/>
      </w:r>
    </w:p>
    <w:p w14:paraId="26FCC34E" w14:textId="1D4DDF2C" w:rsidR="002C434A" w:rsidRDefault="00640E92">
      <w:pPr>
        <w:ind w:left="360"/>
        <w:jc w:val="both"/>
        <w:spacing w:before="120" w:after="0" w:line="276" w:lineRule="auto"/>
      </w:pPr>
      <w:r>
        <w:t>le contrat n° 250/08 entre ME et la CJSC « Zaretchie » relatif à la livraison de moteurs d'aviation TV3-117VM série 02 et de groupes auxiliaires de puissance AI-9V ;</w:t>
      </w:r>
      <w:r w:rsidR="00553238">
        <w:rPr>
          <w:rStyle w:val="affc"/>
        </w:rPr>
        <w:footnoteReference w:id="39"/>
      </w:r>
    </w:p>
    <w:p w14:paraId="49DD4D78" w14:textId="77777777" w:rsidR="002C434A" w:rsidRDefault="00640E92">
      <w:pPr>
        <w:ind w:left="360"/>
        <w:jc w:val="both"/>
        <w:spacing w:before="120" w:after="0" w:line="276" w:lineRule="auto"/>
      </w:pPr>
      <w:r>
        <w:t>le contrat n° OP/180415110298 entre ME et la SARL « OPK Oboronprom ».</w:t>
      </w:r>
    </w:p>
    <w:p w14:paraId="49F1CF08" w14:textId="173A98D6" w:rsidR="002C434A" w:rsidRDefault="00640E92">
      <w:pPr>
        <w:jc w:val="both"/>
        <w:spacing w:before="120" w:after="0" w:line="276" w:lineRule="auto"/>
      </w:pPr>
      <w:r>
        <w:lastRenderedPageBreak/>
        <w:t>Le contrat prévoyait la livraison de quatre moteurs TV3-117VM série 02 et de douze groupes auxiliaires de puissance AI-9V. Le coût total de la livraison s'élevait à 5 100 000 USD. Le contrat a été signé et revêtu des sceaux des deux parties. Au nom de ME, il a été signé par Alexandre Loukianov.</w:t>
      </w:r>
      <w:r w:rsidR="00553238">
        <w:rPr>
          <w:rStyle w:val="affc"/>
        </w:rPr>
        <w:footnoteReference w:id="40"/>
      </w:r>
    </w:p>
    <w:p w14:paraId="5CA048F6" w14:textId="77777777" w:rsidR="002C434A" w:rsidRDefault="00640E92">
      <w:pPr>
        <w:jc w:val="both"/>
        <w:spacing w:before="120" w:after="0" w:line="276" w:lineRule="auto"/>
      </w:pPr>
      <w:r>
        <w:t>L'activité indépendante de ME est également confirmée par le rapport d'Alexandre Loukianov en date du 7 avril 2015. Il y est indiqué que, depuis 2006, ME représentait MS au Moyen-Orient, en Afrique du Nord et de l'Est ainsi qu'en Asie centrale.</w:t>
      </w:r>
    </w:p>
    <w:p w14:paraId="0C1BE428" w14:textId="73E2CA7F" w:rsidR="002C434A" w:rsidRDefault="00640E92">
      <w:pPr>
        <w:jc w:val="both"/>
        <w:spacing w:before="120" w:after="0" w:line="276" w:lineRule="auto"/>
      </w:pPr>
      <w:r>
        <w:t>Le rapport énumère des contrats à long terme avec Maximus Airlines, le ministère de la Défense de l'Ouganda, le ministère de la Défense du Soudan et le ministère de la Défense du Soudan du Sud. Il fait également mention du travail avec des clients des EAU, d'Irak, du Rwanda, du Yémen et d'Afghanistan.</w:t>
      </w:r>
      <w:r w:rsidR="00553238">
        <w:rPr>
          <w:rStyle w:val="affc"/>
        </w:rPr>
        <w:footnoteReference w:id="41"/>
      </w:r>
    </w:p>
    <w:p w14:paraId="250C7D64" w14:textId="77777777" w:rsidR="002C434A" w:rsidRDefault="00640E92">
      <w:pPr>
        <w:jc w:val="both"/>
        <w:spacing w:before="120" w:after="0" w:line="276" w:lineRule="auto"/>
      </w:pPr>
      <w:r>
        <w:t>Cela confirme l'existence de la documentation d'entreprise, des rapports d'audit et du flux documentaire opérationnel de ME.</w:t>
      </w:r>
    </w:p>
    <w:p w14:paraId="6B333B45" w14:textId="292AAC85" w:rsidR="002C434A" w:rsidRDefault="00640E92">
      <w:pPr>
        <w:jc w:val="both"/>
        <w:spacing w:before="120" w:after="0" w:line="276" w:lineRule="auto"/>
      </w:pPr>
      <w:r>
        <w:t>La réalité de ME en tant que société en activité est confirmée en outre par la correspondance d'Alexandre Loukianov en date du 7 septembre 2016. Il y fait part de la préparation des documents constitutifs en vue de leur certification et de la possibilité de fournir l'original du rapport d'audit.</w:t>
      </w:r>
      <w:r w:rsidR="00553238">
        <w:rPr>
          <w:rStyle w:val="affc"/>
        </w:rPr>
        <w:footnoteReference w:id="42"/>
      </w:r>
    </w:p>
    <w:p w14:paraId="2775AD05" w14:textId="77777777" w:rsidR="002C434A" w:rsidRDefault="00640E92">
      <w:pPr>
        <w:jc w:val="both"/>
        <w:spacing w:before="120" w:after="0" w:line="276" w:lineRule="auto"/>
      </w:pPr>
      <w:r>
        <w:t>Par conséquent, ME disposait de sa propre infrastructure, de son personnel, de ses documents d'entreprise et de contrats commerciaux. La société effectuait la livraison et la maintenance de matériel d'aviation. Les contrats d'agence faisaient partie de cette activité et ne constituaient pas un moyen de sortie de fonds.</w:t>
      </w:r>
    </w:p>
    <w:p w14:paraId="687B6278" w14:textId="77777777" w:rsidR="002C434A" w:rsidRDefault="00640E92">
      <w:pPr>
        <w:jc w:val="both"/>
        <w:spacing w:before="120" w:after="0" w:line="276" w:lineRule="auto"/>
      </w:pPr>
      <w:r>
        <w:rPr>
          <w:b/>
        </w:rPr>
        <w:t>Le travail d'AVB chez ME ne signifiait pas un contrôle sur les deux parties aux contrats.</w:t>
      </w:r>
    </w:p>
    <w:p w14:paraId="607D84A3" w14:textId="77777777" w:rsidR="002C434A" w:rsidRDefault="00640E92">
      <w:pPr>
        <w:jc w:val="both"/>
        <w:spacing w:before="120" w:after="0" w:line="276" w:lineRule="auto"/>
      </w:pPr>
      <w:r>
        <w:t xml:space="preserve">L'enquête assimile de manière infondée le travail d'AVB en tant que manager/conseiller de ME aux pouvoirs d'agir au nom de la société. </w:t>
      </w:r>
    </w:p>
    <w:p w14:paraId="4A564266" w14:textId="77777777" w:rsidR="002C434A" w:rsidRDefault="00640E92">
      <w:pPr>
        <w:jc w:val="both"/>
        <w:spacing w:before="120" w:after="0" w:line="276" w:lineRule="auto"/>
      </w:pPr>
      <w:r>
        <w:t>Lors de son interrogatoire à Monaco, AVB a confirmé qu'il travaillait chez ME comme manager ou conseiller. Il a rattaché à ses fonctions la conduite de négociations et l'accueil des invités. AVB a nié avoir été le directeur général de ME. Il a indiqué que le directeur était Alexandre Loukianov.</w:t>
      </w:r>
    </w:p>
    <w:p w14:paraId="6A3E0D15" w14:textId="77777777" w:rsidR="002C434A" w:rsidRDefault="00640E92">
      <w:pPr>
        <w:jc w:val="both"/>
        <w:spacing w:before="120" w:after="0" w:line="276" w:lineRule="auto"/>
      </w:pPr>
      <w:r>
        <w:t>Les fonctions mentionnées par AVB ne prévoyaient pas de pouvoirs pour choisir des cocontractants, conclure des contrats ou autoriser des paiements au nom de ME. Le dossier ne contient pas de contrat de travail, d'arrêté de nomination ou de fiche de poste qui confirmeraient l'existence de tels pouvoirs chez AVB.</w:t>
      </w:r>
    </w:p>
    <w:p w14:paraId="6988CA26" w14:textId="77777777" w:rsidR="002C434A" w:rsidRDefault="00640E92">
      <w:pPr>
        <w:jc w:val="both"/>
        <w:spacing w:before="120" w:after="0" w:line="276" w:lineRule="auto"/>
      </w:pPr>
      <w:r>
        <w:t>Au contraire, la correspondance relative au contrat RT/02/2014 confirme que les contrats du côté de ME étaient négociés et établis par la direction et les salariés de la société.</w:t>
      </w:r>
    </w:p>
    <w:p w14:paraId="3FC006BF" w14:textId="050BB976" w:rsidR="002C434A" w:rsidRDefault="00640E92">
      <w:pPr>
        <w:jc w:val="both"/>
        <w:spacing w:before="120" w:after="0" w:line="276" w:lineRule="auto"/>
      </w:pPr>
      <w:r>
        <w:t>Alexandre Loukianov a adressé à AVB le projet de contrat et a informé que l'exemplaire signé du côté de ME serait transmis à l'équipe d'AVB. Après signature, le contrat a été adressé à AVB par la salariée de ME Alina Zinourova.</w:t>
      </w:r>
      <w:r w:rsidR="00553238">
        <w:rPr>
          <w:rStyle w:val="affc"/>
        </w:rPr>
        <w:footnoteReference w:id="43"/>
      </w:r>
    </w:p>
    <w:p w14:paraId="44CF994A" w14:textId="77777777" w:rsidR="002C434A" w:rsidRDefault="00640E92">
      <w:pPr>
        <w:jc w:val="both"/>
        <w:spacing w:before="120" w:after="0" w:line="276" w:lineRule="auto"/>
      </w:pPr>
      <w:r>
        <w:t>La réception par AVB de projets et d'exemplaires signés ne confirme pas de pouvoirs pour conclure des contrats au nom de ME. Elle confirme la participation d'AVB à la communication après que la volonté de ME a été formée et formalisée par les personnes habilitées de la société.</w:t>
      </w:r>
    </w:p>
    <w:p w14:paraId="6B3885CB" w14:textId="77777777" w:rsidR="002C434A" w:rsidRDefault="00640E92">
      <w:pPr>
        <w:jc w:val="both"/>
        <w:spacing w:before="120" w:after="0" w:line="276" w:lineRule="auto"/>
      </w:pPr>
      <w:r>
        <w:lastRenderedPageBreak/>
        <w:t>La délimitation des pouvoirs est également confirmée par les contrats commerciaux de ME. Les contrats avec Vose Technical Systems Inc. et ZAO « Zaretchie » ont été signés au nom de ME par Alexandre Loukianov sur la base d'une procuration. C'est également lui qui a signé le contrat avec OOO « OPK Oboronprom ». AVB n'était ni partie ni signataire de ces contrats.</w:t>
      </w:r>
    </w:p>
    <w:p w14:paraId="7271BBBF" w14:textId="21F6EC22" w:rsidR="002C434A" w:rsidRDefault="00640E92">
      <w:pPr>
        <w:jc w:val="both"/>
        <w:spacing w:before="120" w:after="0" w:line="276" w:lineRule="auto"/>
      </w:pPr>
      <w:r>
        <w:t>Le rapport d'Alexandre Loukianov en date du 7 avril 2015 confirme également la répartition des fonctions de direction.</w:t>
      </w:r>
      <w:r w:rsidR="00553238">
        <w:rPr>
          <w:rStyle w:val="affc"/>
        </w:rPr>
        <w:footnoteReference w:id="44"/>
      </w:r>
    </w:p>
    <w:p w14:paraId="103C8A19" w14:textId="77777777" w:rsidR="002C434A" w:rsidRDefault="00640E92">
      <w:pPr>
        <w:jc w:val="both"/>
        <w:spacing w:before="120" w:after="0" w:line="276" w:lineRule="auto"/>
      </w:pPr>
      <w:r>
        <w:t>Le directeur de ME était Alexandre Loukianov, ce qui est également confirmé par la licence de Motor Sich Middle East (FZE) n° 06917 du 14 mars 2018 et la communication officielle de l'Ambassade d'Ukraine en République du Kenya du 9 septembre 2014 (Annexes 6-7).</w:t>
      </w:r>
    </w:p>
    <w:p w14:paraId="7D8A905C" w14:textId="77777777" w:rsidR="002C434A" w:rsidRDefault="00640E92">
      <w:pPr>
        <w:jc w:val="both"/>
        <w:spacing w:before="120" w:after="0" w:line="276" w:lineRule="auto"/>
      </w:pPr>
      <w:r>
        <w:t xml:space="preserve">Le travail d'AVB chez ME et les services des sociétés-agents avaient également un contenu différent. AVB exerçait des fonctions de représentation, tandis que les sociétés d'agence fournissaient des prestations contractuelles sur des marchés déterminés et percevaient une rémunération pour le résultat commercial. </w:t>
      </w:r>
    </w:p>
    <w:p w14:paraId="47D10ADD" w14:textId="77777777" w:rsidR="002C434A" w:rsidRDefault="00640E92">
      <w:pPr>
        <w:jc w:val="both"/>
        <w:spacing w:before="120" w:after="0" w:line="276" w:lineRule="auto"/>
      </w:pPr>
      <w:r>
        <w:t>C'est pourquoi AVB ne concluait pas de contrats « avec lui-même ». Du côté des sociétés qui lui étaient liées, il pouvait agir en tant que leur représentant. Du côté de ME, les décisions étaient prises et formalisées par d'autres personnes habilitées.</w:t>
      </w:r>
    </w:p>
    <w:p w14:paraId="399A9A6D" w14:textId="77777777" w:rsidR="002C434A" w:rsidRDefault="002C434A">
      <w:pPr>
        <w:jc w:val="both"/>
        <w:spacing w:before="120" w:after="0" w:line="276" w:lineRule="auto"/>
      </w:pPr>
    </w:p>
    <w:p w14:paraId="7B230EC7" w14:textId="77777777" w:rsidR="002C434A" w:rsidRDefault="00640E92">
      <w:pPr>
        <w:jc w:val="both"/>
        <w:spacing w:before="120" w:after="0" w:line="276" w:lineRule="auto"/>
      </w:pPr>
      <w:r>
        <w:t>Ainsi, les éléments confirment la délimitation des fonctions et des pouvoirs entre ME et les sociétés-agents, et non le contrôle d'AVB sur les deux parties aux opérations</w:t>
      </w:r>
    </w:p>
    <w:p w14:paraId="0AFAD791" w14:textId="77777777" w:rsidR="002C434A" w:rsidRDefault="00640E92">
      <w:pPr>
        <w:jc w:val="both"/>
        <w:spacing w:before="120" w:after="0" w:line="276" w:lineRule="auto"/>
      </w:pPr>
      <w:r>
        <w:rPr>
          <w:b/>
        </w:rPr>
        <w:t>Les contrats d'agence avec les sociétés d'AVB constituaient une partie négligeable de l'ensemble général des contrats d'agence de MS.</w:t>
      </w:r>
    </w:p>
    <w:p w14:paraId="542C7F1C" w14:textId="77777777" w:rsidR="002C434A" w:rsidRDefault="00640E92">
      <w:pPr>
        <w:jc w:val="both"/>
        <w:spacing w:before="120" w:after="0" w:line="276" w:lineRule="auto"/>
      </w:pPr>
      <w:r>
        <w:t>MS était une entreprise de production du secteur de l'aviation et de la construction mécanique, ainsi qu'un acteur du marché international de l'industrie aéronautique.</w:t>
      </w:r>
    </w:p>
    <w:p w14:paraId="4A15402B" w14:textId="77777777" w:rsidR="002C434A" w:rsidRDefault="00640E92">
      <w:pPr>
        <w:jc w:val="both"/>
        <w:spacing w:before="120" w:after="0" w:line="276" w:lineRule="auto"/>
      </w:pPr>
      <w:r>
        <w:t>L'entreprise disposait d'un cycle complet de création de moteurs d'aviation : du développement, de la fabrication et des essais jusqu'à l'accompagnement en exploitation et la réparation.</w:t>
      </w:r>
    </w:p>
    <w:p w14:paraId="2C4B9A26" w14:textId="77777777" w:rsidR="002C434A" w:rsidRDefault="00640E92">
      <w:pPr>
        <w:jc w:val="both"/>
        <w:spacing w:before="120" w:after="0" w:line="276" w:lineRule="auto"/>
      </w:pPr>
      <w:r>
        <w:t>Les produits de MS étaient exploités sur les marchés internationaux. Les moteurs de l'entreprise étaient utilisés dans plus de 120 pays du monde.</w:t>
      </w:r>
    </w:p>
    <w:p w14:paraId="6B656630" w14:textId="77777777" w:rsidR="002C434A" w:rsidRDefault="00640E92">
      <w:pPr>
        <w:jc w:val="both"/>
        <w:spacing w:before="120" w:after="0" w:line="276" w:lineRule="auto"/>
      </w:pPr>
      <w:r>
        <w:t>Compte tenu de l'ampleur de son activité, de la spécificité des produits et de la géographie des marchés d'écoulement, MS utilisait les contrats d'agence comme l'un des instruments de promotion des produits sur les marchés étrangers.</w:t>
      </w:r>
    </w:p>
    <w:p w14:paraId="2C0E3D18" w14:textId="77777777" w:rsidR="002C434A" w:rsidRDefault="00640E92">
      <w:pPr>
        <w:jc w:val="both"/>
        <w:spacing w:before="120" w:after="0" w:line="276" w:lineRule="auto"/>
      </w:pPr>
      <w:r>
        <w:t>Pour autant, les contrats d'agence avec les sociétés d'AVB ne constituaient pas l'ensemble des relations juridiques d'agence de MS.</w:t>
      </w:r>
    </w:p>
    <w:p w14:paraId="394A8CB9" w14:textId="77777777" w:rsidR="002C434A" w:rsidRDefault="00640E92">
      <w:pPr>
        <w:jc w:val="both"/>
        <w:spacing w:before="120" w:after="0" w:line="276" w:lineRule="auto"/>
      </w:pPr>
      <w:r>
        <w:t>Sur le fond de l'ensemble général des contrats d'agence de MS, décrit ci-dessus, de tels contrats ne constituaient qu'un segment distinct et limité du volet d'agence de l'entreprise.</w:t>
      </w:r>
    </w:p>
    <w:p w14:paraId="7C056839" w14:textId="77777777" w:rsidR="002C434A" w:rsidRDefault="00640E92">
      <w:pPr>
        <w:jc w:val="both"/>
        <w:spacing w:before="120" w:after="0" w:line="276" w:lineRule="auto"/>
      </w:pPr>
      <w:r>
        <w:t>Par conséquent, les contrats avec les sociétés que l'enquête lie à AVB doivent être examinés non pas isolément de la pratique générale de MS, mais dans le contexte de l'ensemble des contrats d'agence de l'entreprise.</w:t>
      </w:r>
    </w:p>
    <w:p w14:paraId="767C5CCC" w14:textId="77777777" w:rsidR="002C434A" w:rsidRDefault="00640E92">
      <w:pPr>
        <w:jc w:val="both"/>
        <w:spacing w:before="120" w:after="0" w:line="276" w:lineRule="auto"/>
      </w:pPr>
      <w:r>
        <w:t>Dans ce contexte, ils ne constituaient qu'une partie limitée du volet d'agence de MS et ne reflétaient pas l'intégralité du volume des relations juridiques d'agence que l'entreprise utilisait dans son activité commerciale internationale.</w:t>
      </w:r>
    </w:p>
    <w:p w14:paraId="1C00F553" w14:textId="77777777" w:rsidR="002C434A" w:rsidRDefault="00640E92">
      <w:pPr>
        <w:jc w:val="both"/>
        <w:spacing w:before="120" w:after="0" w:line="276" w:lineRule="auto"/>
      </w:pPr>
      <w:r>
        <w:rPr>
          <w:b/>
        </w:rPr>
        <w:t>AVB exerçait de réelles fonctions d'agent.</w:t>
      </w:r>
    </w:p>
    <w:p w14:paraId="6BD02453" w14:textId="77777777" w:rsidR="002C434A" w:rsidRDefault="00640E92">
      <w:pPr>
        <w:jc w:val="both"/>
        <w:spacing w:before="120" w:after="0" w:line="276" w:lineRule="auto"/>
      </w:pPr>
      <w:r>
        <w:lastRenderedPageBreak/>
        <w:t>AVB était un participant réel du marché aéronautique international. On le connaissait comme un agent qui favorisait l'établissement de contacts d'affaires entre producteurs, fournisseurs d'équipements aéronautiques et clients potentiels.</w:t>
      </w:r>
    </w:p>
    <w:p w14:paraId="2B0E86AE" w14:textId="77777777" w:rsidR="002C434A" w:rsidRDefault="00640E92">
      <w:pPr>
        <w:jc w:val="both"/>
        <w:spacing w:before="120" w:after="0" w:line="276" w:lineRule="auto"/>
      </w:pPr>
      <w:r>
        <w:t xml:space="preserve">Il participait à la recherche de clients, à l'organisation de négociations, de rencontres d'affaires et de visites, à l'échange d'informations commerciales et techniques, à la préparation d'offres commerciales et à la négociation des conditions de collaboration. </w:t>
      </w:r>
    </w:p>
    <w:p w14:paraId="675184DE" w14:textId="77777777" w:rsidR="002C434A" w:rsidRDefault="00640E92">
      <w:pPr>
        <w:jc w:val="both"/>
        <w:spacing w:before="120" w:after="0" w:line="276" w:lineRule="auto"/>
      </w:pPr>
      <w:r>
        <w:t>Cela est confirmé par les explications écrites d'un acteur du marché aéronautique (Annexe 3). Il y est indiqué qu'AVB bénéficiait d'une réputation professionnelle positive, entretenait des contacts professionnels et participait à la communication entre les acteurs du marché.</w:t>
      </w:r>
    </w:p>
    <w:p w14:paraId="3D6339AD" w14:textId="77777777" w:rsidR="002C434A" w:rsidRDefault="00640E92">
      <w:pPr>
        <w:jc w:val="both"/>
        <w:spacing w:before="120" w:after="0" w:line="276" w:lineRule="auto"/>
      </w:pPr>
      <w:r>
        <w:t>La participation d'AVB au volet d'agence est également confirmée par :</w:t>
      </w:r>
    </w:p>
    <w:p w14:paraId="22A87372" w14:textId="2AD235FD" w:rsidR="002C434A" w:rsidRDefault="00640E92">
      <w:pPr>
        <w:ind w:left="360"/>
        <w:jc w:val="both"/>
        <w:spacing w:before="120" w:after="0" w:line="276" w:lineRule="auto"/>
      </w:pPr>
      <w:r>
        <w:t>L'interrogatoire d'AVB à Monaco sur ME, les contrats d'agence, de marketing, les paiements de ME, Geoford, Enfields, Fraser, Duncan et les banques ;</w:t>
      </w:r>
      <w:r w:rsidR="00553238">
        <w:rPr>
          <w:rStyle w:val="affc"/>
        </w:rPr>
        <w:footnoteReference w:id="45"/>
      </w:r>
    </w:p>
    <w:p w14:paraId="3361AED6" w14:textId="5E22417F" w:rsidR="002C434A" w:rsidRDefault="00640E92">
      <w:pPr>
        <w:ind w:left="360"/>
        <w:jc w:val="both"/>
        <w:spacing w:before="120" w:after="0" w:line="276" w:lineRule="auto"/>
      </w:pPr>
      <w:r>
        <w:t>Le bloc final de l'interrogatoire d'AVB avec des explications sur les documents, contrats, factures, sociétés offshore et banques présentés ;</w:t>
      </w:r>
      <w:r w:rsidR="00553238">
        <w:rPr>
          <w:rStyle w:val="affc"/>
        </w:rPr>
        <w:footnoteReference w:id="46"/>
      </w:r>
    </w:p>
    <w:p w14:paraId="457D1A17" w14:textId="0F553A0C" w:rsidR="002C434A" w:rsidRDefault="00640E92">
      <w:pPr>
        <w:ind w:left="360"/>
        <w:jc w:val="both"/>
        <w:spacing w:before="120" w:after="0" w:line="276" w:lineRule="auto"/>
      </w:pPr>
      <w:r>
        <w:t xml:space="preserve">Le procès-verbal analytique de l'ONAF sur les résultats des interrogatoires d'AVB à Monaco </w:t>
      </w:r>
      <w:r w:rsidR="00553238">
        <w:rPr>
          <w:rStyle w:val="affc"/>
        </w:rPr>
        <w:footnoteReference w:id="47"/>
      </w:r>
    </w:p>
    <w:p w14:paraId="6B5EAFBB" w14:textId="77777777" w:rsidR="002C434A" w:rsidRDefault="00640E92">
      <w:pPr>
        <w:ind w:left="360"/>
        <w:jc w:val="both"/>
        <w:spacing w:before="120" w:after="0" w:line="276" w:lineRule="auto"/>
      </w:pPr>
      <w:r>
        <w:t>Le procès-verbal d'examen des photographies d'AVB en date du 5 juin 2026 (Annexe 4). Il y est consigné le séjour d'AVB dans des pays qui correspondent aux pays de conclusion des contrats d'agence entre MS et les agents.</w:t>
      </w:r>
    </w:p>
    <w:p w14:paraId="2A888ECC" w14:textId="77777777" w:rsidR="002C434A" w:rsidRDefault="00640E92">
      <w:pPr>
        <w:jc w:val="both"/>
        <w:spacing w:before="120" w:after="0" w:line="276" w:lineRule="auto"/>
      </w:pPr>
      <w:r>
        <w:t xml:space="preserve">La légalité de l'établissement dudit procès-verbal découle de la 3e partie de l'art. 93 du CPP d'Ukraine et du point 7 de la 1re partie de l'art. 20 de la loi d'Ukraine « Sur le barreau et l'activité d'avocat », qui confèrent à la défense le droit de recueillir de manière autonome des preuves et des renseignements sur des faits de nature à assurer la présentation de preuves régulières et recevables. </w:t>
      </w:r>
    </w:p>
    <w:p w14:paraId="53DAF74F" w14:textId="77777777" w:rsidR="002C434A" w:rsidRDefault="00640E92">
      <w:pPr>
        <w:jc w:val="both"/>
        <w:spacing w:before="120" w:after="0" w:line="276" w:lineRule="auto"/>
      </w:pPr>
      <w:r>
        <w:t>Conformément aux art. 84 et 99 du CPP d'Ukraine, les documents, les éléments de prise de vue photographique et les données informatiques sont des sources procédurales de preuves.</w:t>
      </w:r>
    </w:p>
    <w:p w14:paraId="124E6B51" w14:textId="77777777" w:rsidR="002C434A" w:rsidRDefault="00640E92">
      <w:pPr>
        <w:jc w:val="both"/>
        <w:spacing w:before="120" w:after="0" w:line="276" w:lineRule="auto"/>
      </w:pPr>
      <w:r>
        <w:t>Par conséquent, le procès-verbal d'examen en date du 5 juin 2026 ainsi que les photographies jointes constituent un document de la défense, obtenu dans le cadre de l'ordre de collecte des preuves prévu par la loi.</w:t>
      </w:r>
    </w:p>
    <w:p w14:paraId="6577BF31" w14:textId="77777777" w:rsidR="002C434A" w:rsidRDefault="00640E92">
      <w:pPr>
        <w:jc w:val="both"/>
        <w:spacing w:before="120" w:after="0" w:line="276" w:lineRule="auto"/>
      </w:pPr>
      <w:r>
        <w:t>Il consigne les photographies d'AVB, les sources de leur obtention et les informations permettant de les corréler avec les États dans lesquels l'activité d'agence a été exercée.</w:t>
      </w:r>
    </w:p>
    <w:p w14:paraId="3DEEA08E" w14:textId="77777777" w:rsidR="002C434A" w:rsidRDefault="00640E92">
      <w:pPr>
        <w:jc w:val="both"/>
        <w:spacing w:before="120" w:after="0" w:line="276" w:lineRule="auto"/>
      </w:pPr>
      <w:r>
        <w:t>Ces éléments confirment qu'AVB exerçait réellement des fonctions d'agent et bénéficiait d'une réputation professionnelle dans le milieu aéronautique international.</w:t>
      </w:r>
    </w:p>
    <w:p w14:paraId="069234B1" w14:textId="77777777" w:rsidR="002C434A" w:rsidRDefault="00640E92">
      <w:pPr>
        <w:spacing w:before="120" w:after="0" w:line="276" w:lineRule="auto"/>
      </w:pPr>
      <w:r>
        <w:rPr>
          <w:b/>
        </w:rPr>
        <w:t>Présomption de validité des contrats.</w:t>
      </w:r>
    </w:p>
    <w:p w14:paraId="31FC1A42" w14:textId="77777777" w:rsidR="002C434A" w:rsidRDefault="00640E92">
      <w:pPr>
        <w:jc w:val="both"/>
        <w:spacing w:before="120" w:after="0" w:line="276" w:lineRule="auto"/>
      </w:pPr>
      <w:r>
        <w:t>Un contrat est valable et a force obligatoire tant que sa nullité n'est pas établie par la loi ou reconnue en justice.</w:t>
      </w:r>
    </w:p>
    <w:p w14:paraId="2F88130B" w14:textId="77777777" w:rsidR="002C434A" w:rsidRDefault="00640E92">
      <w:pPr>
        <w:jc w:val="both"/>
        <w:spacing w:before="120" w:after="0" w:line="276" w:lineRule="auto"/>
      </w:pPr>
      <w:r>
        <w:t>La validité du contrat n'est pas réfutée par des suppositions sur son opportunité économique, la suffisance du détail des documents ou le mouvement ultérieur des fonds.</w:t>
      </w:r>
    </w:p>
    <w:p w14:paraId="124F6843" w14:textId="77777777" w:rsidR="002C434A" w:rsidRDefault="00640E92">
      <w:pPr>
        <w:jc w:val="both"/>
        <w:spacing w:before="120" w:after="0" w:line="276" w:lineRule="auto"/>
      </w:pPr>
      <w:r>
        <w:t>La question de la validité du contrat doit être tranchée selon le droit applicable au contrat concret.</w:t>
      </w:r>
    </w:p>
    <w:p w14:paraId="0B5F8EF6" w14:textId="77777777" w:rsidR="002C434A" w:rsidRDefault="00640E92">
      <w:pPr>
        <w:jc w:val="both"/>
        <w:spacing w:before="120" w:after="0" w:line="276" w:lineRule="auto"/>
      </w:pPr>
      <w:r>
        <w:t xml:space="preserve">Une telle approche est conforme au Règlement du Parlement européen et du Conseil de l'UE n° 593/2008 du 17 juin 2008 sur le droit applicable aux obligations contractuelles (« Rome I </w:t>
      </w:r>
      <w:r>
        <w:lastRenderedPageBreak/>
        <w:t>»). Selon l'art. 3 du Règlement « Rome I », « le contrat est régi par le droit choisi par les parties ». Selon l'art. 10 du Règlement « Rome I », « l'existence et la validité du contrat ou de toute disposition de celui-ci sont déterminées par le droit qui régirait le contrat ou la disposition correspondante si le contrat ou la clause étaient valables ».</w:t>
      </w:r>
    </w:p>
    <w:p w14:paraId="6BFC24D1" w14:textId="77777777" w:rsidR="002C434A" w:rsidRDefault="00640E92">
      <w:pPr>
        <w:jc w:val="both"/>
        <w:spacing w:before="120" w:after="0" w:line="276" w:lineRule="auto"/>
      </w:pPr>
      <w:r>
        <w:t>Pour les contrats auxquels le droit ukrainien est applicable, s'applique la présomption de légalité de l'acte juridique. Conformément à l'art. 204 du Code civil de l'Ukraine, « l'acte juridique est légal si sa nullité n'est pas expressément établie par la loi ou s'il n'est pas déclaré nul par un tribunal ».</w:t>
      </w:r>
    </w:p>
    <w:p w14:paraId="431D61A2" w14:textId="77777777" w:rsidR="002C434A" w:rsidRDefault="00640E92">
      <w:pPr>
        <w:jc w:val="both"/>
        <w:spacing w:before="120" w:after="0" w:line="276" w:lineRule="auto"/>
      </w:pPr>
      <w:r>
        <w:t>Pour les contrats auxquels le droit français est applicable, s'applique le principe de la force obligatoire du contrat.</w:t>
      </w:r>
    </w:p>
    <w:p w14:paraId="5937597E" w14:textId="77777777" w:rsidR="002C434A" w:rsidRDefault="00640E92">
      <w:pPr>
        <w:jc w:val="both"/>
        <w:spacing w:before="120" w:after="0" w:line="276" w:lineRule="auto"/>
      </w:pPr>
      <w:r>
        <w:t>Selon l'art. 1103 du Code civil de la France, « les contrats légalement formés tiennent lieu de loi à ceux qui les ont faits ».</w:t>
      </w:r>
    </w:p>
    <w:p w14:paraId="3B712837" w14:textId="77777777" w:rsidR="002C434A" w:rsidRDefault="00640E92">
      <w:pPr>
        <w:jc w:val="both"/>
        <w:spacing w:before="120" w:after="0" w:line="276" w:lineRule="auto"/>
      </w:pPr>
      <w:r>
        <w:t>Selon l'art. 1104 du Code civil de la France, « les contrats doivent être négociés, formés et exécutés de bonne foi ». Cette norme est impérative.</w:t>
      </w:r>
    </w:p>
    <w:p w14:paraId="7F209FF7" w14:textId="77777777" w:rsidR="002C434A" w:rsidRDefault="00640E92">
      <w:pPr>
        <w:jc w:val="both"/>
        <w:spacing w:before="120" w:after="0" w:line="276" w:lineRule="auto"/>
      </w:pPr>
      <w:r>
        <w:t>Une approche comparable est consacrée dans les Principes d'UNIDROIT relatifs aux contrats du commerce international de 2016. Selon l'art. 1.3 des Principes d'UNIDROIT, « le contrat conclu de manière appropriée est obligatoire pour les parties. Il ne peut être modifié ou résilié qu'en conformité avec ses conditions, par accord des parties ou d'une autre manière prévue par les présents Principes ».</w:t>
      </w:r>
    </w:p>
    <w:p w14:paraId="21A5CCB4" w14:textId="77777777" w:rsidR="002C434A" w:rsidRDefault="00640E92">
      <w:pPr>
        <w:jc w:val="both"/>
        <w:spacing w:before="120" w:after="0" w:line="276" w:lineRule="auto"/>
      </w:pPr>
      <w:r>
        <w:t>Par conséquent, le droit national applicable et les principes internationalement reconnus du commerce partent de la force obligatoire du contrat valablement conclu.</w:t>
      </w:r>
    </w:p>
    <w:p w14:paraId="70AAE689" w14:textId="77777777" w:rsidR="002C434A" w:rsidRDefault="00640E92">
      <w:pPr>
        <w:jc w:val="both"/>
        <w:spacing w:before="120" w:after="0" w:line="276" w:lineRule="auto"/>
      </w:pPr>
      <w:r>
        <w:t>La nullité du contrat ne se présume pas. Elle doit être établie selon le droit applicable et dans l'ordre prévu.</w:t>
      </w:r>
    </w:p>
    <w:p w14:paraId="675B0B1B" w14:textId="77777777" w:rsidR="002C434A" w:rsidRDefault="00640E92">
      <w:pPr>
        <w:jc w:val="both"/>
        <w:spacing w:before="120" w:after="0" w:line="276" w:lineRule="auto"/>
      </w:pPr>
      <w:r>
        <w:t>La fictivité de l'exécution ne se présume pas non plus. Elle doit être établie pour le contrat concret, le paiement concret et l'opération commerciale concrète.</w:t>
      </w:r>
    </w:p>
    <w:p w14:paraId="2AC5F608" w14:textId="77777777" w:rsidR="002C434A" w:rsidRDefault="00640E92">
      <w:pPr>
        <w:jc w:val="both"/>
        <w:spacing w:before="120" w:after="0" w:line="276" w:lineRule="auto"/>
      </w:pPr>
      <w:r>
        <w:t>Jusqu'à un tel constat, le contrat doit être considéré comme le fondement juridique valable de l'opération correspondante.</w:t>
      </w:r>
    </w:p>
    <w:p w14:paraId="077C67FA" w14:textId="77777777" w:rsidR="002C434A" w:rsidRDefault="00640E92">
      <w:pPr>
        <w:jc w:val="both"/>
        <w:spacing w:before="120" w:after="0" w:line="276" w:lineRule="auto"/>
      </w:pPr>
      <w:r>
        <w:t>Dans notre cas, ne sont constatées par voie judiciaire ni la nullité des contrats d'agence, de marketing ou de commission, ni la fictivité de leur exécution.</w:t>
      </w:r>
    </w:p>
    <w:p w14:paraId="4AAD97D8" w14:textId="77777777" w:rsidR="002C434A" w:rsidRDefault="00640E92">
      <w:pPr>
        <w:jc w:val="both"/>
        <w:spacing w:before="120" w:after="0" w:line="276" w:lineRule="auto"/>
      </w:pPr>
      <w:r>
        <w:t>Par conséquent, de tels contrats conservent leur force juridique et doivent être appréciés comme les fondements juridiques en vigueur des opérations correspondantes.</w:t>
      </w:r>
    </w:p>
    <w:p w14:paraId="00A711E3" w14:textId="77777777" w:rsidR="002C434A" w:rsidRDefault="00640E92">
      <w:pPr>
        <w:jc w:val="both"/>
        <w:spacing w:before="120" w:after="0" w:line="276" w:lineRule="auto"/>
      </w:pPr>
      <w:r>
        <w:rPr>
          <w:b/>
        </w:rPr>
        <w:t>Les prestations d'agence avaient un contenu concret et un résultat commercial.</w:t>
      </w:r>
    </w:p>
    <w:p w14:paraId="2465F1D5" w14:textId="77777777" w:rsidR="002C434A" w:rsidRDefault="00640E92">
      <w:pPr>
        <w:jc w:val="both"/>
        <w:spacing w:before="120" w:after="0" w:line="276" w:lineRule="auto"/>
      </w:pPr>
      <w:r>
        <w:t>Les prestations d'agence n'étaient pas abstraites. Elles comprenaient la recherche de donneurs d'ordre, l'attraction de clients potentiels, l'organisation de négociations, le soutien marketing, l'analyse des marchés régionaux, la transmission des demandes techniques, la préparation d'offres commerciales et l'accompagnement de la communication entre les parties.</w:t>
      </w:r>
    </w:p>
    <w:p w14:paraId="75FB2CFA" w14:textId="77777777" w:rsidR="002C434A" w:rsidRDefault="00640E92">
      <w:pPr>
        <w:jc w:val="both"/>
        <w:spacing w:before="120" w:after="0" w:line="276" w:lineRule="auto"/>
      </w:pPr>
      <w:r>
        <w:t>La réalité de telles prestations est confirmée par des documents qui constatent non seulement la conclusion des contrats, mais aussi leur exécution, l'émission des factures, le calcul de la rémunération et l'accompagnement bancaire des paiements.</w:t>
      </w:r>
    </w:p>
    <w:p w14:paraId="3FF96BCB" w14:textId="77777777" w:rsidR="002C434A" w:rsidRDefault="00640E92">
      <w:pPr>
        <w:jc w:val="both"/>
        <w:spacing w:before="120" w:after="0" w:line="276" w:lineRule="auto"/>
      </w:pPr>
      <w:r>
        <w:t>Ce qui précède est confirmé, en particulier :</w:t>
      </w:r>
    </w:p>
    <w:p w14:paraId="5EA91B71" w14:textId="05102EA3" w:rsidR="002C434A" w:rsidRDefault="00640E92">
      <w:pPr>
        <w:ind w:left="360"/>
        <w:jc w:val="both"/>
        <w:spacing w:before="120" w:after="0" w:line="276" w:lineRule="auto"/>
      </w:pPr>
      <w:r>
        <w:t>par l'accord d'agence n° DUN2014/MS-1 entre MS et Duncan Promotions Ltd et l'acte de travaux exécutés ;</w:t>
      </w:r>
      <w:r w:rsidR="00553238">
        <w:rPr>
          <w:rStyle w:val="affc"/>
        </w:rPr>
        <w:footnoteReference w:id="48"/>
      </w:r>
    </w:p>
    <w:p w14:paraId="188EAFF2" w14:textId="73B73539" w:rsidR="002C434A" w:rsidRDefault="00640E92">
      <w:pPr>
        <w:ind w:left="360"/>
        <w:jc w:val="both"/>
        <w:spacing w:before="120" w:after="0" w:line="276" w:lineRule="auto"/>
      </w:pPr>
      <w:r>
        <w:lastRenderedPageBreak/>
        <w:t>par le contrat Duncan Promotions Ltd / Fraser Corporation n° 1-2014/10 portant sur des prestations de marketing ;</w:t>
      </w:r>
      <w:r w:rsidR="00553238">
        <w:rPr>
          <w:rStyle w:val="affc"/>
        </w:rPr>
        <w:footnoteReference w:id="49"/>
      </w:r>
    </w:p>
    <w:p w14:paraId="35008DFD" w14:textId="45068AE9" w:rsidR="002C434A" w:rsidRDefault="00640E92">
      <w:pPr>
        <w:ind w:left="360"/>
        <w:jc w:val="both"/>
        <w:spacing w:before="120" w:after="0" w:line="276" w:lineRule="auto"/>
      </w:pPr>
      <w:r>
        <w:t>par le contrat n° ME/144/2013 entre ME et Business House Helena AG portant sur des prestations de marketing ;</w:t>
      </w:r>
      <w:r w:rsidR="00553238">
        <w:rPr>
          <w:rStyle w:val="affc"/>
        </w:rPr>
        <w:footnoteReference w:id="50"/>
      </w:r>
    </w:p>
    <w:p w14:paraId="7153E9CA" w14:textId="66041069" w:rsidR="002C434A" w:rsidRDefault="00640E92">
      <w:pPr>
        <w:ind w:left="360"/>
        <w:jc w:val="both"/>
        <w:spacing w:before="120" w:after="0" w:line="276" w:lineRule="auto"/>
      </w:pPr>
      <w:r>
        <w:t>par le contrat n° ME/148/2013 entre ME et Enfields Trade &amp; Capital Corp portant sur des prestations de marketing ;</w:t>
      </w:r>
      <w:r w:rsidR="00553238">
        <w:rPr>
          <w:rStyle w:val="affc"/>
        </w:rPr>
        <w:footnoteReference w:id="51"/>
      </w:r>
    </w:p>
    <w:p w14:paraId="3B3CE424" w14:textId="7B6B9930" w:rsidR="002C434A" w:rsidRDefault="00640E92">
      <w:pPr>
        <w:ind w:left="360"/>
        <w:jc w:val="both"/>
        <w:spacing w:before="120" w:after="0" w:line="276" w:lineRule="auto"/>
      </w:pPr>
      <w:r>
        <w:t>par le contrat n° ME/154/2014 entre ME et Geoford LLP portant sur des prestations de marketing ;</w:t>
      </w:r>
      <w:r w:rsidR="00553238">
        <w:rPr>
          <w:rStyle w:val="affc"/>
        </w:rPr>
        <w:footnoteReference w:id="52"/>
      </w:r>
    </w:p>
    <w:p w14:paraId="2A09195D" w14:textId="352178C7" w:rsidR="002C434A" w:rsidRDefault="00640E92">
      <w:pPr>
        <w:ind w:left="360"/>
        <w:jc w:val="both"/>
        <w:spacing w:before="120" w:after="0" w:line="276" w:lineRule="auto"/>
      </w:pPr>
      <w:r>
        <w:t>par le contrat n° RT/02/2014 entre Fraser Corporation et ME portant sur des prestations d'agence dans la région MENA ;</w:t>
      </w:r>
      <w:r w:rsidR="00553238">
        <w:rPr>
          <w:rStyle w:val="affc"/>
        </w:rPr>
        <w:footnoteReference w:id="53"/>
      </w:r>
    </w:p>
    <w:p w14:paraId="3A1EC7EC" w14:textId="1C5B0E9F" w:rsidR="002C434A" w:rsidRDefault="00640E92">
      <w:pPr>
        <w:ind w:left="360"/>
        <w:jc w:val="both"/>
        <w:spacing w:before="120" w:after="0" w:line="276" w:lineRule="auto"/>
      </w:pPr>
      <w:r>
        <w:t>par les factures de Geoford LLP et Enfields Trade &amp; Capital Corp à l'adresse de ME pour des prestations de marketing.</w:t>
      </w:r>
      <w:r w:rsidR="00553238">
        <w:rPr>
          <w:rStyle w:val="affc"/>
        </w:rPr>
        <w:footnoteReference w:id="54"/>
      </w:r>
    </w:p>
    <w:p w14:paraId="49E878FB" w14:textId="77777777" w:rsidR="002C434A" w:rsidRDefault="00640E92">
      <w:pPr>
        <w:jc w:val="both"/>
        <w:spacing w:before="120" w:after="0" w:line="276" w:lineRule="auto"/>
      </w:pPr>
      <w:r>
        <w:t>Ces documents confirment que les relations d'agence et de marketing avaient un objet, des parties, une formalisation contractuelle, des factures, un paiement et une destination commerciale.</w:t>
      </w:r>
    </w:p>
    <w:p w14:paraId="767623A0" w14:textId="512B79C2" w:rsidR="002C434A" w:rsidRDefault="00640E92">
      <w:pPr>
        <w:jc w:val="both"/>
        <w:spacing w:before="120" w:after="0" w:line="276" w:lineRule="auto"/>
      </w:pPr>
      <w:r>
        <w:t>En outre, les pièces contiennent une correspondance de laquelle il découle que les documents contractuels étaient transmis non seulement par AVB, mais aussi par des représentants de ME. En particulier, Alina Zinurova, s'indiquant comme représentante de ME, transmettait à AVB le contrat signé.</w:t>
      </w:r>
      <w:r w:rsidR="00553238">
        <w:rPr>
          <w:rStyle w:val="affc"/>
        </w:rPr>
        <w:footnoteReference w:id="55"/>
      </w:r>
    </w:p>
    <w:p w14:paraId="2D41A74A" w14:textId="77777777" w:rsidR="002C434A" w:rsidRDefault="00640E92">
      <w:pPr>
        <w:jc w:val="both"/>
        <w:spacing w:before="120" w:after="0" w:line="276" w:lineRule="auto"/>
      </w:pPr>
      <w:r>
        <w:t>Cela confirme que le circuit documentaire au titre des contrats de ME s'effectuait par l'intermédiaire des salariés de la société, et non pas exclusivement personnellement par AVB.</w:t>
      </w:r>
    </w:p>
    <w:p w14:paraId="4ABB8697" w14:textId="77777777" w:rsidR="002C434A" w:rsidRDefault="00640E92">
      <w:pPr>
        <w:jc w:val="both"/>
        <w:spacing w:before="120" w:after="0" w:line="276" w:lineRule="auto"/>
      </w:pPr>
      <w:r>
        <w:rPr>
          <w:b/>
        </w:rPr>
        <w:t>Le montant de la rémunération d'agence était économiquement justifié et dépendait du contrat concret, du marché, du volume des prestations et du résultat commercial.</w:t>
      </w:r>
    </w:p>
    <w:p w14:paraId="17273E5A" w14:textId="77777777" w:rsidR="002C434A" w:rsidRDefault="00640E92">
      <w:pPr>
        <w:jc w:val="both"/>
        <w:spacing w:before="120" w:after="0" w:line="276" w:lineRule="auto"/>
      </w:pPr>
      <w:r>
        <w:t>La rémunération d'agence n'était pas un paiement arbitraire. Elle dépendait du contrat concret, du marché, du volume des prestations, du résultat commercial et des conditions d'interaction des parties.</w:t>
      </w:r>
    </w:p>
    <w:p w14:paraId="578FC0F6" w14:textId="402DCCDC" w:rsidR="002C434A" w:rsidRDefault="00640E92">
      <w:pPr>
        <w:jc w:val="both"/>
        <w:spacing w:before="120" w:after="0" w:line="276" w:lineRule="auto"/>
      </w:pPr>
      <w:r>
        <w:t>Sur l'exemple de Duncan Promotions Ltd, le montant de la rémunération est confirmé par un dossier complet de documents : le contrat d'agence, le contrat de base, l'acte de travaux exécutés, le taux de commission de 8 %, le montant concret de la rémunération et les coordonnées bancaires pour le paiement.</w:t>
      </w:r>
      <w:r w:rsidR="00553238">
        <w:rPr>
          <w:rStyle w:val="affc"/>
        </w:rPr>
        <w:footnoteReference w:id="56"/>
      </w:r>
    </w:p>
    <w:p w14:paraId="40EA7509" w14:textId="77777777" w:rsidR="002C434A" w:rsidRDefault="00640E92">
      <w:pPr>
        <w:jc w:val="both"/>
        <w:spacing w:before="120" w:after="0" w:line="276" w:lineRule="auto"/>
      </w:pPr>
      <w:r>
        <w:t>La présence du taux de commission, de l'acte de travaux exécutés et du montant concret de la rémunération confirme que le paiement était lié à un résultat commercial concret.</w:t>
      </w:r>
    </w:p>
    <w:p w14:paraId="7D98A1AC" w14:textId="77777777" w:rsidR="002C434A" w:rsidRDefault="00640E92">
      <w:pPr>
        <w:jc w:val="both"/>
        <w:spacing w:before="120" w:after="0" w:line="276" w:lineRule="auto"/>
      </w:pPr>
      <w:r>
        <w:rPr>
          <w:b/>
        </w:rPr>
        <w:t>Les paiements au titre des contrats d'agence et de commission étaient effectués ouvertement et par le biais du système bancaire.</w:t>
      </w:r>
    </w:p>
    <w:p w14:paraId="637F47A8" w14:textId="77777777" w:rsidR="002C434A" w:rsidRDefault="00640E92">
      <w:pPr>
        <w:jc w:val="both"/>
        <w:spacing w:before="120" w:after="0" w:line="276" w:lineRule="auto"/>
      </w:pPr>
      <w:r>
        <w:t>Les paiements au titre des contrats d'agence étaient effectués par le biais du système bancaire, avec l'utilisation de coordonnées bancaires, de factures, de messages SWIFT, de la correspondance de conformité et de documents fournis aux banques pour confirmer les fondements des opérations.</w:t>
      </w:r>
    </w:p>
    <w:p w14:paraId="24ECE1C2" w14:textId="77777777" w:rsidR="002C434A" w:rsidRDefault="00640E92">
      <w:pPr>
        <w:jc w:val="both"/>
        <w:spacing w:before="120" w:after="0" w:line="276" w:lineRule="auto"/>
      </w:pPr>
      <w:r>
        <w:lastRenderedPageBreak/>
        <w:t>Les opérations n'étaient pas dissimulées aux banques. Au contraire, pour celles-ci étaient fournis des documents, des explications et une justification commerciale.</w:t>
      </w:r>
    </w:p>
    <w:p w14:paraId="2E9D8E45" w14:textId="77777777" w:rsidR="002C434A" w:rsidRDefault="00640E92">
      <w:pPr>
        <w:jc w:val="both"/>
        <w:spacing w:before="120" w:after="0" w:line="276" w:lineRule="auto"/>
      </w:pPr>
      <w:r>
        <w:t>Ce qui précède est confirmé par :</w:t>
      </w:r>
    </w:p>
    <w:p w14:paraId="6D67A8C8" w14:textId="25C1F854" w:rsidR="002C434A" w:rsidRDefault="00640E92">
      <w:pPr>
        <w:ind w:left="360"/>
        <w:jc w:val="both"/>
        <w:spacing w:before="120" w:after="0" w:line="276" w:lineRule="auto"/>
      </w:pPr>
      <w:r>
        <w:t>la lettre de MS sur le droit de ME de verser des commissions à des intermédiaires ;</w:t>
      </w:r>
      <w:r w:rsidR="00553238">
        <w:rPr>
          <w:rStyle w:val="affc"/>
        </w:rPr>
        <w:footnoteReference w:id="57"/>
      </w:r>
    </w:p>
    <w:p w14:paraId="3CC2F7F1" w14:textId="0264CA9A" w:rsidR="002C434A" w:rsidRDefault="00640E92">
      <w:pPr>
        <w:ind w:left="360"/>
        <w:jc w:val="both"/>
        <w:spacing w:before="120" w:after="0" w:line="276" w:lineRule="auto"/>
      </w:pPr>
      <w:r>
        <w:t>la correspondance avec Julius Baer sur les accords de commission de ME avec des sociétés offshore ;</w:t>
      </w:r>
      <w:r w:rsidR="00553238">
        <w:rPr>
          <w:rStyle w:val="affc"/>
        </w:rPr>
        <w:footnoteReference w:id="58"/>
      </w:r>
    </w:p>
    <w:p w14:paraId="1EAEB8FC" w14:textId="0D7E7718" w:rsidR="002C434A" w:rsidRDefault="00640E92">
      <w:pPr>
        <w:ind w:left="360"/>
        <w:jc w:val="both"/>
        <w:spacing w:before="120" w:after="0" w:line="276" w:lineRule="auto"/>
      </w:pPr>
      <w:r>
        <w:t>Julius Baer KYC Package concernant AVB et les sociétés liées ;</w:t>
      </w:r>
      <w:r w:rsidR="00553238">
        <w:rPr>
          <w:rStyle w:val="affc"/>
        </w:rPr>
        <w:footnoteReference w:id="59"/>
      </w:r>
    </w:p>
    <w:p w14:paraId="2FFB6C9F" w14:textId="66F3B7D5" w:rsidR="002C434A" w:rsidRDefault="00640E92">
      <w:pPr>
        <w:ind w:left="360"/>
        <w:jc w:val="both"/>
        <w:spacing w:before="120" w:after="0" w:line="276" w:lineRule="auto"/>
      </w:pPr>
      <w:r>
        <w:t>la correspondance d'AVB avec Julius Baer / Olena Satina sur la société Granum, l'ouverture de compte et la conformité ;</w:t>
      </w:r>
      <w:r w:rsidR="00553238">
        <w:rPr>
          <w:rStyle w:val="affc"/>
        </w:rPr>
        <w:footnoteReference w:id="60"/>
      </w:r>
    </w:p>
    <w:p w14:paraId="5B82D7C4" w14:textId="311BB325" w:rsidR="002C434A" w:rsidRDefault="00640E92">
      <w:pPr>
        <w:ind w:left="360"/>
        <w:jc w:val="both"/>
        <w:spacing w:before="120" w:after="0" w:line="276" w:lineRule="auto"/>
      </w:pPr>
      <w:r>
        <w:t>le message SWIFT sur le paiement de Nile Petroleum Corporation en faveur de ME ;</w:t>
      </w:r>
      <w:r w:rsidR="00553238">
        <w:rPr>
          <w:rStyle w:val="affc"/>
        </w:rPr>
        <w:footnoteReference w:id="61"/>
      </w:r>
    </w:p>
    <w:p w14:paraId="459C6966" w14:textId="2D1F5B3B" w:rsidR="002C434A" w:rsidRDefault="00640E92">
      <w:pPr>
        <w:ind w:left="360"/>
        <w:jc w:val="both"/>
        <w:spacing w:before="120" w:after="0" w:line="276" w:lineRule="auto"/>
      </w:pPr>
      <w:r>
        <w:t>les coordonnées bancaires de Duncan Promotions Ltd ;</w:t>
      </w:r>
      <w:r w:rsidR="00553238">
        <w:rPr>
          <w:rStyle w:val="affc"/>
        </w:rPr>
        <w:footnoteReference w:id="62"/>
      </w:r>
    </w:p>
    <w:p w14:paraId="1C8436D0" w14:textId="63951C59" w:rsidR="002C434A" w:rsidRDefault="00640E92">
      <w:pPr>
        <w:jc w:val="both"/>
        <w:spacing w:before="120" w:after="0" w:line="276" w:lineRule="auto"/>
      </w:pPr>
      <w:r>
        <w:t>La demande de Julius Baer sur le droit de ME de conclure des accords de commission avec des sociétés offshore confirme la divulgation du modèle à la banque</w:t>
      </w:r>
      <w:r w:rsidR="00553238">
        <w:rPr>
          <w:rStyle w:val="affc"/>
        </w:rPr>
        <w:footnoteReference w:id="63"/>
      </w:r>
    </w:p>
    <w:p w14:paraId="17378B5A" w14:textId="63481DC2" w:rsidR="002C434A" w:rsidRDefault="00640E92">
      <w:pPr>
        <w:jc w:val="both"/>
        <w:spacing w:before="120" w:after="0" w:line="276" w:lineRule="auto"/>
      </w:pPr>
      <w:r>
        <w:t>La correspondance avec les conseillers bancaires confirme que les opérations passaient par la conformité bancaire : les banques demandaient des documents, précisaient l'origine des fonds et posaient des questions sur les contrats et les factures.</w:t>
      </w:r>
      <w:r w:rsidR="00553238">
        <w:rPr>
          <w:rStyle w:val="affc"/>
        </w:rPr>
        <w:footnoteReference w:id="64"/>
      </w:r>
    </w:p>
    <w:p w14:paraId="48E9C19A" w14:textId="77777777" w:rsidR="002C434A" w:rsidRDefault="00640E92">
      <w:pPr>
        <w:jc w:val="both"/>
        <w:spacing w:before="120" w:after="0" w:line="276" w:lineRule="auto"/>
      </w:pPr>
      <w:r>
        <w:t>Cela confirme non pas la dissimulation des opérations, mais leur présence dans le champ du contrôle bancaire.</w:t>
      </w:r>
    </w:p>
    <w:p w14:paraId="4AB51CD7" w14:textId="77777777" w:rsidR="002C434A" w:rsidRDefault="00640E92">
      <w:pPr>
        <w:jc w:val="both"/>
        <w:spacing w:before="120" w:after="0" w:line="276" w:lineRule="auto"/>
      </w:pPr>
      <w:r>
        <w:rPr>
          <w:b/>
        </w:rPr>
        <w:t>Le lien d'AVB avec certaines sociétés étrangères ne transforme pas les contrats d'agence en contrats fictifs.</w:t>
      </w:r>
    </w:p>
    <w:p w14:paraId="21205387" w14:textId="77777777" w:rsidR="002C434A" w:rsidRDefault="00640E92">
      <w:pPr>
        <w:jc w:val="both"/>
        <w:spacing w:before="120" w:after="0" w:line="276" w:lineRule="auto"/>
      </w:pPr>
      <w:r>
        <w:t>Le lien d'AVB avec certaines sociétés étrangères ne réfute pas la réalité des relations d'agence.</w:t>
      </w:r>
    </w:p>
    <w:p w14:paraId="70311956" w14:textId="77777777" w:rsidR="002C434A" w:rsidRDefault="00640E92">
      <w:pPr>
        <w:jc w:val="both"/>
        <w:spacing w:before="120" w:after="0" w:line="276" w:lineRule="auto"/>
      </w:pPr>
      <w:r>
        <w:t>L'activité d'agence pouvait être exercée par l'intermédiaire de sociétés étrangères liées à AVB, y compris Fraser Corporation, Geoford LLP, Aldon Business Inc., Duncan Promotions Ltd., Anicic Holdings Ltd., Tabernus Corp.</w:t>
      </w:r>
    </w:p>
    <w:p w14:paraId="26A5FA65" w14:textId="77777777" w:rsidR="002C434A" w:rsidRDefault="00640E92">
      <w:pPr>
        <w:jc w:val="both"/>
        <w:spacing w:before="120" w:after="0" w:line="276" w:lineRule="auto"/>
      </w:pPr>
      <w:r>
        <w:t>Une telle forme de participation n'est pas illégale en soi et n'annule pas l'existence de contrats, d'actes, de factures, de paiements et de documents bancaires.</w:t>
      </w:r>
    </w:p>
    <w:p w14:paraId="4883BBCC" w14:textId="77777777" w:rsidR="002C434A" w:rsidRDefault="00640E92">
      <w:pPr>
        <w:jc w:val="both"/>
        <w:spacing w:before="120" w:after="0" w:line="276" w:lineRule="auto"/>
      </w:pPr>
      <w:r>
        <w:t>Les documents qui confirment le lien d'entreprise ou bancaire d'AVB avec certaines structures doivent être appréciés séparément de la question de la réalité des prestations.</w:t>
      </w:r>
    </w:p>
    <w:p w14:paraId="00C8696A" w14:textId="77777777" w:rsidR="002C434A" w:rsidRDefault="00640E92">
      <w:pPr>
        <w:jc w:val="both"/>
        <w:spacing w:before="120" w:after="0" w:line="276" w:lineRule="auto"/>
      </w:pPr>
      <w:r>
        <w:rPr>
          <w:b/>
        </w:rPr>
        <w:t>Les opérations commerciales connexes confirment l'activité économique autonome des sociétés étrangères.</w:t>
      </w:r>
    </w:p>
    <w:p w14:paraId="2380B4FE" w14:textId="77777777" w:rsidR="002C434A" w:rsidRDefault="00640E92">
      <w:pPr>
        <w:jc w:val="both"/>
        <w:spacing w:before="120" w:after="0" w:line="276" w:lineRule="auto"/>
      </w:pPr>
      <w:r>
        <w:t>L'existence d'opérations commerciales connexes entre des sociétés étrangères confirme que les sociétés correspondantes exerçaient une activité commerciale internationale autonome.</w:t>
      </w:r>
    </w:p>
    <w:p w14:paraId="1BAC3192" w14:textId="77777777" w:rsidR="002C434A" w:rsidRDefault="00640E92">
      <w:pPr>
        <w:jc w:val="both"/>
        <w:spacing w:before="120" w:after="0" w:line="276" w:lineRule="auto"/>
      </w:pPr>
      <w:r>
        <w:t>De telles opérations ne se réduisent pas aux contrats d'agence de MS ou de ME. Elles ont leurs propres cocontractants, un objet distinct, des stipulations contractuelles autonomes, des factures, des documents de paiement et des messages SWIFT.</w:t>
      </w:r>
    </w:p>
    <w:p w14:paraId="37F65CFC" w14:textId="77777777" w:rsidR="002C434A" w:rsidRDefault="00640E92">
      <w:pPr>
        <w:jc w:val="both"/>
        <w:spacing w:before="120" w:after="0" w:line="276" w:lineRule="auto"/>
      </w:pPr>
      <w:r>
        <w:t>Cela est confirmé par :</w:t>
      </w:r>
    </w:p>
    <w:p w14:paraId="0159EE74" w14:textId="6860E4B0" w:rsidR="002C434A" w:rsidRDefault="00640E92">
      <w:pPr>
        <w:ind w:left="360"/>
        <w:jc w:val="both"/>
        <w:spacing w:before="120" w:after="0" w:line="276" w:lineRule="auto"/>
      </w:pPr>
      <w:r>
        <w:lastRenderedPageBreak/>
        <w:t>le contrat Laterson Management Group Ltd / Standholm Products Inc. n° 1008-SP et la facture ;</w:t>
      </w:r>
      <w:r w:rsidR="00553238">
        <w:rPr>
          <w:rStyle w:val="affc"/>
        </w:rPr>
        <w:footnoteReference w:id="65"/>
      </w:r>
    </w:p>
    <w:p w14:paraId="721D8B17" w14:textId="42A4D8FC" w:rsidR="002C434A" w:rsidRDefault="00640E92">
      <w:pPr>
        <w:ind w:left="360"/>
        <w:jc w:val="both"/>
        <w:spacing w:before="120" w:after="0" w:line="276" w:lineRule="auto"/>
      </w:pPr>
      <w:r>
        <w:t>le contrat Transnet International Inc. / Laterson Management Group Ltd n° NV/5-11/2015 ;</w:t>
      </w:r>
      <w:r w:rsidR="00553238">
        <w:rPr>
          <w:rStyle w:val="affc"/>
        </w:rPr>
        <w:footnoteReference w:id="66"/>
      </w:r>
    </w:p>
    <w:p w14:paraId="726DDEF9" w14:textId="58E24FFE" w:rsidR="002C434A" w:rsidRDefault="00640E92">
      <w:pPr>
        <w:ind w:left="360"/>
        <w:jc w:val="both"/>
        <w:spacing w:before="120" w:after="0" w:line="276" w:lineRule="auto"/>
      </w:pPr>
      <w:r>
        <w:t>le contrat Laterson Management Group Ltd / Valantia Group Inc. n° 0110-VAL et les factures ;</w:t>
      </w:r>
      <w:r w:rsidR="00553238">
        <w:rPr>
          <w:rStyle w:val="affc"/>
        </w:rPr>
        <w:footnoteReference w:id="67"/>
      </w:r>
    </w:p>
    <w:p w14:paraId="7C0FF84E" w14:textId="68FA4EBB" w:rsidR="002C434A" w:rsidRDefault="00640E92">
      <w:pPr>
        <w:ind w:left="360"/>
        <w:jc w:val="both"/>
        <w:spacing w:before="120" w:after="0" w:line="276" w:lineRule="auto"/>
      </w:pPr>
      <w:r>
        <w:t>le contrat Laterson Management Group Ltd / Standholm Products Inc. n° MF/29-4/2015, la facture et le message SWIFT.</w:t>
      </w:r>
      <w:r w:rsidR="00553238">
        <w:rPr>
          <w:rStyle w:val="affc"/>
        </w:rPr>
        <w:footnoteReference w:id="68"/>
      </w:r>
    </w:p>
    <w:p w14:paraId="0BB5C04D" w14:textId="77777777" w:rsidR="002C434A" w:rsidRDefault="00640E92">
      <w:pPr>
        <w:jc w:val="both"/>
        <w:spacing w:before="120" w:after="0" w:line="276" w:lineRule="auto"/>
      </w:pPr>
      <w:r>
        <w:t>Par conséquent, les opérations commerciales connexes constituent une confirmation supplémentaire du fait que les sociétés étrangères participaient à une activité économique réelle et avaient un contexte commercial plus large.</w:t>
      </w:r>
    </w:p>
    <w:p w14:paraId="569EF61B" w14:textId="77777777" w:rsidR="002C434A" w:rsidRDefault="00640E92">
      <w:pPr>
        <w:jc w:val="both"/>
        <w:spacing w:before="120" w:after="0" w:line="276" w:lineRule="auto"/>
      </w:pPr>
      <w:r>
        <w:rPr>
          <w:b/>
        </w:rPr>
        <w:t>Certaines remarques formelles à l'égard des documents ne réfutent pas la réalité de l'ensemble du modèle d'agence.</w:t>
      </w:r>
    </w:p>
    <w:p w14:paraId="2B544320" w14:textId="77777777" w:rsidR="002C434A" w:rsidRDefault="00640E92">
      <w:pPr>
        <w:jc w:val="both"/>
        <w:spacing w:before="120" w:after="0" w:line="276" w:lineRule="auto"/>
      </w:pPr>
      <w:r>
        <w:t>Des questions particulières relatives à certains contrats, factures, montants ou déclarations de l'entreprise ne peuvent avoir d'importance que pour l'appréciation de l'opération concrète.</w:t>
      </w:r>
    </w:p>
    <w:p w14:paraId="5A9FE9E1" w14:textId="77777777" w:rsidR="002C434A" w:rsidRDefault="00640E92">
      <w:pPr>
        <w:jc w:val="both"/>
        <w:spacing w:before="120" w:after="0" w:line="276" w:lineRule="auto"/>
      </w:pPr>
      <w:r>
        <w:t>Elles ne réfutent pas l'ensemble du corpus de contrats, d'actes, de rapports, de factures, de messages SWIFT, de documents bancaires, de pièces KYC et de correspondance de conformité qui confirment la réalité du modèle d'agence.</w:t>
      </w:r>
    </w:p>
    <w:p w14:paraId="43DC52FA" w14:textId="77777777" w:rsidR="002C434A" w:rsidRDefault="00640E92">
      <w:pPr>
        <w:jc w:val="both"/>
        <w:spacing w:before="120" w:after="0" w:line="276" w:lineRule="auto"/>
      </w:pPr>
      <w:r>
        <w:t>Même l'épisode de Geoford LLP doit être apprécié séparément. Les documents concernant Geoford LLP comprennent :</w:t>
      </w:r>
    </w:p>
    <w:p w14:paraId="76680C6C" w14:textId="1C82AFC9" w:rsidR="002C434A" w:rsidRDefault="00640E92">
      <w:pPr>
        <w:ind w:left="360"/>
        <w:jc w:val="both"/>
        <w:spacing w:before="120" w:after="0" w:line="276" w:lineRule="auto"/>
      </w:pPr>
      <w:r>
        <w:t>le contrat n° ME/154/2014 entre ME et Geoford LLP portant sur des prestations de marketing ;</w:t>
      </w:r>
      <w:r w:rsidR="00553238">
        <w:rPr>
          <w:rStyle w:val="affc"/>
        </w:rPr>
        <w:footnoteReference w:id="69"/>
      </w:r>
    </w:p>
    <w:p w14:paraId="10B16FA4" w14:textId="7ED5E862" w:rsidR="002C434A" w:rsidRDefault="00640E92">
      <w:pPr>
        <w:ind w:left="360"/>
        <w:jc w:val="both"/>
        <w:spacing w:before="120" w:after="0" w:line="276" w:lineRule="auto"/>
      </w:pPr>
      <w:r>
        <w:t>le contrat n° ME/141/2014 entre Geoford LLP et Pitstone Trade LP portant sur la vente d'équipements ;</w:t>
      </w:r>
      <w:r w:rsidR="00553238">
        <w:rPr>
          <w:rStyle w:val="affc"/>
        </w:rPr>
        <w:footnoteReference w:id="70"/>
      </w:r>
    </w:p>
    <w:p w14:paraId="0214A958" w14:textId="07D16F63" w:rsidR="002C434A" w:rsidRDefault="00640E92">
      <w:pPr>
        <w:ind w:left="360"/>
        <w:jc w:val="both"/>
        <w:spacing w:before="120" w:after="0" w:line="276" w:lineRule="auto"/>
      </w:pPr>
      <w:r>
        <w:t>le procès-verbal de l'ONAF sur le contrat n° ME/141/2014 entre Geoford LLP et Pitstone Trade LP ;</w:t>
      </w:r>
      <w:r w:rsidR="00553238">
        <w:rPr>
          <w:rStyle w:val="affc"/>
        </w:rPr>
        <w:footnoteReference w:id="71"/>
      </w:r>
    </w:p>
    <w:p w14:paraId="6DB1425F" w14:textId="02C812B7" w:rsidR="002C434A" w:rsidRDefault="00640E92">
      <w:pPr>
        <w:ind w:left="360"/>
        <w:jc w:val="both"/>
        <w:spacing w:before="120" w:after="0" w:line="276" w:lineRule="auto"/>
      </w:pPr>
      <w:r>
        <w:t>le dossier de documents sur le contrat n° ME/141/2014 entre Geoford LLP et Pitstone Trade LP ;</w:t>
      </w:r>
      <w:r w:rsidR="00553238">
        <w:rPr>
          <w:rStyle w:val="affc"/>
        </w:rPr>
        <w:footnoteReference w:id="72"/>
      </w:r>
    </w:p>
    <w:p w14:paraId="444C3990" w14:textId="7A44A266" w:rsidR="002C434A" w:rsidRDefault="00640E92">
      <w:pPr>
        <w:ind w:left="360"/>
        <w:jc w:val="both"/>
        <w:spacing w:before="120" w:after="0" w:line="276" w:lineRule="auto"/>
      </w:pPr>
      <w:r>
        <w:t>le procès-verbal de l'ONAF sur les documents de Geoford LLP et les comptes de la société.</w:t>
      </w:r>
      <w:r w:rsidR="00553238">
        <w:rPr>
          <w:rStyle w:val="affc"/>
        </w:rPr>
        <w:footnoteReference w:id="73"/>
      </w:r>
    </w:p>
    <w:p w14:paraId="3B492E3E" w14:textId="77777777" w:rsidR="002C434A" w:rsidRDefault="00640E92">
      <w:pPr>
        <w:jc w:val="both"/>
        <w:spacing w:before="120" w:after="0" w:line="276" w:lineRule="auto"/>
      </w:pPr>
      <w:r>
        <w:t>L'absence de description détaillée des prestations dans certaines factures ne constitue pas une preuve autonome de la fictivité de l'opération. La facture par sa nature est un document de paiement et ne contient pas toujours le volume complet d'informations sur le travail exécuté.</w:t>
      </w:r>
    </w:p>
    <w:p w14:paraId="017FCDB4" w14:textId="77777777" w:rsidR="002C434A" w:rsidRDefault="00640E92">
      <w:pPr>
        <w:jc w:val="both"/>
        <w:spacing w:before="120" w:after="0" w:line="276" w:lineRule="auto"/>
      </w:pPr>
      <w:r>
        <w:t>L'existence de questions sur Geoford LLP ne peut pas s'étendre aux contrats de Duncan, Enfields, Fraser, Business House Helena, Aldon, Laterson et d'autres sociétés. Chaque contrat a son propre objet, ses documents, ses paiements et ses circonstances d'exécution.</w:t>
      </w:r>
    </w:p>
    <w:p w14:paraId="1F032951" w14:textId="77777777" w:rsidR="002C434A" w:rsidRDefault="00640E92">
      <w:pPr>
        <w:jc w:val="both"/>
        <w:spacing w:before="120" w:after="0" w:line="276" w:lineRule="auto"/>
      </w:pPr>
      <w:r>
        <w:rPr>
          <w:b/>
        </w:rPr>
        <w:lastRenderedPageBreak/>
        <w:t>Les pièces de l'enquête exigent la vérification de la qualité de la traduction et de l'exhaustivité de la correspondance.</w:t>
      </w:r>
    </w:p>
    <w:p w14:paraId="5754C15F" w14:textId="430B5DAD" w:rsidR="002C434A" w:rsidRDefault="00640E92">
      <w:pPr>
        <w:jc w:val="both"/>
        <w:spacing w:before="120" w:after="0" w:line="276" w:lineRule="auto"/>
      </w:pPr>
      <w:r>
        <w:t>Dans le PV ES55 a été constatée une divergence substantielle entre l'original du message et sa traduction. La phrase « Прилагаю контракт с Геофорд и счета на оплату » [« Je joins le contrat avec Geoford et les factures pour paiement »] a été traduite par « Le contrat est conclu avec Geoford et le plan de l'entreprise », ce qui ne correspond pas au contenu de l'original et modifie le sens du message.</w:t>
      </w:r>
      <w:r w:rsidR="00553238">
        <w:rPr>
          <w:rStyle w:val="affc"/>
        </w:rPr>
        <w:footnoteReference w:id="74"/>
      </w:r>
    </w:p>
    <w:p w14:paraId="698B40A6" w14:textId="77777777" w:rsidR="002C434A" w:rsidRDefault="00640E92">
      <w:pPr>
        <w:jc w:val="both"/>
        <w:spacing w:before="120" w:after="0" w:line="276" w:lineRule="auto"/>
      </w:pPr>
      <w:r>
        <w:t>En outre, au courriel était joint le contrat déjà signé avec Geoford LLP. Cela exige la vérification de la chaîne complète de la correspondance électronique, puisque le contrat signé pouvait avoir été préalablement négocié et formalisé avant l'envoi dudit courriel.</w:t>
      </w:r>
    </w:p>
    <w:p w14:paraId="1E3C0E74" w14:textId="61712759" w:rsidR="002C434A" w:rsidRDefault="00640E92">
      <w:pPr>
        <w:jc w:val="both"/>
        <w:spacing w:before="120" w:after="0" w:line="276" w:lineRule="auto"/>
      </w:pPr>
      <w:r>
        <w:t>Une autre divergence substantielle a été relevée dans le contrat n° ME/151/2014 entre ME et Vose Technical Systems Inc. Dans l'original anglais, Alexandre Loukianov est indiqué comme Manager. Dans la traduction française, sa fonction est rendue par Directeur. La traduction modifie la désignation du statut corporatif du signataire.</w:t>
      </w:r>
      <w:r w:rsidR="00553238">
        <w:rPr>
          <w:rStyle w:val="affc"/>
        </w:rPr>
        <w:footnoteReference w:id="75"/>
      </w:r>
    </w:p>
    <w:p w14:paraId="01032C12" w14:textId="0DAAD0DB" w:rsidR="002C434A" w:rsidRDefault="00640E92">
      <w:pPr>
        <w:jc w:val="both"/>
        <w:spacing w:before="120" w:after="0" w:line="276" w:lineRule="auto"/>
      </w:pPr>
      <w:r>
        <w:t>Exige séparément une vérification la qualité de la traduction des documents, puisque une partie des pièces a été analysée par l'enquête avec l'utilisation de la traduction automatique. Ainsi, dans le procès-verbal de l'ONAF sur les pièces reçues des organes ukrainiens, il est expressément indiqué que l'exploitation du fichier a été effectuée avec l'utilisation de Google Translate.</w:t>
      </w:r>
      <w:r w:rsidR="00553238">
        <w:rPr>
          <w:rStyle w:val="affc"/>
        </w:rPr>
        <w:footnoteReference w:id="76"/>
      </w:r>
    </w:p>
    <w:p w14:paraId="71BE5D4B" w14:textId="77777777" w:rsidR="002C434A" w:rsidRDefault="00640E92">
      <w:pPr>
        <w:jc w:val="both"/>
        <w:spacing w:before="120" w:after="0" w:line="276" w:lineRule="auto"/>
      </w:pPr>
      <w:r>
        <w:t>Dans de telles circonstances, les conclusions de l'enquête sur le contenu des contrats, l'objet des paiements, le rôle des parties et le sens économique des opérations ne peuvent pas se fonder exclusivement sur une traduction automatique ou une traduction sans confrontation avec le texte original.</w:t>
      </w:r>
    </w:p>
    <w:p w14:paraId="2F0DED46" w14:textId="77777777" w:rsidR="002C434A" w:rsidRDefault="00640E92">
      <w:pPr>
        <w:jc w:val="both"/>
        <w:spacing w:before="120" w:after="0" w:line="276" w:lineRule="auto"/>
      </w:pPr>
      <w:r>
        <w:rPr>
          <w:b/>
        </w:rPr>
        <w:t>L'absence d'une partie des documents a une explication objective.</w:t>
      </w:r>
    </w:p>
    <w:p w14:paraId="44547284" w14:textId="77777777" w:rsidR="002C434A" w:rsidRDefault="00640E92">
      <w:pPr>
        <w:jc w:val="both"/>
        <w:spacing w:before="120" w:after="0" w:line="276" w:lineRule="auto"/>
      </w:pPr>
      <w:r>
        <w:t>L'absence à la disposition de la défense du dossier complet de documents concernant certaines opérations est conditionnée par des circonstances objectives.</w:t>
      </w:r>
    </w:p>
    <w:p w14:paraId="76BA14DB" w14:textId="77777777" w:rsidR="002C434A" w:rsidRDefault="00640E92">
      <w:pPr>
        <w:jc w:val="both"/>
        <w:spacing w:before="120" w:after="0" w:line="276" w:lineRule="auto"/>
      </w:pPr>
      <w:r>
        <w:rPr>
          <w:b/>
        </w:rPr>
        <w:t>L'expiration des délais de conservation a conduit à la perte matérielle d'une partie des documents.</w:t>
      </w:r>
    </w:p>
    <w:p w14:paraId="5BBF0CC5" w14:textId="77777777" w:rsidR="002C434A" w:rsidRDefault="00640E92">
      <w:pPr>
        <w:jc w:val="both"/>
        <w:spacing w:before="120" w:after="0" w:line="276" w:lineRule="auto"/>
      </w:pPr>
      <w:r>
        <w:t>Les événements se rapportent principalement à la période 2010–2016. Les documents ont été créés il y a plus de 10 ans, alors que la législation ne prévoyait pas leur conservation à durée indéterminée.</w:t>
      </w:r>
    </w:p>
    <w:p w14:paraId="4B59BB1B" w14:textId="77777777" w:rsidR="002C434A" w:rsidRDefault="00640E92">
      <w:pPr>
        <w:jc w:val="both"/>
        <w:spacing w:before="120" w:after="0" w:line="276" w:lineRule="auto"/>
      </w:pPr>
      <w:r>
        <w:t>En Ukraine, le paragraphe 44.3 de l'article 44 du Code fiscal de l'Ukraine dans la rédaction en vigueur au cours de la période correspondante établissait un délai de conservation des documents comptables primaires, des registres de comptabilité, des états financiers et d'autres documents liés au calcul et au paiement des impôts d'une durée de 1095 jours.</w:t>
      </w:r>
    </w:p>
    <w:p w14:paraId="4C6BD6F8" w14:textId="77777777" w:rsidR="002C434A" w:rsidRDefault="00640E92">
      <w:pPr>
        <w:jc w:val="both"/>
        <w:spacing w:before="120" w:after="0" w:line="276" w:lineRule="auto"/>
      </w:pPr>
      <w:r>
        <w:t>Les délais de conservation étaient également déterminés par la Liste des documents types créés au cours de l'activité des organes de l'État, des organes d'autonomie locale et d'autres personnes morales, avec indication de leurs délais de conservation. Elle a été approuvée par l'arrêté du ministère de la Justice de l'Ukraine du 12 avril 2012 n° 578/5 (ci-après - la Liste n° 578/5).</w:t>
      </w:r>
    </w:p>
    <w:p w14:paraId="6022D1F7" w14:textId="77777777" w:rsidR="002C434A" w:rsidRDefault="00640E92">
      <w:pPr>
        <w:jc w:val="both"/>
        <w:spacing w:before="120" w:after="0" w:line="276" w:lineRule="auto"/>
      </w:pPr>
      <w:r>
        <w:t>Dans la rédaction en vigueur au cours de la période correspondante, la Liste n° 578/5 établissait un délai de conservation de trois ans pour les contrats économiques, les documents de réception des travaux exécutés, les documents comptables primaires et les registres de comptabilité.</w:t>
      </w:r>
    </w:p>
    <w:p w14:paraId="32DDE3D2" w14:textId="77777777" w:rsidR="002C434A" w:rsidRDefault="00640E92">
      <w:pPr>
        <w:jc w:val="both"/>
        <w:spacing w:before="120" w:after="0" w:line="276" w:lineRule="auto"/>
      </w:pPr>
      <w:r>
        <w:lastRenderedPageBreak/>
        <w:t>L'augmentation du délai de conservation à 5 ans, introduite en 2023, ne s'applique qu'aux documents dont le délai de conservation antérieur n'était pas encore expiré au moment de la modification de la législation. Elle n'a pas rétabli l'obligation de conservation des documents perdus après l'expiration du délai précédemment établi.</w:t>
      </w:r>
    </w:p>
    <w:p w14:paraId="0579C922" w14:textId="77777777" w:rsidR="002C434A" w:rsidRDefault="00640E92">
      <w:pPr>
        <w:jc w:val="both"/>
        <w:spacing w:before="120" w:after="0" w:line="276" w:lineRule="auto"/>
      </w:pPr>
      <w:r>
        <w:t>ME était enregistrée comme FZE dans la SAIF Zone - zone franche non financière des EAU.</w:t>
      </w:r>
    </w:p>
    <w:p w14:paraId="2C25C8A9" w14:textId="77777777" w:rsidR="002C434A" w:rsidRDefault="00640E92">
      <w:pPr>
        <w:jc w:val="both"/>
        <w:spacing w:before="120" w:after="0" w:line="276" w:lineRule="auto"/>
      </w:pPr>
      <w:r>
        <w:t>À son activité s'appliquait la loi fédérale des EAU n° 18 de 1993 sur les transactions commerciales (Federal Law No. 18 of 1993 on Commercial Transactions). Les articles 30–31 de ladite loi prévoyaient un délai de conservation de cinq ans :</w:t>
      </w:r>
    </w:p>
    <w:p w14:paraId="408FD4C9" w14:textId="77777777" w:rsidR="002C434A" w:rsidRDefault="00640E92">
      <w:pPr>
        <w:ind w:left="360"/>
        <w:jc w:val="both"/>
        <w:spacing w:before="120" w:after="0" w:line="276" w:lineRule="auto"/>
      </w:pPr>
      <w:r>
        <w:t>de la correspondance commerciale entrante et sortante ;</w:t>
      </w:r>
    </w:p>
    <w:p w14:paraId="68E2F13E" w14:textId="77777777" w:rsidR="002C434A" w:rsidRDefault="00640E92">
      <w:pPr>
        <w:ind w:left="360"/>
        <w:jc w:val="both"/>
        <w:spacing w:before="120" w:after="0" w:line="276" w:lineRule="auto"/>
      </w:pPr>
      <w:r>
        <w:t>des factures, d'autres documents liés à l'activité économique ;</w:t>
      </w:r>
    </w:p>
    <w:p w14:paraId="654DC9A3" w14:textId="77777777" w:rsidR="002C434A" w:rsidRDefault="00640E92">
      <w:pPr>
        <w:ind w:left="360"/>
        <w:jc w:val="both"/>
        <w:spacing w:before="120" w:after="0" w:line="276" w:lineRule="auto"/>
      </w:pPr>
      <w:r>
        <w:t>des livres de commerce et des documents confirmant les inscriptions qui y ont été portées.</w:t>
      </w:r>
    </w:p>
    <w:p w14:paraId="743D648D" w14:textId="77777777" w:rsidR="002C434A" w:rsidRDefault="00640E92">
      <w:pPr>
        <w:jc w:val="both"/>
        <w:spacing w:before="120" w:after="0" w:line="276" w:lineRule="auto"/>
      </w:pPr>
      <w:r>
        <w:t>La réglementation fédérale s'appliquait aux sociétés commerciales des zones franches non financières, y compris ME comme FZE dans la SAIF Zone.</w:t>
      </w:r>
    </w:p>
    <w:p w14:paraId="72477C77" w14:textId="77777777" w:rsidR="002C434A" w:rsidRDefault="00640E92">
      <w:pPr>
        <w:jc w:val="both"/>
        <w:spacing w:before="120" w:after="0" w:line="276" w:lineRule="auto"/>
      </w:pPr>
      <w:r>
        <w:t>Ainsi, au moment de la demande de communication des documents dans le cadre de l'enquête française, les délais de conservation d'une partie importante des documents relatifs aux opérations de 2010–2016 étaient expirés.</w:t>
      </w:r>
    </w:p>
    <w:p w14:paraId="3B7EDC30" w14:textId="77777777" w:rsidR="002C434A" w:rsidRDefault="00640E92">
      <w:pPr>
        <w:jc w:val="both"/>
        <w:spacing w:before="120" w:after="0" w:line="276" w:lineRule="auto"/>
      </w:pPr>
      <w:r>
        <w:t>Cela concerne certains contrats d'agence et de marketing et leurs avenants, actes et rapports sur les prestations exécutées, factures, documents comptables primaires et de règlement, registres de comptabilité, ainsi que la correspondance professionnelle et commerciale.</w:t>
      </w:r>
    </w:p>
    <w:p w14:paraId="0CD1FA21" w14:textId="77777777" w:rsidR="002C434A" w:rsidRDefault="00640E92">
      <w:pPr>
        <w:jc w:val="both"/>
        <w:spacing w:before="120" w:after="0" w:line="276" w:lineRule="auto"/>
      </w:pPr>
      <w:r>
        <w:t>Après l'expiration des délais obligatoires, les documents n'étaient pas conservés et ont été matériellement perdus. Reconstituer l'archive commerciale complète dix à seize ans plus tard est impossible.</w:t>
      </w:r>
    </w:p>
    <w:p w14:paraId="6E756B8C" w14:textId="77777777" w:rsidR="002C434A" w:rsidRDefault="00640E92">
      <w:pPr>
        <w:spacing w:before="120" w:after="0" w:line="276" w:lineRule="auto"/>
      </w:pPr>
      <w:r>
        <w:rPr>
          <w:b/>
        </w:rPr>
        <w:t>L'enquête est menée simultanément dans plusieurs juridictions.</w:t>
      </w:r>
    </w:p>
    <w:p w14:paraId="29ABD678" w14:textId="77777777" w:rsidR="002C434A" w:rsidRDefault="00640E92">
      <w:pPr>
        <w:jc w:val="both"/>
        <w:spacing w:before="120" w:after="0" w:line="276" w:lineRule="auto"/>
      </w:pPr>
      <w:r>
        <w:t>Les pièces relatives au volet d'agence sont rassemblées et examinées en Ukraine, en France et à Monaco. Cela complique objectivement l'établissement de la liste complète des documents, leur recherche et leur confrontation, puisque des pièces distinctes sont à la disposition de différents organes et sont incluses dans différentes procédures pénales.</w:t>
      </w:r>
    </w:p>
    <w:p w14:paraId="404F6FC4" w14:textId="77777777" w:rsidR="002C434A" w:rsidRDefault="00640E92">
      <w:pPr>
        <w:jc w:val="both"/>
        <w:spacing w:before="120" w:after="0" w:line="276" w:lineRule="auto"/>
      </w:pPr>
      <w:r>
        <w:rPr>
          <w:b/>
        </w:rPr>
        <w:t>Une part importante des documents se trouvait auprès de sociétés étrangères et de banques.</w:t>
      </w:r>
    </w:p>
    <w:p w14:paraId="427F988E" w14:textId="77777777" w:rsidR="002C434A" w:rsidRDefault="00640E92">
      <w:pPr>
        <w:jc w:val="both"/>
        <w:spacing w:before="120" w:after="0" w:line="276" w:lineRule="auto"/>
      </w:pPr>
      <w:r>
        <w:t>ME exerçait son activité aux EAU, et les sociétés agents et les banques qui les desservaient se trouvaient dans différentes juridictions. Les contrats correspondants, factures, rapports, la correspondance commerciale, les documents comptables et bancaires étaient établis et conservés au lieu d'activité de ces sociétés et établissements financiers.</w:t>
      </w:r>
    </w:p>
    <w:p w14:paraId="340C5E12" w14:textId="77777777" w:rsidR="002C434A" w:rsidRDefault="00640E92">
      <w:pPr>
        <w:jc w:val="both"/>
        <w:spacing w:before="120" w:after="0" w:line="276" w:lineRule="auto"/>
      </w:pPr>
      <w:r>
        <w:t>La défense n'est pas propriétaire des archives correspondantes et ne dispose pas de pouvoirs d'autorité pour exiger de manière contraignante des documents auprès de personnes morales et de banques étrangères.</w:t>
      </w:r>
    </w:p>
    <w:p w14:paraId="5981B440" w14:textId="77777777" w:rsidR="002C434A" w:rsidRDefault="00640E92">
      <w:pPr>
        <w:jc w:val="both"/>
        <w:spacing w:before="120" w:after="0" w:line="276" w:lineRule="auto"/>
      </w:pPr>
      <w:r>
        <w:t>L'obtention de tels documents dépend de leur conservation matérielle, de la coopération des détenteurs des archives et des organes compétents des États concernés.</w:t>
      </w:r>
    </w:p>
    <w:p w14:paraId="5FECE1AD" w14:textId="77777777" w:rsidR="002C434A" w:rsidRDefault="00640E92">
      <w:pPr>
        <w:jc w:val="both"/>
        <w:spacing w:before="120" w:after="0" w:line="276" w:lineRule="auto"/>
      </w:pPr>
      <w:r>
        <w:rPr>
          <w:b/>
        </w:rPr>
        <w:t>Une partie des originaux a été saisie par les organes d'enquête.</w:t>
      </w:r>
    </w:p>
    <w:p w14:paraId="1D9A8F4E" w14:textId="77777777" w:rsidR="002C434A" w:rsidRDefault="00640E92">
      <w:pPr>
        <w:jc w:val="both"/>
        <w:spacing w:before="120" w:after="0" w:line="276" w:lineRule="auto"/>
      </w:pPr>
      <w:r>
        <w:t>Lors de la perquisition du 20 juillet 2017 dans les coffres bancaires utilisés par AVB ont été saisis des originaux de documents et des supports électroniques d'information. Dès le moment de la saisie, ils se trouvaient hors du contrôle effectif d'AVB et de la défense.</w:t>
      </w:r>
    </w:p>
    <w:p w14:paraId="4D785490" w14:textId="77777777" w:rsidR="002C434A" w:rsidRDefault="00640E92">
      <w:pPr>
        <w:jc w:val="both"/>
        <w:spacing w:before="120" w:after="0" w:line="276" w:lineRule="auto"/>
      </w:pPr>
      <w:r>
        <w:lastRenderedPageBreak/>
        <w:t>Après le classement de la procédure pénale correspondante, ses pièces ont été transmises aux archives du Bureau de la sécurité économique de l'Ukraine. Lors de la prise de connaissance des pièces d'archives, il a été constaté que les originaux des documents saisis sont absents, et le lieu de leur conservation n'est pas établi.</w:t>
      </w:r>
    </w:p>
    <w:p w14:paraId="1C50FF1E" w14:textId="77777777" w:rsidR="002C434A" w:rsidRDefault="00640E92">
      <w:pPr>
        <w:jc w:val="both"/>
        <w:spacing w:before="120" w:after="0" w:line="276" w:lineRule="auto"/>
      </w:pPr>
      <w:r>
        <w:t>La perte des documents après leur saisie par les organes de l'État ne peut pas être imputée à la défense ni être utilisée contre AVB (Annexe 5).</w:t>
      </w:r>
    </w:p>
    <w:p w14:paraId="6A57DD77" w14:textId="77777777" w:rsidR="002C434A" w:rsidRDefault="00640E92">
      <w:pPr>
        <w:spacing w:before="120" w:after="0" w:line="276" w:lineRule="auto"/>
      </w:pPr>
      <w:r>
        <w:rPr>
          <w:b/>
        </w:rPr>
        <w:t>Une partie des documents a été détruite à la suite d'un tir de roquettes.</w:t>
      </w:r>
    </w:p>
    <w:p w14:paraId="47D80794" w14:textId="77777777" w:rsidR="002C434A" w:rsidRDefault="00640E92">
      <w:pPr>
        <w:jc w:val="both"/>
        <w:spacing w:before="120" w:after="0" w:line="276" w:lineRule="auto"/>
      </w:pPr>
      <w:r>
        <w:t>Le 25 mai 2022, à la suite d'un tir de roquettes sur la ville de Zaporijjia, a été détruit le bâtiment de JSC « Motor-Bank » dans lequel se trouvait le bureau d'AVB. À la suite de l'incendie ont été détruits le coffre-fort, les armoires, la table de travail avec la documentation qui s'y trouvait et d'autres biens non susceptibles d'être restaurés.</w:t>
      </w:r>
    </w:p>
    <w:p w14:paraId="45A7A171" w14:textId="77777777" w:rsidR="002C434A" w:rsidRDefault="00640E92">
      <w:pPr>
        <w:jc w:val="both"/>
        <w:spacing w:before="120" w:after="0" w:line="276" w:lineRule="auto"/>
      </w:pPr>
      <w:r>
        <w:t>Le fait de l'incendie est confirmé par l'acte du Service d'État de l'Ukraine pour les situations d'urgence. La destruction des biens et de la documentation est également confirmée par la lettre de JSC « Motor-Bank » du 6 août 2024. Sur le fait du tir de roquettes est menée une enquête préliminaire dans la procédure pénale n° 22022080000002455 du 22 décembre 2022 au titre de la partie 2 de l'art. 438 du Code pénal de l'Ukraine (Annexe 5).</w:t>
      </w:r>
    </w:p>
    <w:p w14:paraId="4AE93C60" w14:textId="77777777" w:rsidR="002C434A" w:rsidRDefault="00640E92">
      <w:pPr>
        <w:jc w:val="both"/>
        <w:spacing w:before="120" w:after="0" w:line="276" w:lineRule="auto"/>
      </w:pPr>
      <w:r>
        <w:t>Ainsi, l'absence d'une partie des documents a plusieurs causes objectives :</w:t>
      </w:r>
    </w:p>
    <w:p w14:paraId="70BDFDEC" w14:textId="77777777" w:rsidR="002C434A" w:rsidRDefault="00640E92">
      <w:pPr>
        <w:ind w:left="360"/>
        <w:jc w:val="both"/>
        <w:spacing w:before="120" w:after="0" w:line="276" w:lineRule="auto"/>
      </w:pPr>
      <w:r>
        <w:t>une partie des documents a été matériellement perdue après l'expiration des délais de conservation ;</w:t>
      </w:r>
    </w:p>
    <w:p w14:paraId="43C338C6" w14:textId="77777777" w:rsidR="002C434A" w:rsidRDefault="00640E92">
      <w:pPr>
        <w:ind w:left="360"/>
        <w:jc w:val="both"/>
        <w:spacing w:before="120" w:after="0" w:line="276" w:lineRule="auto"/>
      </w:pPr>
      <w:r>
        <w:t>d'autres documents se trouvent dans les archives de sociétés étrangères et de banques auxquelles la défense n'a pas accès ;</w:t>
      </w:r>
    </w:p>
    <w:p w14:paraId="3365EF74" w14:textId="77777777" w:rsidR="002C434A" w:rsidRDefault="00640E92">
      <w:pPr>
        <w:ind w:left="360"/>
        <w:jc w:val="both"/>
        <w:spacing w:before="120" w:after="0" w:line="276" w:lineRule="auto"/>
      </w:pPr>
      <w:r>
        <w:t>les originaux saisis ont été perdus par les organes d'État de l'Ukraine ;</w:t>
      </w:r>
    </w:p>
    <w:p w14:paraId="68A001B7" w14:textId="77777777" w:rsidR="002C434A" w:rsidRDefault="00640E92">
      <w:pPr>
        <w:ind w:left="360"/>
        <w:jc w:val="both"/>
        <w:spacing w:before="120" w:after="0" w:line="276" w:lineRule="auto"/>
      </w:pPr>
      <w:r>
        <w:t>une autre partie de la documentation a été détruite à la suite d'un tir de roquettes.</w:t>
      </w:r>
    </w:p>
    <w:p w14:paraId="5D6EBBBF" w14:textId="77777777" w:rsidR="002C434A" w:rsidRDefault="002C434A">
      <w:pPr>
        <w:jc w:val="both"/>
        <w:spacing w:before="120" w:after="0" w:line="276" w:lineRule="auto"/>
      </w:pPr>
    </w:p>
    <w:p w14:paraId="7C25684C" w14:textId="77777777" w:rsidR="002C434A" w:rsidRDefault="00640E92">
      <w:pPr>
        <w:spacing w:before="120" w:after="0" w:line="276" w:lineRule="auto"/>
      </w:pPr>
      <w:r>
        <w:rPr>
          <w:b/>
        </w:rPr>
        <w:t>Conclusions générales.</w:t>
      </w:r>
    </w:p>
    <w:p w14:paraId="421F2A9D" w14:textId="77777777" w:rsidR="002C434A" w:rsidRDefault="00640E92">
      <w:pPr>
        <w:jc w:val="both"/>
        <w:spacing w:before="120" w:after="0" w:line="276" w:lineRule="auto"/>
      </w:pPr>
      <w:r>
        <w:rPr>
          <w:b/>
        </w:rPr>
        <w:t>Le modèle d'agence de MS / ME a une explication commerciale et correspond à la pratique habituelle de l'industrie aéronautique et de construction mécanique.</w:t>
      </w:r>
    </w:p>
    <w:p w14:paraId="40B29E61" w14:textId="77777777" w:rsidR="002C434A" w:rsidRDefault="00640E92">
      <w:pPr>
        <w:ind w:left="360"/>
        <w:jc w:val="both"/>
        <w:spacing w:before="120" w:after="0" w:line="276" w:lineRule="auto"/>
      </w:pPr>
      <w:r>
        <w:t>Les contrats d'agence, de marketing et de commission ne constituaient pas une construction autonome et isolée. Ils étaient l'un des éléments de l'activité commerciale internationale plus large de MS et de ME.</w:t>
      </w:r>
    </w:p>
    <w:p w14:paraId="1F72C4CF" w14:textId="77777777" w:rsidR="002C434A" w:rsidRDefault="00640E92">
      <w:pPr>
        <w:ind w:left="360"/>
        <w:jc w:val="both"/>
        <w:spacing w:before="120" w:after="0" w:line="276" w:lineRule="auto"/>
      </w:pPr>
      <w:r>
        <w:t>L'activité commerciale de MS ne se réduisait pas aux contrats d'agence. Elle comprenait la fabrication, la livraison, la réparation, la maintenance technique, l'accompagnement de l'exploitation et la promotion des produits aéronautiques sur les marchés étrangers.</w:t>
      </w:r>
    </w:p>
    <w:p w14:paraId="10F4FD50" w14:textId="77777777" w:rsidR="002C434A" w:rsidRDefault="00640E92">
      <w:pPr>
        <w:ind w:left="360"/>
        <w:jc w:val="both"/>
        <w:spacing w:before="120" w:after="0" w:line="276" w:lineRule="auto"/>
      </w:pPr>
      <w:r>
        <w:t>MS utilisait systématiquement le modèle d'agence dans l'activité commerciale internationale. Cela est confirmé tant par les pièces de l'enquête française que par la jurisprudence relative aux litiges fiscaux de MS.</w:t>
      </w:r>
    </w:p>
    <w:p w14:paraId="21A69DD0" w14:textId="77777777" w:rsidR="002C434A" w:rsidRDefault="00640E92">
      <w:pPr>
        <w:jc w:val="both"/>
        <w:spacing w:before="120" w:after="0" w:line="276" w:lineRule="auto"/>
      </w:pPr>
      <w:r>
        <w:rPr>
          <w:b/>
        </w:rPr>
        <w:t>ME exerçait une activité commerciale autonome dans le secteur aéronautique.</w:t>
      </w:r>
    </w:p>
    <w:p w14:paraId="1000ED70" w14:textId="77777777" w:rsidR="002C434A" w:rsidRDefault="00640E92">
      <w:pPr>
        <w:ind w:left="360"/>
        <w:jc w:val="both"/>
        <w:spacing w:before="120" w:after="0" w:line="276" w:lineRule="auto"/>
      </w:pPr>
      <w:r>
        <w:t>Dans les pièces se trouve un ensemble de documents confirmant l'existence de contrats d'agence et de marketing, de factures, d'actes, de paiements, de coordonnées bancaires, de messages SWIFT, de documents KYC et de correspondance de conformité.</w:t>
      </w:r>
    </w:p>
    <w:p w14:paraId="0EA18FFF" w14:textId="77777777" w:rsidR="002C434A" w:rsidRDefault="00640E92">
      <w:pPr>
        <w:jc w:val="both"/>
        <w:spacing w:before="120" w:after="0" w:line="276" w:lineRule="auto"/>
      </w:pPr>
      <w:r>
        <w:rPr>
          <w:b/>
        </w:rPr>
        <w:t>La nullité du contrat et la fictivité de son exécution ne se présument pas. La nullité est établie selon le droit applicable, et la fictivité de l'exécution est prouvée séparément pour le contrat concret, le paiement et l'opération.</w:t>
      </w:r>
    </w:p>
    <w:p w14:paraId="671DE6DA" w14:textId="77777777" w:rsidR="002C434A" w:rsidRDefault="00640E92">
      <w:pPr>
        <w:jc w:val="both"/>
        <w:spacing w:before="120" w:after="0" w:line="276" w:lineRule="auto"/>
      </w:pPr>
      <w:r>
        <w:rPr>
          <w:b/>
        </w:rPr>
        <w:lastRenderedPageBreak/>
        <w:t>AVB exerçait des fonctions d'agence et était connu sur le marché aéronautique international.</w:t>
      </w:r>
    </w:p>
    <w:p w14:paraId="012E2266" w14:textId="77777777" w:rsidR="002C434A" w:rsidRDefault="00640E92">
      <w:pPr>
        <w:ind w:left="360"/>
        <w:jc w:val="both"/>
        <w:spacing w:before="120" w:after="0" w:line="276" w:lineRule="auto"/>
      </w:pPr>
      <w:r>
        <w:t>Sur certains épisodes, il existe des dossiers complets de documents. En particulier, pour Duncan Promotions Ltd existent le contrat d'agence, l'acte de travaux exécutés, le taux de commission, le montant de la rémunération et les coordonnées bancaires.</w:t>
      </w:r>
    </w:p>
    <w:p w14:paraId="61EA576E" w14:textId="77777777" w:rsidR="002C434A" w:rsidRDefault="00640E92">
      <w:pPr>
        <w:ind w:left="360"/>
        <w:jc w:val="both"/>
        <w:spacing w:before="120" w:after="0" w:line="276" w:lineRule="auto"/>
      </w:pPr>
      <w:r>
        <w:t>Le montant de la rémunération d'agence était lié à des contrats concrets, à des marchés, au volume de prestations et au résultat commercial.</w:t>
      </w:r>
    </w:p>
    <w:p w14:paraId="7628EF86" w14:textId="77777777" w:rsidR="002C434A" w:rsidRDefault="00640E92">
      <w:pPr>
        <w:ind w:left="360"/>
        <w:jc w:val="both"/>
        <w:spacing w:before="120" w:after="0" w:line="276" w:lineRule="auto"/>
      </w:pPr>
      <w:r>
        <w:t>Les paiements au titre des contrats d'agence et de commission étaient effectués ouvertement par le biais du système bancaire et étaient accompagnés de factures, de coordonnées bancaires, de messages SWIFT, de documents KYC et de correspondance de conformité.</w:t>
      </w:r>
    </w:p>
    <w:p w14:paraId="1B79E7CF" w14:textId="77777777" w:rsidR="002C434A" w:rsidRDefault="00640E92">
      <w:pPr>
        <w:jc w:val="both"/>
        <w:spacing w:before="120" w:after="0" w:line="276" w:lineRule="auto"/>
      </w:pPr>
      <w:r>
        <w:rPr>
          <w:b/>
        </w:rPr>
        <w:t>Le risque principal est lié au fait que sur certains contrats, l'enquête relève le caractère général des prestations, l'absence de précision, les divergences entre les contrats, les factures, les montants, les signataires et les paiements.</w:t>
      </w:r>
    </w:p>
    <w:p w14:paraId="2EBEBB0E" w14:textId="77777777" w:rsidR="002C434A" w:rsidRDefault="00640E92">
      <w:pPr>
        <w:ind w:left="360"/>
        <w:jc w:val="both"/>
        <w:spacing w:before="120" w:after="0" w:line="276" w:lineRule="auto"/>
      </w:pPr>
      <w:r>
        <w:t>Le plus risqué est l'épisode de Geoford LLP, dans la mesure où l'enquête le considère comme un exemple d'une possible formalisation de documents post factum.</w:t>
      </w:r>
    </w:p>
    <w:p w14:paraId="661ACD2B" w14:textId="77777777" w:rsidR="002C434A" w:rsidRDefault="00640E92">
      <w:pPr>
        <w:ind w:left="360"/>
        <w:jc w:val="both"/>
        <w:spacing w:before="120" w:after="0" w:line="276" w:lineRule="auto"/>
      </w:pPr>
      <w:r>
        <w:t>En même temps, ce risque concerne un épisode concret et ne peut pas s'étendre automatiquement à l'ensemble du modèle d'agence.</w:t>
      </w:r>
    </w:p>
    <w:p w14:paraId="2D3DD698" w14:textId="77777777" w:rsidR="002C434A" w:rsidRDefault="00640E92">
      <w:pPr>
        <w:ind w:left="360"/>
        <w:jc w:val="both"/>
        <w:spacing w:before="120" w:after="0" w:line="276" w:lineRule="auto"/>
      </w:pPr>
      <w:r>
        <w:t>Le lien d'AVB avec certaines sociétés étrangères n'annule pas le fait de l'existence de contrats, d'actes, de factures, de paiements et de documents bancaires relatifs aux opérations correspondantes.</w:t>
      </w:r>
    </w:p>
    <w:p w14:paraId="385E553E" w14:textId="77777777" w:rsidR="002C434A" w:rsidRDefault="00640E92">
      <w:pPr>
        <w:ind w:left="360"/>
        <w:jc w:val="both"/>
        <w:spacing w:before="120" w:after="0" w:line="276" w:lineRule="auto"/>
      </w:pPr>
      <w:r>
        <w:t>Les opérations commerciales connexes entre les sociétés ont un contexte commercial autonome, toutefois l'enquête peut les utiliser comme un élément de la thèse sur le mouvement de fonds à travers des structures liées.</w:t>
      </w:r>
    </w:p>
    <w:p w14:paraId="15F90511" w14:textId="77777777" w:rsidR="002C434A" w:rsidRDefault="00640E92">
      <w:pPr>
        <w:jc w:val="both"/>
        <w:spacing w:before="120" w:after="0" w:line="276" w:lineRule="auto"/>
      </w:pPr>
      <w:r>
        <w:rPr>
          <w:b/>
        </w:rPr>
        <w:t>La qualité de la traduction et l'exhaustivité de la correspondance électronique exigent une vérification distincte, dans la mesure où une partie des pièces a été analysée à l'aide de Google Translate, et certaines conclusions de l'enquête sont fondées sur une chaîne incomplète de courriels.</w:t>
      </w:r>
    </w:p>
    <w:p w14:paraId="0D4412FA" w14:textId="77777777" w:rsidR="002C434A" w:rsidRDefault="00640E92">
      <w:pPr>
        <w:jc w:val="both"/>
        <w:spacing w:before="120" w:after="0" w:line="276" w:lineRule="auto"/>
      </w:pPr>
      <w:r>
        <w:rPr>
          <w:b/>
        </w:rPr>
        <w:t>L'absence d'une partie des documents anciens a une explication objective.</w:t>
      </w:r>
    </w:p>
    <w:p w14:paraId="0798C456" w14:textId="77777777" w:rsidR="002C434A" w:rsidRDefault="00640E92">
      <w:pPr>
        <w:jc w:val="both"/>
        <w:spacing w:before="120" w:after="0" w:line="276" w:lineRule="auto"/>
      </w:pPr>
      <w:r>
        <w:t>La conclusion sur la fictivité de l'ensemble du modèle d'agence n'est pas corroborée par les pièces dans leur ensemble. Chaque contrat, paiement et société fait l'objet d'une appréciation individuelle.</w:t>
      </w:r>
    </w:p>
    <w:p w14:paraId="0AB0BD9C" w14:textId="77777777" w:rsidR="002C434A" w:rsidRDefault="002C434A">
      <w:pPr>
        <w:jc w:val="both"/>
        <w:spacing w:before="120" w:after="0" w:line="276" w:lineRule="auto"/>
      </w:pPr>
    </w:p>
    <w:sectPr w:rsidR="002C434A" w:rsidSect="00034616">
      <w:headerReference w:type="default" r:id="rId10"/>
      <w:footerReference w:type="default" r:id="rId11"/>
      <w:pgSz w:w="11906" w:h="16838"/>
      <w:pgMar w:top="1134" w:right="1134" w:bottom="1134" w:left="21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5767" w14:textId="77777777" w:rsidR="00640E92" w:rsidRDefault="00640E92" w:rsidP="00553238">
      <w:pPr>
        <w:spacing w:after="0" w:line="240" w:lineRule="auto"/>
      </w:pPr>
      <w:r>
        <w:separator/>
      </w:r>
    </w:p>
  </w:endnote>
  <w:endnote w:type="continuationSeparator" w:id="0">
    <w:p w14:paraId="7C9DD211" w14:textId="77777777" w:rsidR="00640E92" w:rsidRDefault="00640E92" w:rsidP="00553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9B07D" w14:textId="77777777" w:rsidR="00640E92" w:rsidRDefault="00640E92" w:rsidP="00553238">
      <w:pPr>
        <w:spacing w:after="0" w:line="240" w:lineRule="auto"/>
      </w:pPr>
      <w:r>
        <w:separator/>
      </w:r>
    </w:p>
  </w:footnote>
  <w:footnote w:type="continuationSeparator" w:id="0">
    <w:p w14:paraId="1BC361C2" w14:textId="77777777" w:rsidR="00640E92" w:rsidRDefault="00640E92" w:rsidP="00553238">
      <w:pPr>
        <w:spacing w:after="0" w:line="240" w:lineRule="auto"/>
      </w:pPr>
      <w:r>
        <w:continuationSeparator/>
      </w:r>
    </w:p>
  </w:footnote>
  <w:footnote w:id="1">
    <w:p w14:paraId="7D0D49F2" w14:textId="3B62D3BD" w:rsidR="00553238" w:rsidRPr="00553238" w:rsidRDefault="00553238">
      <w:pPr>
        <w:pStyle w:val="affa"/>
        <w:rPr>
          <w:lang w:val="uk-UA"/>
        </w:rPr>
      </w:pPr>
      <w:r>
        <w:rPr>
          <w:rStyle w:val="affc"/>
        </w:rPr>
        <w:footnoteRef/>
      </w:r>
      <w:r>
        <w:t xml:space="preserve"> T4_PGS_PV119</w:t>
      </w:r>
    </w:p>
  </w:footnote>
  <w:footnote w:id="2">
    <w:p w14:paraId="19D8FD37" w14:textId="23AB419D" w:rsidR="00553238" w:rsidRPr="00553238" w:rsidRDefault="00553238">
      <w:pPr>
        <w:pStyle w:val="affa"/>
        <w:rPr>
          <w:lang w:val="uk-UA"/>
        </w:rPr>
      </w:pPr>
      <w:r>
        <w:rPr>
          <w:rStyle w:val="affc"/>
        </w:rPr>
        <w:footnoteRef/>
      </w:r>
      <w:r>
        <w:t xml:space="preserve"> EXH_T3_PV071_01</w:t>
      </w:r>
    </w:p>
  </w:footnote>
  <w:footnote w:id="3">
    <w:p w14:paraId="48F67BA3" w14:textId="449FEE90" w:rsidR="00553238" w:rsidRPr="00553238" w:rsidRDefault="00553238">
      <w:pPr>
        <w:pStyle w:val="affa"/>
        <w:rPr>
          <w:lang w:val="uk-UA"/>
        </w:rPr>
      </w:pPr>
      <w:r>
        <w:rPr>
          <w:rStyle w:val="affc"/>
        </w:rPr>
        <w:footnoteRef/>
      </w:r>
      <w:r>
        <w:t xml:space="preserve"> T3_PGS_PV116</w:t>
      </w:r>
    </w:p>
  </w:footnote>
  <w:footnote w:id="4">
    <w:p w14:paraId="1AFF4905" w14:textId="0C20B5F3" w:rsidR="00553238" w:rsidRPr="00553238" w:rsidRDefault="00553238">
      <w:pPr>
        <w:pStyle w:val="affa"/>
        <w:rPr>
          <w:lang w:val="uk-UA"/>
        </w:rPr>
      </w:pPr>
      <w:r>
        <w:rPr>
          <w:rStyle w:val="affc"/>
        </w:rPr>
        <w:footnoteRef/>
      </w:r>
      <w:r>
        <w:t xml:space="preserve"> EXH_T4_PV140_08</w:t>
      </w:r>
    </w:p>
  </w:footnote>
  <w:footnote w:id="5">
    <w:p w14:paraId="79B5F644" w14:textId="6C3F68DF" w:rsidR="00553238" w:rsidRPr="00553238" w:rsidRDefault="00553238">
      <w:pPr>
        <w:pStyle w:val="affa"/>
        <w:rPr>
          <w:lang w:val="uk-UA"/>
        </w:rPr>
      </w:pPr>
      <w:r>
        <w:rPr>
          <w:rStyle w:val="affc"/>
        </w:rPr>
        <w:footnoteRef/>
      </w:r>
      <w:r>
        <w:t xml:space="preserve"> T4_PGS_PV130</w:t>
      </w:r>
    </w:p>
  </w:footnote>
  <w:footnote w:id="6">
    <w:p w14:paraId="7D8FD8EB" w14:textId="39035C22" w:rsidR="00553238" w:rsidRPr="00553238" w:rsidRDefault="00553238">
      <w:pPr>
        <w:pStyle w:val="affa"/>
        <w:rPr>
          <w:lang w:val="uk-UA"/>
        </w:rPr>
      </w:pPr>
      <w:r>
        <w:rPr>
          <w:rStyle w:val="affc"/>
        </w:rPr>
        <w:footnoteRef/>
      </w:r>
      <w:r>
        <w:t xml:space="preserve"> EXH_T4_PV128_02</w:t>
      </w:r>
    </w:p>
  </w:footnote>
  <w:footnote w:id="7">
    <w:p w14:paraId="42762CF9" w14:textId="2F0BDC56" w:rsidR="00553238" w:rsidRPr="00553238" w:rsidRDefault="00553238">
      <w:pPr>
        <w:pStyle w:val="affa"/>
        <w:rPr>
          <w:lang w:val="uk-UA"/>
        </w:rPr>
      </w:pPr>
      <w:r>
        <w:rPr>
          <w:rStyle w:val="affc"/>
        </w:rPr>
        <w:footnoteRef/>
      </w:r>
      <w:r>
        <w:t xml:space="preserve"> EXH_T4_PV128_03</w:t>
      </w:r>
    </w:p>
  </w:footnote>
  <w:footnote w:id="8">
    <w:p w14:paraId="1ACBE0F6" w14:textId="7A045656" w:rsidR="00553238" w:rsidRPr="00553238" w:rsidRDefault="00553238">
      <w:pPr>
        <w:pStyle w:val="affa"/>
        <w:rPr>
          <w:lang w:val="uk-UA"/>
        </w:rPr>
      </w:pPr>
      <w:r>
        <w:rPr>
          <w:rStyle w:val="affc"/>
        </w:rPr>
        <w:footnoteRef/>
      </w:r>
      <w:r>
        <w:t xml:space="preserve"> EXH_T4_PV140_06</w:t>
      </w:r>
    </w:p>
  </w:footnote>
  <w:footnote w:id="9">
    <w:p w14:paraId="76144479" w14:textId="0788B469" w:rsidR="00553238" w:rsidRPr="00553238" w:rsidRDefault="00553238">
      <w:pPr>
        <w:pStyle w:val="affa"/>
        <w:rPr>
          <w:lang w:val="uk-UA"/>
        </w:rPr>
      </w:pPr>
      <w:r>
        <w:rPr>
          <w:rStyle w:val="affc"/>
        </w:rPr>
        <w:footnoteRef/>
      </w:r>
      <w:r>
        <w:t xml:space="preserve"> T4_PGS_PV127</w:t>
      </w:r>
    </w:p>
  </w:footnote>
  <w:footnote w:id="10">
    <w:p w14:paraId="4E15A47D" w14:textId="43B691E0" w:rsidR="00553238" w:rsidRPr="00553238" w:rsidRDefault="00553238">
      <w:pPr>
        <w:pStyle w:val="affa"/>
        <w:rPr>
          <w:lang w:val="uk-UA"/>
        </w:rPr>
      </w:pPr>
      <w:r>
        <w:rPr>
          <w:rStyle w:val="affc"/>
        </w:rPr>
        <w:footnoteRef/>
      </w:r>
      <w:r>
        <w:t xml:space="preserve"> EXH_T4_PV127_01</w:t>
      </w:r>
    </w:p>
  </w:footnote>
  <w:footnote w:id="11">
    <w:p w14:paraId="7E95460A" w14:textId="639D40A0" w:rsidR="00553238" w:rsidRPr="00553238" w:rsidRDefault="00553238">
      <w:pPr>
        <w:pStyle w:val="affa"/>
        <w:rPr>
          <w:lang w:val="uk-UA"/>
        </w:rPr>
      </w:pPr>
      <w:r>
        <w:rPr>
          <w:rStyle w:val="affc"/>
        </w:rPr>
        <w:footnoteRef/>
      </w:r>
      <w:r>
        <w:t xml:space="preserve"> EXH_T3_PV082_04</w:t>
      </w:r>
    </w:p>
  </w:footnote>
  <w:footnote w:id="12">
    <w:p w14:paraId="015051BB" w14:textId="7BF7A79D" w:rsidR="00553238" w:rsidRPr="00553238" w:rsidRDefault="00553238">
      <w:pPr>
        <w:pStyle w:val="affa"/>
        <w:rPr>
          <w:lang w:val="uk-UA"/>
        </w:rPr>
      </w:pPr>
      <w:r>
        <w:rPr>
          <w:rStyle w:val="affc"/>
        </w:rPr>
        <w:footnoteRef/>
      </w:r>
      <w:r>
        <w:t xml:space="preserve"> T4_PGS_PV135</w:t>
      </w:r>
    </w:p>
  </w:footnote>
  <w:footnote w:id="13">
    <w:p w14:paraId="2924D445" w14:textId="3671E4E9" w:rsidR="00553238" w:rsidRPr="00553238" w:rsidRDefault="00553238">
      <w:pPr>
        <w:pStyle w:val="affa"/>
        <w:rPr>
          <w:lang w:val="uk-UA"/>
        </w:rPr>
      </w:pPr>
      <w:r>
        <w:rPr>
          <w:rStyle w:val="affc"/>
        </w:rPr>
        <w:footnoteRef/>
      </w:r>
      <w:r>
        <w:t xml:space="preserve"> EXH_T4_PV140_04</w:t>
      </w:r>
    </w:p>
  </w:footnote>
  <w:footnote w:id="14">
    <w:p w14:paraId="04825104" w14:textId="395ADD0C" w:rsidR="00553238" w:rsidRPr="00553238" w:rsidRDefault="00553238">
      <w:pPr>
        <w:pStyle w:val="affa"/>
        <w:rPr>
          <w:lang w:val="uk-UA"/>
        </w:rPr>
      </w:pPr>
      <w:r>
        <w:rPr>
          <w:rStyle w:val="affc"/>
        </w:rPr>
        <w:footnoteRef/>
      </w:r>
      <w:r>
        <w:t xml:space="preserve"> T3_PGS_PV082</w:t>
      </w:r>
    </w:p>
  </w:footnote>
  <w:footnote w:id="15">
    <w:p w14:paraId="1AD93CBB" w14:textId="52DA7D82" w:rsidR="00553238" w:rsidRPr="00553238" w:rsidRDefault="00553238">
      <w:pPr>
        <w:pStyle w:val="affa"/>
        <w:rPr>
          <w:lang w:val="uk-UA"/>
        </w:rPr>
      </w:pPr>
      <w:r>
        <w:rPr>
          <w:rStyle w:val="affc"/>
        </w:rPr>
        <w:footnoteRef/>
      </w:r>
      <w:r>
        <w:t xml:space="preserve"> EXH_T3_PV082_05</w:t>
      </w:r>
    </w:p>
  </w:footnote>
  <w:footnote w:id="16">
    <w:p w14:paraId="5FD45445" w14:textId="5EDA79CA" w:rsidR="00553238" w:rsidRPr="00553238" w:rsidRDefault="00553238">
      <w:pPr>
        <w:pStyle w:val="affa"/>
        <w:rPr>
          <w:lang w:val="uk-UA"/>
        </w:rPr>
      </w:pPr>
      <w:r>
        <w:rPr>
          <w:rStyle w:val="affc"/>
        </w:rPr>
        <w:footnoteRef/>
      </w:r>
      <w:r>
        <w:t xml:space="preserve"> EXH_T3_PV082_06</w:t>
      </w:r>
    </w:p>
  </w:footnote>
  <w:footnote w:id="17">
    <w:p w14:paraId="6C687E2E" w14:textId="61CE5757" w:rsidR="00553238" w:rsidRPr="00553238" w:rsidRDefault="00553238">
      <w:pPr>
        <w:pStyle w:val="affa"/>
        <w:rPr>
          <w:lang w:val="uk-UA"/>
        </w:rPr>
      </w:pPr>
      <w:r>
        <w:rPr>
          <w:rStyle w:val="affc"/>
        </w:rPr>
        <w:footnoteRef/>
      </w:r>
      <w:r>
        <w:t xml:space="preserve"> EXH_T3_PV082_07</w:t>
      </w:r>
    </w:p>
  </w:footnote>
  <w:footnote w:id="18">
    <w:p w14:paraId="58DBA5E6" w14:textId="108350A7" w:rsidR="00553238" w:rsidRPr="00553238" w:rsidRDefault="00553238">
      <w:pPr>
        <w:pStyle w:val="affa"/>
        <w:rPr>
          <w:lang w:val="uk-UA"/>
        </w:rPr>
      </w:pPr>
      <w:r>
        <w:rPr>
          <w:rStyle w:val="affc"/>
        </w:rPr>
        <w:footnoteRef/>
      </w:r>
      <w:r>
        <w:t xml:space="preserve"> EXH_T3_PV082_01</w:t>
      </w:r>
    </w:p>
  </w:footnote>
  <w:footnote w:id="19">
    <w:p w14:paraId="2AFCDA12" w14:textId="61F8094B" w:rsidR="00553238" w:rsidRPr="00553238" w:rsidRDefault="00553238">
      <w:pPr>
        <w:pStyle w:val="affa"/>
        <w:rPr>
          <w:lang w:val="uk-UA"/>
        </w:rPr>
      </w:pPr>
      <w:r>
        <w:rPr>
          <w:rStyle w:val="affc"/>
        </w:rPr>
        <w:footnoteRef/>
      </w:r>
      <w:r>
        <w:t xml:space="preserve"> EXH_T3_PV082_08</w:t>
      </w:r>
    </w:p>
  </w:footnote>
  <w:footnote w:id="20">
    <w:p w14:paraId="4B981BE2" w14:textId="0FAF2749" w:rsidR="00553238" w:rsidRPr="00553238" w:rsidRDefault="00553238">
      <w:pPr>
        <w:pStyle w:val="affa"/>
        <w:rPr>
          <w:lang w:val="uk-UA"/>
        </w:rPr>
      </w:pPr>
      <w:r>
        <w:rPr>
          <w:rStyle w:val="affc"/>
        </w:rPr>
        <w:footnoteRef/>
      </w:r>
      <w:r>
        <w:t xml:space="preserve"> EXH_T4_PV140_08</w:t>
      </w:r>
    </w:p>
  </w:footnote>
  <w:footnote w:id="21">
    <w:p w14:paraId="312E9D13" w14:textId="78401BB6" w:rsidR="00553238" w:rsidRPr="00553238" w:rsidRDefault="00553238">
      <w:pPr>
        <w:pStyle w:val="affa"/>
        <w:rPr>
          <w:lang w:val="uk-UA"/>
        </w:rPr>
      </w:pPr>
      <w:r>
        <w:rPr>
          <w:rStyle w:val="affc"/>
        </w:rPr>
        <w:footnoteRef/>
      </w:r>
      <w:r>
        <w:t xml:space="preserve"> EXH_T3_PV082_03</w:t>
      </w:r>
    </w:p>
  </w:footnote>
  <w:footnote w:id="22">
    <w:p w14:paraId="541856EB" w14:textId="200E6593" w:rsidR="00553238" w:rsidRPr="00553238" w:rsidRDefault="00553238">
      <w:pPr>
        <w:pStyle w:val="affa"/>
        <w:rPr>
          <w:lang w:val="uk-UA"/>
        </w:rPr>
      </w:pPr>
      <w:r>
        <w:rPr>
          <w:rStyle w:val="affc"/>
        </w:rPr>
        <w:footnoteRef/>
      </w:r>
      <w:r>
        <w:t xml:space="preserve"> T4_PGS_PV126</w:t>
      </w:r>
    </w:p>
  </w:footnote>
  <w:footnote w:id="23">
    <w:p w14:paraId="45F2E0A7" w14:textId="18B16288" w:rsidR="00553238" w:rsidRPr="00553238" w:rsidRDefault="00553238">
      <w:pPr>
        <w:pStyle w:val="affa"/>
        <w:rPr>
          <w:lang w:val="uk-UA"/>
        </w:rPr>
      </w:pPr>
      <w:r>
        <w:rPr>
          <w:rStyle w:val="affc"/>
        </w:rPr>
        <w:footnoteRef/>
      </w:r>
      <w:r>
        <w:t xml:space="preserve"> EXH_T4_PV126_01</w:t>
      </w:r>
    </w:p>
  </w:footnote>
  <w:footnote w:id="24">
    <w:p w14:paraId="582C4A5B" w14:textId="0C5F5D70" w:rsidR="00553238" w:rsidRPr="00553238" w:rsidRDefault="00553238">
      <w:pPr>
        <w:pStyle w:val="affa"/>
        <w:rPr>
          <w:lang w:val="uk-UA"/>
        </w:rPr>
      </w:pPr>
      <w:r>
        <w:rPr>
          <w:rStyle w:val="affc"/>
        </w:rPr>
        <w:footnoteRef/>
      </w:r>
      <w:r>
        <w:t xml:space="preserve"> T4_PGS_PV135</w:t>
      </w:r>
    </w:p>
  </w:footnote>
  <w:footnote w:id="25">
    <w:p w14:paraId="5569DD0F" w14:textId="55AE3DD0" w:rsidR="00553238" w:rsidRPr="00553238" w:rsidRDefault="00553238">
      <w:pPr>
        <w:pStyle w:val="affa"/>
        <w:rPr>
          <w:lang w:val="uk-UA"/>
        </w:rPr>
      </w:pPr>
      <w:r>
        <w:rPr>
          <w:rStyle w:val="affc"/>
        </w:rPr>
        <w:footnoteRef/>
      </w:r>
      <w:r>
        <w:t xml:space="preserve"> EXH_T4_PV135_01</w:t>
      </w:r>
    </w:p>
  </w:footnote>
  <w:footnote w:id="26">
    <w:p w14:paraId="71721746" w14:textId="297D766F" w:rsidR="00553238" w:rsidRPr="00553238" w:rsidRDefault="00553238">
      <w:pPr>
        <w:pStyle w:val="affa"/>
        <w:rPr>
          <w:lang w:val="uk-UA"/>
        </w:rPr>
      </w:pPr>
      <w:r>
        <w:rPr>
          <w:rStyle w:val="affc"/>
        </w:rPr>
        <w:footnoteRef/>
      </w:r>
      <w:r>
        <w:t xml:space="preserve"> T4_PGS_PV131</w:t>
      </w:r>
    </w:p>
  </w:footnote>
  <w:footnote w:id="27">
    <w:p w14:paraId="0F613682" w14:textId="7E286212" w:rsidR="00553238" w:rsidRPr="00553238" w:rsidRDefault="00553238">
      <w:pPr>
        <w:pStyle w:val="affa"/>
        <w:rPr>
          <w:lang w:val="uk-UA"/>
        </w:rPr>
      </w:pPr>
      <w:r>
        <w:rPr>
          <w:rStyle w:val="affc"/>
        </w:rPr>
        <w:footnoteRef/>
      </w:r>
      <w:r>
        <w:t xml:space="preserve"> T4_PGS_PV132</w:t>
      </w:r>
    </w:p>
  </w:footnote>
  <w:footnote w:id="28">
    <w:p w14:paraId="404F4715" w14:textId="798E4B98" w:rsidR="00553238" w:rsidRPr="00553238" w:rsidRDefault="00553238">
      <w:pPr>
        <w:pStyle w:val="affa"/>
        <w:rPr>
          <w:lang w:val="uk-UA"/>
        </w:rPr>
      </w:pPr>
      <w:r>
        <w:rPr>
          <w:rStyle w:val="affc"/>
        </w:rPr>
        <w:footnoteRef/>
      </w:r>
      <w:r>
        <w:t xml:space="preserve"> T4_PGS_PV129</w:t>
      </w:r>
    </w:p>
  </w:footnote>
  <w:footnote w:id="29">
    <w:p w14:paraId="3B3C7DB5" w14:textId="64A5E4F2" w:rsidR="00553238" w:rsidRPr="00553238" w:rsidRDefault="00553238">
      <w:pPr>
        <w:pStyle w:val="affa"/>
        <w:rPr>
          <w:lang w:val="uk-UA"/>
        </w:rPr>
      </w:pPr>
      <w:r>
        <w:rPr>
          <w:rStyle w:val="affc"/>
        </w:rPr>
        <w:footnoteRef/>
      </w:r>
      <w:r>
        <w:t xml:space="preserve"> EXH_T4_PV128_01</w:t>
      </w:r>
    </w:p>
  </w:footnote>
  <w:footnote w:id="30">
    <w:p w14:paraId="630E3D55" w14:textId="7161D2A3" w:rsidR="00553238" w:rsidRPr="00553238" w:rsidRDefault="00553238">
      <w:pPr>
        <w:pStyle w:val="affa"/>
        <w:rPr>
          <w:lang w:val="uk-UA"/>
        </w:rPr>
      </w:pPr>
      <w:r>
        <w:rPr>
          <w:rStyle w:val="affc"/>
        </w:rPr>
        <w:footnoteRef/>
      </w:r>
      <w:r>
        <w:t xml:space="preserve"> T4_PGS_PV136</w:t>
      </w:r>
    </w:p>
  </w:footnote>
  <w:footnote w:id="31">
    <w:p w14:paraId="7076844E" w14:textId="672F6980" w:rsidR="00553238" w:rsidRPr="00553238" w:rsidRDefault="00553238">
      <w:pPr>
        <w:pStyle w:val="affa"/>
        <w:rPr>
          <w:lang w:val="uk-UA"/>
        </w:rPr>
      </w:pPr>
      <w:r>
        <w:rPr>
          <w:rStyle w:val="affc"/>
        </w:rPr>
        <w:footnoteRef/>
      </w:r>
      <w:r>
        <w:t xml:space="preserve"> EXH_T4_PV136_01</w:t>
      </w:r>
    </w:p>
  </w:footnote>
  <w:footnote w:id="32">
    <w:p w14:paraId="18093676" w14:textId="1D88761C" w:rsidR="00553238" w:rsidRPr="00553238" w:rsidRDefault="00553238">
      <w:pPr>
        <w:pStyle w:val="affa"/>
        <w:rPr>
          <w:lang w:val="uk-UA"/>
        </w:rPr>
      </w:pPr>
      <w:r>
        <w:rPr>
          <w:rStyle w:val="affc"/>
        </w:rPr>
        <w:footnoteRef/>
      </w:r>
      <w:r>
        <w:t xml:space="preserve"> EXH_T3_PV082_02 et EXH_T3_PV082_12</w:t>
      </w:r>
    </w:p>
  </w:footnote>
  <w:footnote w:id="33">
    <w:p w14:paraId="6AF9CF71" w14:textId="13DBA2A5" w:rsidR="00553238" w:rsidRPr="00553238" w:rsidRDefault="00553238">
      <w:pPr>
        <w:pStyle w:val="affa"/>
        <w:rPr>
          <w:lang w:val="uk-UA"/>
        </w:rPr>
      </w:pPr>
      <w:r>
        <w:rPr>
          <w:rStyle w:val="affc"/>
        </w:rPr>
        <w:footnoteRef/>
      </w:r>
      <w:r>
        <w:t xml:space="preserve"> EXH_T3_PV071_01</w:t>
      </w:r>
    </w:p>
  </w:footnote>
  <w:footnote w:id="34">
    <w:p w14:paraId="2428CBF0" w14:textId="2D7C3D1E" w:rsidR="00553238" w:rsidRPr="00553238" w:rsidRDefault="00553238">
      <w:pPr>
        <w:pStyle w:val="affa"/>
        <w:rPr>
          <w:lang w:val="uk-UA"/>
        </w:rPr>
      </w:pPr>
      <w:r>
        <w:rPr>
          <w:rStyle w:val="affc"/>
        </w:rPr>
        <w:footnoteRef/>
      </w:r>
      <w:r>
        <w:t xml:space="preserve"> T4_PGS_PV119</w:t>
      </w:r>
    </w:p>
  </w:footnote>
  <w:footnote w:id="35">
    <w:p w14:paraId="72079046" w14:textId="4B16A1CB" w:rsidR="00553238" w:rsidRPr="00553238" w:rsidRDefault="00553238">
      <w:pPr>
        <w:pStyle w:val="affa"/>
        <w:rPr>
          <w:lang w:val="uk-UA"/>
        </w:rPr>
      </w:pPr>
      <w:r>
        <w:rPr>
          <w:rStyle w:val="affc"/>
        </w:rPr>
        <w:footnoteRef/>
      </w:r>
      <w:r>
        <w:t xml:space="preserve"> T3_PGS_PV071</w:t>
      </w:r>
    </w:p>
  </w:footnote>
  <w:footnote w:id="36">
    <w:p w14:paraId="31052BC8" w14:textId="1DC22470" w:rsidR="00553238" w:rsidRPr="00553238" w:rsidRDefault="00553238">
      <w:pPr>
        <w:pStyle w:val="affa"/>
        <w:rPr>
          <w:lang w:val="uk-UA"/>
        </w:rPr>
      </w:pPr>
      <w:r>
        <w:rPr>
          <w:rStyle w:val="affc"/>
        </w:rPr>
        <w:footnoteRef/>
      </w:r>
      <w:r>
        <w:t xml:space="preserve"> EXH_T4_PV131_01</w:t>
      </w:r>
    </w:p>
  </w:footnote>
  <w:footnote w:id="37">
    <w:p w14:paraId="63980867" w14:textId="29C458E7" w:rsidR="00553238" w:rsidRPr="00553238" w:rsidRDefault="00553238">
      <w:pPr>
        <w:pStyle w:val="affa"/>
        <w:rPr>
          <w:lang w:val="uk-UA"/>
        </w:rPr>
      </w:pPr>
      <w:r>
        <w:rPr>
          <w:rStyle w:val="affc"/>
        </w:rPr>
        <w:footnoteRef/>
      </w:r>
      <w:r>
        <w:t xml:space="preserve"> EXH_T4_PV132_01</w:t>
      </w:r>
    </w:p>
  </w:footnote>
  <w:footnote w:id="38">
    <w:p w14:paraId="6E4781C0" w14:textId="00677DB3" w:rsidR="00553238" w:rsidRPr="00553238" w:rsidRDefault="00553238">
      <w:pPr>
        <w:pStyle w:val="affa"/>
        <w:rPr>
          <w:lang w:val="uk-UA"/>
        </w:rPr>
      </w:pPr>
      <w:r>
        <w:rPr>
          <w:rStyle w:val="affc"/>
        </w:rPr>
        <w:footnoteRef/>
      </w:r>
      <w:r>
        <w:t xml:space="preserve"> EXH_T3_5_PV050_02</w:t>
      </w:r>
    </w:p>
  </w:footnote>
  <w:footnote w:id="39">
    <w:p w14:paraId="4F7755BB" w14:textId="40C9C295" w:rsidR="00553238" w:rsidRPr="00553238" w:rsidRDefault="00553238">
      <w:pPr>
        <w:pStyle w:val="affa"/>
        <w:rPr>
          <w:lang w:val="uk-UA"/>
        </w:rPr>
      </w:pPr>
      <w:r>
        <w:rPr>
          <w:rStyle w:val="affc"/>
        </w:rPr>
        <w:footnoteRef/>
      </w:r>
      <w:r>
        <w:t xml:space="preserve"> EXH_T3_5_PV050_03</w:t>
      </w:r>
    </w:p>
  </w:footnote>
  <w:footnote w:id="40">
    <w:p w14:paraId="3E0600E4" w14:textId="30E247A1" w:rsidR="00553238" w:rsidRPr="00553238" w:rsidRDefault="00553238">
      <w:pPr>
        <w:pStyle w:val="affa"/>
        <w:rPr>
          <w:lang w:val="uk-UA"/>
        </w:rPr>
      </w:pPr>
      <w:r>
        <w:rPr>
          <w:rStyle w:val="affc"/>
        </w:rPr>
        <w:footnoteRef/>
      </w:r>
      <w:r>
        <w:t xml:space="preserve"> EXH_T3_5_PV077_03</w:t>
      </w:r>
    </w:p>
  </w:footnote>
  <w:footnote w:id="41">
    <w:p w14:paraId="5E7F5043" w14:textId="65FCAAA0" w:rsidR="00553238" w:rsidRPr="00553238" w:rsidRDefault="00553238">
      <w:pPr>
        <w:pStyle w:val="affa"/>
        <w:rPr>
          <w:lang w:val="uk-UA"/>
        </w:rPr>
      </w:pPr>
      <w:r>
        <w:rPr>
          <w:rStyle w:val="affc"/>
        </w:rPr>
        <w:footnoteRef/>
      </w:r>
      <w:r>
        <w:t xml:space="preserve"> EXH_T3_5_PV077_01</w:t>
      </w:r>
    </w:p>
  </w:footnote>
  <w:footnote w:id="42">
    <w:p w14:paraId="65292F79" w14:textId="0BEC587F" w:rsidR="00553238" w:rsidRPr="00553238" w:rsidRDefault="00553238">
      <w:pPr>
        <w:pStyle w:val="affa"/>
        <w:rPr>
          <w:lang w:val="uk-UA"/>
        </w:rPr>
      </w:pPr>
      <w:r>
        <w:rPr>
          <w:rStyle w:val="affc"/>
        </w:rPr>
        <w:footnoteRef/>
      </w:r>
      <w:r>
        <w:t xml:space="preserve"> EXH_T3_5_PV050_06</w:t>
      </w:r>
    </w:p>
  </w:footnote>
  <w:footnote w:id="43">
    <w:p w14:paraId="2DD6959F" w14:textId="7347BBA7" w:rsidR="00553238" w:rsidRPr="00553238" w:rsidRDefault="00553238">
      <w:pPr>
        <w:pStyle w:val="affa"/>
        <w:rPr>
          <w:lang w:val="uk-UA"/>
        </w:rPr>
      </w:pPr>
      <w:r>
        <w:rPr>
          <w:rStyle w:val="affc"/>
        </w:rPr>
        <w:footnoteRef/>
      </w:r>
      <w:r>
        <w:t xml:space="preserve"> EXH_T3_5_PV050_01</w:t>
      </w:r>
    </w:p>
  </w:footnote>
  <w:footnote w:id="44">
    <w:p w14:paraId="18CD8E93" w14:textId="70DEB4FD" w:rsidR="00553238" w:rsidRPr="00553238" w:rsidRDefault="00553238">
      <w:pPr>
        <w:pStyle w:val="affa"/>
        <w:rPr>
          <w:lang w:val="uk-UA"/>
        </w:rPr>
      </w:pPr>
      <w:r>
        <w:rPr>
          <w:rStyle w:val="affc"/>
        </w:rPr>
        <w:footnoteRef/>
      </w:r>
      <w:r>
        <w:t xml:space="preserve"> EXH_T3_5_PV077_01</w:t>
      </w:r>
    </w:p>
  </w:footnote>
  <w:footnote w:id="45">
    <w:p w14:paraId="5D6DE9EC" w14:textId="6A912AC2" w:rsidR="00553238" w:rsidRPr="00553238" w:rsidRDefault="00553238">
      <w:pPr>
        <w:pStyle w:val="affa"/>
        <w:rPr>
          <w:lang w:val="uk-UA"/>
        </w:rPr>
      </w:pPr>
      <w:r>
        <w:rPr>
          <w:rStyle w:val="affc"/>
        </w:rPr>
        <w:footnoteRef/>
      </w:r>
      <w:r>
        <w:t xml:space="preserve"> EXH_T4_PV140_04</w:t>
      </w:r>
    </w:p>
  </w:footnote>
  <w:footnote w:id="46">
    <w:p w14:paraId="633789FD" w14:textId="6656144A" w:rsidR="00553238" w:rsidRPr="00553238" w:rsidRDefault="00553238">
      <w:pPr>
        <w:pStyle w:val="affa"/>
        <w:rPr>
          <w:lang w:val="uk-UA"/>
        </w:rPr>
      </w:pPr>
      <w:r>
        <w:rPr>
          <w:rStyle w:val="affc"/>
        </w:rPr>
        <w:footnoteRef/>
      </w:r>
      <w:r>
        <w:t xml:space="preserve"> EXH_T4_PV140_10</w:t>
      </w:r>
    </w:p>
  </w:footnote>
  <w:footnote w:id="47">
    <w:p w14:paraId="53A085B2" w14:textId="0F5683EF" w:rsidR="00553238" w:rsidRPr="00553238" w:rsidRDefault="00553238">
      <w:pPr>
        <w:pStyle w:val="affa"/>
        <w:rPr>
          <w:lang w:val="uk-UA"/>
        </w:rPr>
      </w:pPr>
      <w:r>
        <w:rPr>
          <w:rStyle w:val="affc"/>
        </w:rPr>
        <w:footnoteRef/>
      </w:r>
      <w:r>
        <w:t xml:space="preserve"> T4_PGS_PV144</w:t>
      </w:r>
    </w:p>
  </w:footnote>
  <w:footnote w:id="48">
    <w:p w14:paraId="58D9C947" w14:textId="33AFA0C3" w:rsidR="00553238" w:rsidRPr="00553238" w:rsidRDefault="00553238">
      <w:pPr>
        <w:pStyle w:val="affa"/>
        <w:rPr>
          <w:lang w:val="uk-UA"/>
        </w:rPr>
      </w:pPr>
      <w:r>
        <w:rPr>
          <w:rStyle w:val="affc"/>
        </w:rPr>
        <w:footnoteRef/>
      </w:r>
      <w:r>
        <w:t xml:space="preserve"> EXH_T4_PV161_11</w:t>
      </w:r>
    </w:p>
  </w:footnote>
  <w:footnote w:id="49">
    <w:p w14:paraId="5681CA7C" w14:textId="2C654B4D" w:rsidR="00553238" w:rsidRPr="00553238" w:rsidRDefault="00553238">
      <w:pPr>
        <w:pStyle w:val="affa"/>
        <w:rPr>
          <w:lang w:val="uk-UA"/>
        </w:rPr>
      </w:pPr>
      <w:r>
        <w:rPr>
          <w:rStyle w:val="affc"/>
        </w:rPr>
        <w:footnoteRef/>
      </w:r>
      <w:r>
        <w:t xml:space="preserve"> EXH_T3_PV082_15</w:t>
      </w:r>
    </w:p>
  </w:footnote>
  <w:footnote w:id="50">
    <w:p w14:paraId="270BE07E" w14:textId="25D48BCD" w:rsidR="00553238" w:rsidRPr="00553238" w:rsidRDefault="00553238">
      <w:pPr>
        <w:pStyle w:val="affa"/>
        <w:rPr>
          <w:lang w:val="uk-UA"/>
        </w:rPr>
      </w:pPr>
      <w:r>
        <w:rPr>
          <w:rStyle w:val="affc"/>
        </w:rPr>
        <w:footnoteRef/>
      </w:r>
      <w:r>
        <w:t xml:space="preserve"> EXH_T3_PV082_03</w:t>
      </w:r>
    </w:p>
  </w:footnote>
  <w:footnote w:id="51">
    <w:p w14:paraId="44F67D49" w14:textId="0F138896" w:rsidR="00553238" w:rsidRPr="00553238" w:rsidRDefault="00553238">
      <w:pPr>
        <w:pStyle w:val="affa"/>
        <w:rPr>
          <w:lang w:val="uk-UA"/>
        </w:rPr>
      </w:pPr>
      <w:r>
        <w:rPr>
          <w:rStyle w:val="affc"/>
        </w:rPr>
        <w:footnoteRef/>
      </w:r>
      <w:r>
        <w:t xml:space="preserve"> EXH_T3_PV082_05</w:t>
      </w:r>
    </w:p>
  </w:footnote>
  <w:footnote w:id="52">
    <w:p w14:paraId="69E0B734" w14:textId="32CB1CED" w:rsidR="00553238" w:rsidRPr="00553238" w:rsidRDefault="00553238">
      <w:pPr>
        <w:pStyle w:val="affa"/>
        <w:rPr>
          <w:lang w:val="uk-UA"/>
        </w:rPr>
      </w:pPr>
      <w:r>
        <w:rPr>
          <w:rStyle w:val="affc"/>
        </w:rPr>
        <w:footnoteRef/>
      </w:r>
      <w:r>
        <w:t xml:space="preserve"> EXH_T3_PV082_06</w:t>
      </w:r>
    </w:p>
  </w:footnote>
  <w:footnote w:id="53">
    <w:p w14:paraId="60234B79" w14:textId="4754D423" w:rsidR="00553238" w:rsidRPr="00553238" w:rsidRDefault="00553238">
      <w:pPr>
        <w:pStyle w:val="affa"/>
        <w:rPr>
          <w:lang w:val="uk-UA"/>
        </w:rPr>
      </w:pPr>
      <w:r>
        <w:rPr>
          <w:rStyle w:val="affc"/>
        </w:rPr>
        <w:footnoteRef/>
      </w:r>
      <w:r>
        <w:t xml:space="preserve"> EXH_T3_PV082_07</w:t>
      </w:r>
    </w:p>
  </w:footnote>
  <w:footnote w:id="54">
    <w:p w14:paraId="6C4C9D4F" w14:textId="471A25DD" w:rsidR="00553238" w:rsidRPr="00553238" w:rsidRDefault="00553238">
      <w:pPr>
        <w:pStyle w:val="affa"/>
        <w:rPr>
          <w:lang w:val="uk-UA"/>
        </w:rPr>
      </w:pPr>
      <w:r>
        <w:rPr>
          <w:rStyle w:val="affc"/>
        </w:rPr>
        <w:footnoteRef/>
      </w:r>
      <w:r>
        <w:t xml:space="preserve"> EXH_T4_PV140_08</w:t>
      </w:r>
    </w:p>
  </w:footnote>
  <w:footnote w:id="55">
    <w:p w14:paraId="0BEAE597" w14:textId="4F8BC5BD" w:rsidR="00553238" w:rsidRPr="00553238" w:rsidRDefault="00553238">
      <w:pPr>
        <w:pStyle w:val="affa"/>
        <w:rPr>
          <w:lang w:val="uk-UA"/>
        </w:rPr>
      </w:pPr>
      <w:r>
        <w:rPr>
          <w:rStyle w:val="affc"/>
        </w:rPr>
        <w:footnoteRef/>
      </w:r>
      <w:r>
        <w:t xml:space="preserve"> EXH_T3_PV082_07</w:t>
      </w:r>
    </w:p>
  </w:footnote>
  <w:footnote w:id="56">
    <w:p w14:paraId="3818EEA9" w14:textId="2BB6FAD8" w:rsidR="00553238" w:rsidRPr="00553238" w:rsidRDefault="00553238">
      <w:pPr>
        <w:pStyle w:val="affa"/>
        <w:rPr>
          <w:lang w:val="uk-UA"/>
        </w:rPr>
      </w:pPr>
      <w:r>
        <w:rPr>
          <w:rStyle w:val="affc"/>
        </w:rPr>
        <w:footnoteRef/>
      </w:r>
      <w:r>
        <w:t xml:space="preserve"> EXH_T4_PV161_11; EXH_T4_PV161_06</w:t>
      </w:r>
    </w:p>
  </w:footnote>
  <w:footnote w:id="57">
    <w:p w14:paraId="1D606969" w14:textId="287A99A3" w:rsidR="00553238" w:rsidRPr="00553238" w:rsidRDefault="00553238">
      <w:pPr>
        <w:pStyle w:val="affa"/>
        <w:rPr>
          <w:lang w:val="uk-UA"/>
        </w:rPr>
      </w:pPr>
      <w:r>
        <w:rPr>
          <w:rStyle w:val="affc"/>
        </w:rPr>
        <w:footnoteRef/>
      </w:r>
      <w:r>
        <w:t xml:space="preserve"> EXH_T4_PV128_02</w:t>
      </w:r>
    </w:p>
  </w:footnote>
  <w:footnote w:id="58">
    <w:p w14:paraId="6FBD14E3" w14:textId="7D06EB51" w:rsidR="00553238" w:rsidRPr="00553238" w:rsidRDefault="00553238">
      <w:pPr>
        <w:pStyle w:val="affa"/>
        <w:rPr>
          <w:lang w:val="uk-UA"/>
        </w:rPr>
      </w:pPr>
      <w:r>
        <w:rPr>
          <w:rStyle w:val="affc"/>
        </w:rPr>
        <w:footnoteRef/>
      </w:r>
      <w:r>
        <w:t xml:space="preserve"> EXH_T4_PV128_03</w:t>
      </w:r>
    </w:p>
  </w:footnote>
  <w:footnote w:id="59">
    <w:p w14:paraId="47AB8027" w14:textId="4E567C84" w:rsidR="00553238" w:rsidRPr="00553238" w:rsidRDefault="00553238">
      <w:pPr>
        <w:pStyle w:val="affa"/>
        <w:rPr>
          <w:lang w:val="uk-UA"/>
        </w:rPr>
      </w:pPr>
      <w:r>
        <w:rPr>
          <w:rStyle w:val="affc"/>
        </w:rPr>
        <w:footnoteRef/>
      </w:r>
      <w:r>
        <w:t xml:space="preserve"> EXH_T4_PV127_01</w:t>
      </w:r>
    </w:p>
  </w:footnote>
  <w:footnote w:id="60">
    <w:p w14:paraId="2EE04517" w14:textId="57429A06" w:rsidR="00553238" w:rsidRPr="00553238" w:rsidRDefault="00553238">
      <w:pPr>
        <w:pStyle w:val="affa"/>
        <w:rPr>
          <w:lang w:val="uk-UA"/>
        </w:rPr>
      </w:pPr>
      <w:r>
        <w:rPr>
          <w:rStyle w:val="affc"/>
        </w:rPr>
        <w:footnoteRef/>
      </w:r>
      <w:r>
        <w:t xml:space="preserve"> EXH_T4_PV140_09</w:t>
      </w:r>
    </w:p>
  </w:footnote>
  <w:footnote w:id="61">
    <w:p w14:paraId="0EB4598D" w14:textId="7B1D4650" w:rsidR="00553238" w:rsidRPr="00553238" w:rsidRDefault="00553238">
      <w:pPr>
        <w:pStyle w:val="affa"/>
        <w:rPr>
          <w:lang w:val="uk-UA"/>
        </w:rPr>
      </w:pPr>
      <w:r>
        <w:rPr>
          <w:rStyle w:val="affc"/>
        </w:rPr>
        <w:footnoteRef/>
      </w:r>
      <w:r>
        <w:t xml:space="preserve"> EXH_T4_PV132_01</w:t>
      </w:r>
    </w:p>
  </w:footnote>
  <w:footnote w:id="62">
    <w:p w14:paraId="26FBBD21" w14:textId="7E7B8473" w:rsidR="00553238" w:rsidRPr="00553238" w:rsidRDefault="00553238">
      <w:pPr>
        <w:pStyle w:val="affa"/>
        <w:rPr>
          <w:lang w:val="uk-UA"/>
        </w:rPr>
      </w:pPr>
      <w:r>
        <w:rPr>
          <w:rStyle w:val="affc"/>
        </w:rPr>
        <w:footnoteRef/>
      </w:r>
      <w:r>
        <w:t xml:space="preserve"> EXH_T4_PV161_11</w:t>
      </w:r>
    </w:p>
  </w:footnote>
  <w:footnote w:id="63">
    <w:p w14:paraId="6A6D63D0" w14:textId="32FE5D25" w:rsidR="00553238" w:rsidRPr="00553238" w:rsidRDefault="00553238">
      <w:pPr>
        <w:pStyle w:val="affa"/>
        <w:rPr>
          <w:lang w:val="uk-UA"/>
        </w:rPr>
      </w:pPr>
      <w:r>
        <w:rPr>
          <w:rStyle w:val="affc"/>
        </w:rPr>
        <w:footnoteRef/>
      </w:r>
      <w:r>
        <w:t xml:space="preserve"> T4_PGS_PV130</w:t>
      </w:r>
    </w:p>
  </w:footnote>
  <w:footnote w:id="64">
    <w:p w14:paraId="60AA7E58" w14:textId="793459AB" w:rsidR="00553238" w:rsidRPr="00553238" w:rsidRDefault="00553238">
      <w:pPr>
        <w:pStyle w:val="affa"/>
        <w:rPr>
          <w:lang w:val="uk-UA"/>
        </w:rPr>
      </w:pPr>
      <w:r>
        <w:rPr>
          <w:rStyle w:val="affc"/>
        </w:rPr>
        <w:footnoteRef/>
      </w:r>
      <w:r>
        <w:t xml:space="preserve"> EXH_T4_PV128_02; EXH_T4_PV128_03; EXH_T4_PV127_01; EXH_T4_PV140_09</w:t>
      </w:r>
    </w:p>
  </w:footnote>
  <w:footnote w:id="65">
    <w:p w14:paraId="68321F9B" w14:textId="39E288BF" w:rsidR="00553238" w:rsidRPr="00553238" w:rsidRDefault="00553238">
      <w:pPr>
        <w:pStyle w:val="affa"/>
        <w:rPr>
          <w:lang w:val="uk-UA"/>
        </w:rPr>
      </w:pPr>
      <w:r>
        <w:rPr>
          <w:rStyle w:val="affc"/>
        </w:rPr>
        <w:footnoteRef/>
      </w:r>
      <w:r>
        <w:t xml:space="preserve"> EXH_T3_PV082_02</w:t>
      </w:r>
    </w:p>
  </w:footnote>
  <w:footnote w:id="66">
    <w:p w14:paraId="49250DF8" w14:textId="3AB1FA76" w:rsidR="00553238" w:rsidRPr="00553238" w:rsidRDefault="00553238">
      <w:pPr>
        <w:pStyle w:val="affa"/>
        <w:rPr>
          <w:lang w:val="uk-UA"/>
        </w:rPr>
      </w:pPr>
      <w:r>
        <w:rPr>
          <w:rStyle w:val="affc"/>
        </w:rPr>
        <w:footnoteRef/>
      </w:r>
      <w:r>
        <w:t xml:space="preserve"> EXH_T4_PV128_01</w:t>
      </w:r>
    </w:p>
  </w:footnote>
  <w:footnote w:id="67">
    <w:p w14:paraId="7D2395EA" w14:textId="38ECA171" w:rsidR="00553238" w:rsidRPr="00553238" w:rsidRDefault="00553238">
      <w:pPr>
        <w:pStyle w:val="affa"/>
        <w:rPr>
          <w:lang w:val="uk-UA"/>
        </w:rPr>
      </w:pPr>
      <w:r>
        <w:rPr>
          <w:rStyle w:val="affc"/>
        </w:rPr>
        <w:footnoteRef/>
      </w:r>
      <w:r>
        <w:t xml:space="preserve"> EXH_T4_PV136_01 et EXH_T3_PV082_12</w:t>
      </w:r>
    </w:p>
  </w:footnote>
  <w:footnote w:id="68">
    <w:p w14:paraId="65AB3E3D" w14:textId="23695F88" w:rsidR="00553238" w:rsidRPr="00553238" w:rsidRDefault="00553238">
      <w:pPr>
        <w:pStyle w:val="affa"/>
        <w:rPr>
          <w:lang w:val="uk-UA"/>
        </w:rPr>
      </w:pPr>
      <w:r>
        <w:rPr>
          <w:rStyle w:val="affc"/>
        </w:rPr>
        <w:footnoteRef/>
      </w:r>
      <w:r>
        <w:t xml:space="preserve"> EXH_T3_PV082_13</w:t>
      </w:r>
    </w:p>
  </w:footnote>
  <w:footnote w:id="69">
    <w:p w14:paraId="5C9E8184" w14:textId="51BA9AEA" w:rsidR="00553238" w:rsidRPr="00553238" w:rsidRDefault="00553238">
      <w:pPr>
        <w:pStyle w:val="affa"/>
        <w:rPr>
          <w:lang w:val="uk-UA"/>
        </w:rPr>
      </w:pPr>
      <w:r>
        <w:rPr>
          <w:rStyle w:val="affc"/>
        </w:rPr>
        <w:footnoteRef/>
      </w:r>
      <w:r>
        <w:t xml:space="preserve"> EXH_T3_PV082_08</w:t>
      </w:r>
    </w:p>
  </w:footnote>
  <w:footnote w:id="70">
    <w:p w14:paraId="6F40EE96" w14:textId="152D598F" w:rsidR="00553238" w:rsidRPr="00553238" w:rsidRDefault="00553238">
      <w:pPr>
        <w:pStyle w:val="affa"/>
        <w:rPr>
          <w:lang w:val="uk-UA"/>
        </w:rPr>
      </w:pPr>
      <w:r>
        <w:rPr>
          <w:rStyle w:val="affc"/>
        </w:rPr>
        <w:footnoteRef/>
      </w:r>
      <w:r>
        <w:t xml:space="preserve"> T4_PGS_PV126</w:t>
      </w:r>
    </w:p>
  </w:footnote>
  <w:footnote w:id="71">
    <w:p w14:paraId="08AAD16E" w14:textId="160CC401" w:rsidR="00553238" w:rsidRPr="00553238" w:rsidRDefault="00553238">
      <w:pPr>
        <w:pStyle w:val="affa"/>
        <w:rPr>
          <w:lang w:val="uk-UA"/>
        </w:rPr>
      </w:pPr>
      <w:r>
        <w:rPr>
          <w:rStyle w:val="affc"/>
        </w:rPr>
        <w:footnoteRef/>
      </w:r>
      <w:r>
        <w:t xml:space="preserve"> T4_PGS_PV135</w:t>
      </w:r>
    </w:p>
  </w:footnote>
  <w:footnote w:id="72">
    <w:p w14:paraId="50829A5F" w14:textId="63E24381" w:rsidR="00553238" w:rsidRPr="00553238" w:rsidRDefault="00553238">
      <w:pPr>
        <w:pStyle w:val="affa"/>
        <w:rPr>
          <w:lang w:val="uk-UA"/>
        </w:rPr>
      </w:pPr>
      <w:r>
        <w:rPr>
          <w:rStyle w:val="affc"/>
        </w:rPr>
        <w:footnoteRef/>
      </w:r>
      <w:r>
        <w:t xml:space="preserve"> EXH_T4_PV126_01</w:t>
      </w:r>
    </w:p>
  </w:footnote>
  <w:footnote w:id="73">
    <w:p w14:paraId="361715FF" w14:textId="345BDBC8" w:rsidR="00553238" w:rsidRPr="00553238" w:rsidRDefault="00553238">
      <w:pPr>
        <w:pStyle w:val="affa"/>
        <w:rPr>
          <w:lang w:val="uk-UA"/>
        </w:rPr>
      </w:pPr>
      <w:r>
        <w:rPr>
          <w:rStyle w:val="affc"/>
        </w:rPr>
        <w:footnoteRef/>
      </w:r>
      <w:r>
        <w:t xml:space="preserve"> T4_PGS_PV135</w:t>
      </w:r>
    </w:p>
  </w:footnote>
  <w:footnote w:id="74">
    <w:p w14:paraId="26157D68" w14:textId="762E188F" w:rsidR="00553238" w:rsidRPr="00553238" w:rsidRDefault="00553238">
      <w:pPr>
        <w:pStyle w:val="affa"/>
        <w:rPr>
          <w:lang w:val="uk-UA"/>
        </w:rPr>
      </w:pPr>
      <w:r>
        <w:rPr>
          <w:rStyle w:val="affc"/>
        </w:rPr>
        <w:footnoteRef/>
      </w:r>
      <w:r>
        <w:t xml:space="preserve"> T3_5_PGS_PV055.</w:t>
      </w:r>
    </w:p>
  </w:footnote>
  <w:footnote w:id="75">
    <w:p w14:paraId="4CFF75D8" w14:textId="21C7EBB9" w:rsidR="00553238" w:rsidRPr="00553238" w:rsidRDefault="00553238">
      <w:pPr>
        <w:pStyle w:val="affa"/>
        <w:rPr>
          <w:lang w:val="uk-UA"/>
        </w:rPr>
      </w:pPr>
      <w:r>
        <w:rPr>
          <w:rStyle w:val="affc"/>
        </w:rPr>
        <w:footnoteRef/>
      </w:r>
      <w:r>
        <w:t xml:space="preserve"> PV ES71 à ES77</w:t>
      </w:r>
    </w:p>
  </w:footnote>
  <w:footnote w:id="76">
    <w:p w14:paraId="6D1B2152" w14:textId="7F77CDC4" w:rsidR="00553238" w:rsidRPr="00553238" w:rsidRDefault="00553238">
      <w:pPr>
        <w:pStyle w:val="affa"/>
        <w:rPr>
          <w:lang w:val="uk-UA"/>
        </w:rPr>
      </w:pPr>
      <w:r>
        <w:rPr>
          <w:rStyle w:val="affc"/>
        </w:rPr>
        <w:footnoteRef/>
      </w:r>
      <w:r>
        <w:t xml:space="preserve"> T3_PGS_PV071</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7620632">
    <w:abstractNumId w:val="8"/>
  </w:num>
  <w:num w:numId="2" w16cid:durableId="1028140957">
    <w:abstractNumId w:val="6"/>
  </w:num>
  <w:num w:numId="3" w16cid:durableId="1384329303">
    <w:abstractNumId w:val="5"/>
  </w:num>
  <w:num w:numId="4" w16cid:durableId="1771655983">
    <w:abstractNumId w:val="4"/>
  </w:num>
  <w:num w:numId="5" w16cid:durableId="1927611074">
    <w:abstractNumId w:val="7"/>
  </w:num>
  <w:num w:numId="6" w16cid:durableId="2070565339">
    <w:abstractNumId w:val="3"/>
  </w:num>
  <w:num w:numId="7" w16cid:durableId="891113232">
    <w:abstractNumId w:val="2"/>
  </w:num>
  <w:num w:numId="8" w16cid:durableId="1891451102">
    <w:abstractNumId w:val="1"/>
  </w:num>
  <w:num w:numId="9" w16cid:durableId="107624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34A"/>
    <w:rsid w:val="00326F90"/>
    <w:rsid w:val="003535F1"/>
    <w:rsid w:val="00553238"/>
    <w:rsid w:val="00640E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34F930"/>
  <w14:defaultImageDpi w14:val="300"/>
  <w15:docId w15:val="{B89793E0-2F9A-4699-B150-C84847D8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120" w:after="0" w:line="276" w:lineRule="auto"/>
    </w:pPr>
    <w:rPr>
      <w:rFonts w:ascii="Cambria" w:hAnsi="Cambria"/>
      <w:color w:val="1F24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spacing w:before="120" w:after="0" w:line="276" w:lineRule="auto"/>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footnote text"/>
    <w:basedOn w:val="a1"/>
    <w:link w:val="affb"/>
    <w:uiPriority w:val="99"/>
    <w:semiHidden/>
    <w:unhideWhenUsed/>
    <w:rsid w:val="00553238"/>
    <w:pPr>
      <w:spacing w:after="0" w:line="240" w:lineRule="auto"/>
    </w:pPr>
    <w:rPr>
      <w:sz w:val="20"/>
      <w:szCs w:val="20"/>
    </w:rPr>
  </w:style>
  <w:style w:type="character" w:customStyle="1" w:styleId="affb">
    <w:name w:val="Текст виноски Знак"/>
    <w:basedOn w:val="a2"/>
    <w:link w:val="affa"/>
    <w:uiPriority w:val="99"/>
    <w:semiHidden/>
    <w:rsid w:val="00553238"/>
    <w:rPr>
      <w:rFonts w:ascii="Cambria" w:hAnsi="Cambria"/>
      <w:color w:val="1F2421"/>
      <w:sz w:val="20"/>
      <w:szCs w:val="20"/>
    </w:rPr>
  </w:style>
  <w:style w:type="character" w:styleId="affc">
    <w:name w:val="footnote reference"/>
    <w:basedOn w:val="a2"/>
    <w:uiPriority w:val="99"/>
    <w:semiHidden/>
    <w:unhideWhenUsed/>
    <w:rsid w:val="005532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6893</Words>
  <Characters>37849</Characters>
  <Application>Microsoft Office Word</Application>
  <DocSecurity>0</DocSecurity>
  <Lines>641</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3</cp:revision>
  <cp:lastPrinted>2026-10-22T06:47:00Z</cp:lastPrinted>
  <dcterms:created xsi:type="dcterms:W3CDTF">2013-12-23T23:15:00Z</dcterms:created>
  <dcterms:modified xsi:type="dcterms:W3CDTF">2026-10-22T06:47:00Z</dcterms:modified>
  <cp:category/>
</cp:coreProperties>
</file>