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845D68" w14:textId="03B20E21" w:rsidR="00975EB2" w:rsidRPr="00563285" w:rsidRDefault="00693480" w:rsidP="008E3015">
      <w:pPr>
        <w:pStyle w:val="1"/>
        <w:jc w:val="center"/>
        <w:rPr>
          <w:b/>
          <w:bCs/>
          <w:sz w:val="21"/>
          <w:szCs w:val="21"/>
          <w:lang w:val="ru-RU"/>
        </w:rPr>
        <w:spacing w:before="120" w:after="0" w:line="276" w:lineRule="auto"/>
      </w:pPr>
      <w:r>
        <w:rPr>
          <w:rFonts w:ascii="Cambria" w:hAnsi="Cambria"/>
          <w:sz w:val="22"/>
        </w:rPr>
        <w:t>NOTE GÉNÉRALE</w:t>
        <w:br/>
        <w:t>sur l'affaire pénale française</w:t>
      </w:r>
    </w:p>
    <w:p w14:paraId="520550F0" w14:textId="77777777" w:rsidR="008E3015" w:rsidRPr="00563285" w:rsidRDefault="008E3015" w:rsidP="00780BEC">
      <w:pPr>
        <w:jc w:val="both"/>
        <w:rPr>
          <w:sz w:val="21"/>
          <w:szCs w:val="21"/>
          <w:lang w:val="ru-RU"/>
        </w:rPr>
        <w:spacing w:before="120" w:after="0" w:line="276" w:lineRule="auto"/>
      </w:pPr>
      <w:r>
        <w:rPr>
          <w:rFonts w:ascii="Cambria" w:hAnsi="Cambria" w:cs="Cambria"/>
          <w:sz w:val="22"/>
        </w:rPr>
      </w:r>
    </w:p>
    <w:p w14:paraId="6AAF3CAA" w14:textId="4CDF94C4" w:rsidR="00CD27FC" w:rsidRPr="00563285" w:rsidRDefault="009A11C7" w:rsidP="00862E00">
      <w:pPr>
        <w:pStyle w:val="a3"/>
        <w:numPr>
          <w:ilvl w:val="0"/>
          <w:numId w:val="1"/>
        </w:numPr>
        <w:contextualSpacing w:val="0"/>
        <w:jc w:val="both"/>
        <w:rPr>
          <w:b/>
          <w:bCs/>
          <w:sz w:val="21"/>
          <w:szCs w:val="21"/>
          <w:lang w:val="ru-RU"/>
        </w:rPr>
        <w:ind w:left="0" w:hanging="567"/>
        <w:spacing w:before="120" w:after="0" w:line="276" w:lineRule="auto"/>
      </w:pPr>
      <w:r>
        <w:rPr>
          <w:rFonts w:ascii="Cambria" w:hAnsi="Cambria"/>
          <w:sz w:val="22"/>
        </w:rPr>
        <w:t>Informations générales</w:t>
      </w:r>
    </w:p>
    <w:p w14:paraId="55C454E2" w14:textId="0E032239" w:rsidR="009A11C7" w:rsidRPr="00563285" w:rsidRDefault="009A11C7" w:rsidP="00862E00">
      <w:pPr>
        <w:jc w:val="both"/>
        <w:rPr>
          <w:sz w:val="21"/>
          <w:szCs w:val="21"/>
          <w:lang w:val="ru-RU"/>
        </w:rPr>
        <w:spacing w:before="120" w:after="0" w:line="276" w:lineRule="auto"/>
      </w:pPr>
      <w:r>
        <w:rPr>
          <w:rFonts w:ascii="Cambria" w:hAnsi="Cambria"/>
          <w:sz w:val="22"/>
        </w:rPr>
        <w:t>Les organes d'enquête financière de France à Marseille / Nice enquêtent sur l'affaire pénale n° 23142000814 sous la direction procédurale des autorités judiciaires de Paris.</w:t>
      </w:r>
    </w:p>
    <w:p w14:paraId="4B15AC23" w14:textId="713BEC4B" w:rsidR="009A11C7" w:rsidRPr="00563285" w:rsidRDefault="009A11C7" w:rsidP="00862E00">
      <w:pPr>
        <w:jc w:val="both"/>
        <w:rPr>
          <w:sz w:val="21"/>
          <w:szCs w:val="21"/>
          <w:lang w:val="ru-RU"/>
        </w:rPr>
        <w:spacing w:before="120" w:after="0" w:line="276" w:lineRule="auto"/>
      </w:pPr>
      <w:r>
        <w:rPr>
          <w:rFonts w:ascii="Cambria" w:hAnsi="Cambria"/>
          <w:sz w:val="22"/>
        </w:rPr>
        <w:t>Qualification - blanchiment de fonds dans des circonstances aggravantes, y compris avec la version sur le caractère organisé des actes.</w:t>
      </w:r>
    </w:p>
    <w:p w14:paraId="47AA0C89" w14:textId="37940088" w:rsidR="00804C9F" w:rsidRPr="00563285" w:rsidRDefault="00804C9F" w:rsidP="00862E00">
      <w:pPr>
        <w:jc w:val="both"/>
        <w:rPr>
          <w:sz w:val="21"/>
          <w:szCs w:val="21"/>
          <w:lang w:val="ru-RU"/>
        </w:rPr>
        <w:spacing w:before="120" w:after="0" w:line="276" w:lineRule="auto"/>
      </w:pPr>
      <w:r>
        <w:rPr>
          <w:rFonts w:ascii="Cambria" w:hAnsi="Cambria"/>
          <w:sz w:val="22"/>
        </w:rPr>
        <w:t>Dans les pièces sont mentionnés les art. 324-2, 324-1 al. 2, 324-1-1, 132-71, 324-2 al. 1, 324-3, 324-7, 324-8 du Code pénal français.</w:t>
      </w:r>
    </w:p>
    <w:p w14:paraId="5243090D" w14:textId="62CFAC9F" w:rsidR="00BD4036" w:rsidRPr="00563285" w:rsidRDefault="0073056B" w:rsidP="00862E00">
      <w:pPr>
        <w:jc w:val="both"/>
        <w:rPr>
          <w:sz w:val="21"/>
          <w:szCs w:val="21"/>
          <w:lang w:val="ru-RU"/>
        </w:rPr>
        <w:spacing w:before="120" w:after="0" w:line="276" w:lineRule="auto"/>
      </w:pPr>
      <w:r>
        <w:rPr/>
        <w:t>L'enquête vérifie l'origine des fonds d'AVB et leur utilisation ultérieure pour l'acquisition d'actifs en France et à Monaco.</w:t>
      </w:r>
    </w:p>
    <w:p w14:paraId="657EA080" w14:textId="77777777" w:rsidR="00BD4036" w:rsidRPr="00563285" w:rsidRDefault="00BD4036" w:rsidP="00862E00">
      <w:pPr>
        <w:jc w:val="both"/>
        <w:rPr>
          <w:sz w:val="21"/>
          <w:szCs w:val="21"/>
          <w:lang w:val="ru-RU"/>
        </w:rPr>
        <w:spacing w:before="120" w:after="0" w:line="276" w:lineRule="auto"/>
      </w:pPr>
      <w:r>
        <w:rPr>
          <w:rFonts w:ascii="Cambria" w:hAnsi="Cambria"/>
          <w:sz w:val="22"/>
        </w:rPr>
        <w:t xml:space="preserve">L'enquête lie l'origine possible des fonds à plusieurs blocs : </w:t>
      </w:r>
    </w:p>
    <w:p w14:paraId="01F5FD17" w14:textId="17963235"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 xml:space="preserve">contrats d'agence et paiements y compris de Motor Sich Middle East FZE (ME) ; </w:t>
      </w:r>
    </w:p>
    <w:p w14:paraId="4F3A6634" w14:textId="53DBFD25" w:rsidR="00822D7C" w:rsidRPr="00563285" w:rsidRDefault="00822D7C"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paiements de loyers au profit de sociétés que l'enquête lie à AVB ;</w:t>
      </w:r>
    </w:p>
    <w:p w14:paraId="406BDC6C" w14:textId="7D318806"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livraisons de produits aéronautiques vers la Fédération de Russie (FR) en violation de l'embargo ;</w:t>
      </w:r>
    </w:p>
    <w:p w14:paraId="04DF0714" w14:textId="09316C43"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évasion fiscale possible ;</w:t>
      </w:r>
    </w:p>
    <w:p w14:paraId="68E35691" w14:textId="52563AAA" w:rsidR="00862E00"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 xml:space="preserve">vente d'actions de la SA « Motor Sich » (MS) ; </w:t>
      </w:r>
    </w:p>
    <w:p w14:paraId="338315DE" w14:textId="4AA5DD75" w:rsidR="00804C9F" w:rsidRPr="00563285" w:rsidRDefault="00862E00" w:rsidP="00653927">
      <w:pPr>
        <w:pStyle w:val="a3"/>
        <w:numPr>
          <w:ilvl w:val="0"/>
          <w:numId w:val="20"/>
        </w:numPr>
        <w:contextualSpacing w:val="0"/>
        <w:jc w:val="both"/>
        <w:rPr>
          <w:sz w:val="21"/>
          <w:szCs w:val="21"/>
          <w:lang w:val="ru-RU"/>
        </w:rPr>
        <w:ind w:left="567" w:hanging="425"/>
        <w:spacing w:before="120" w:after="0" w:line="276" w:lineRule="auto"/>
      </w:pPr>
      <w:r>
        <w:rPr>
          <w:rFonts w:ascii="Cambria" w:hAnsi="Cambria"/>
          <w:sz w:val="22"/>
        </w:rPr>
        <w:t>mouvement de fonds à travers des sociétés étrangères, des comptes personnels et d'entreprise ;</w:t>
      </w:r>
    </w:p>
    <w:p w14:paraId="69165787" w14:textId="52BD4609" w:rsidR="00804C9F" w:rsidRPr="00563285" w:rsidRDefault="00804C9F" w:rsidP="00804C9F">
      <w:pPr>
        <w:jc w:val="both"/>
        <w:rPr>
          <w:sz w:val="21"/>
          <w:szCs w:val="21"/>
          <w:lang w:val="ru-RU"/>
        </w:rPr>
        <w:spacing w:before="120" w:after="0" w:line="276" w:lineRule="auto"/>
      </w:pPr>
      <w:r>
        <w:rPr>
          <w:rFonts w:ascii="Cambria" w:hAnsi="Cambria"/>
          <w:sz w:val="22"/>
        </w:rPr>
        <w:t>Concernant les acquisitions après le 6 décembre 2013, l'enquête se réfère également à la présomption d'origine illicite des fonds, prévue par l'art. 324-1-1 du Code pénal français.</w:t>
      </w:r>
    </w:p>
    <w:p w14:paraId="0CE8D29C" w14:textId="6937E4C1" w:rsidR="00BD4036" w:rsidRPr="00563285" w:rsidRDefault="00862E00" w:rsidP="00862E00">
      <w:pPr>
        <w:jc w:val="both"/>
        <w:rPr>
          <w:sz w:val="21"/>
          <w:szCs w:val="21"/>
          <w:lang w:val="ru-RU"/>
        </w:rPr>
        <w:spacing w:before="120" w:after="0" w:line="276" w:lineRule="auto"/>
      </w:pPr>
      <w:r>
        <w:rPr>
          <w:rFonts w:ascii="Cambria" w:hAnsi="Cambria"/>
          <w:sz w:val="22"/>
        </w:rPr>
        <w:t>La base de preuves comprend des éléments de l'Ukraine, de la France et de Monaco, des documents bancaires et fiscaux, des pièces d'entreprise, des documents KYC, de la correspondance électronique, des données de l'ordinateur, du téléphone d'AVB, ainsi que des documents sur l'acquisition d'actifs.</w:t>
      </w:r>
    </w:p>
    <w:p w14:paraId="5A1EE970" w14:textId="3D885B1B" w:rsidR="00BD4036" w:rsidRPr="00563285" w:rsidRDefault="00BD4036" w:rsidP="00862E00">
      <w:pPr>
        <w:jc w:val="both"/>
        <w:rPr>
          <w:sz w:val="21"/>
          <w:szCs w:val="21"/>
          <w:lang w:val="ru-RU"/>
        </w:rPr>
        <w:spacing w:before="120" w:after="0" w:line="276" w:lineRule="auto"/>
      </w:pPr>
      <w:r>
        <w:rPr>
          <w:rFonts w:ascii="Cambria" w:hAnsi="Cambria"/>
          <w:sz w:val="22"/>
        </w:rPr>
        <w:t xml:space="preserve">Aux fins de la note, la version française est divisée en 9 volets, qui sont exposés dans la section 2. </w:t>
      </w:r>
    </w:p>
    <w:p w14:paraId="4B44B9C0" w14:textId="23926901" w:rsidR="00BD4036" w:rsidRPr="00563285" w:rsidRDefault="00BD4036" w:rsidP="00862E00">
      <w:pPr>
        <w:jc w:val="both"/>
        <w:rPr>
          <w:sz w:val="21"/>
          <w:szCs w:val="21"/>
          <w:lang w:val="ru-RU"/>
        </w:rPr>
        <w:spacing w:before="120" w:after="0" w:line="276" w:lineRule="auto"/>
      </w:pPr>
      <w:r>
        <w:rPr>
          <w:rFonts w:ascii="Cambria" w:hAnsi="Cambria"/>
          <w:sz w:val="22"/>
        </w:rPr>
        <w:t xml:space="preserve">Ces volets se recoupent entre eux. Les contrats d'agence, les sociétés étrangères et les comptes bancaires expliquent le mouvement des fonds. Les biens immobiliers en France et à Monaco sont considérés comme l'actif final. Les données fiscales sont utilisées comme argument sur le manque de clarté de l'origine des fonds. </w:t>
      </w:r>
    </w:p>
    <w:p w14:paraId="14FADAD4" w14:textId="77777777" w:rsidR="00CD27FC" w:rsidRPr="00563285" w:rsidRDefault="00CD27FC" w:rsidP="001A21C9">
      <w:pPr>
        <w:jc w:val="both"/>
        <w:rPr>
          <w:sz w:val="21"/>
          <w:szCs w:val="21"/>
          <w:lang w:val="ru-RU"/>
        </w:rPr>
        <w:spacing w:before="120" w:after="0" w:line="276" w:lineRule="auto"/>
      </w:pPr>
      <w:r>
        <w:rPr>
          <w:rFonts w:ascii="Cambria" w:hAnsi="Cambria" w:cs="Cambria"/>
          <w:sz w:val="22"/>
        </w:rPr>
      </w:r>
    </w:p>
    <w:p w14:paraId="3F9131D0" w14:textId="5D873698" w:rsidR="00862087" w:rsidRPr="00563285" w:rsidRDefault="0020154B" w:rsidP="009A11C7">
      <w:pPr>
        <w:pStyle w:val="a3"/>
        <w:numPr>
          <w:ilvl w:val="0"/>
          <w:numId w:val="1"/>
        </w:numPr>
        <w:contextualSpacing w:val="0"/>
        <w:jc w:val="both"/>
        <w:rPr>
          <w:b/>
          <w:bCs/>
          <w:sz w:val="21"/>
          <w:szCs w:val="21"/>
          <w:lang w:val="ru-RU"/>
        </w:rPr>
        <w:ind w:left="0" w:hanging="567"/>
        <w:spacing w:before="120" w:after="0" w:line="276" w:lineRule="auto"/>
      </w:pPr>
      <w:r>
        <w:rPr>
          <w:rFonts w:ascii="Cambria" w:hAnsi="Cambria"/>
          <w:sz w:val="22"/>
        </w:rPr>
        <w:t>Position élargie de l'enquête par volets</w:t>
      </w:r>
    </w:p>
    <w:p w14:paraId="1CA18100" w14:textId="27463EAF" w:rsidR="0020154B" w:rsidRPr="00563285" w:rsidRDefault="0020154B" w:rsidP="008B5C35">
      <w:pPr>
        <w:pStyle w:val="a3"/>
        <w:numPr>
          <w:ilvl w:val="1"/>
          <w:numId w:val="1"/>
        </w:numPr>
        <w:contextualSpacing w:val="0"/>
        <w:jc w:val="both"/>
        <w:rPr>
          <w:b/>
          <w:bCs/>
          <w:sz w:val="21"/>
          <w:szCs w:val="21"/>
          <w:lang w:val="ru-RU"/>
        </w:rPr>
        <w:ind w:left="0" w:hanging="567"/>
        <w:spacing w:before="120" w:after="0" w:line="276" w:lineRule="auto"/>
      </w:pPr>
      <w:r>
        <w:rPr>
          <w:rFonts w:ascii="Cambria" w:hAnsi="Cambria"/>
          <w:sz w:val="22"/>
        </w:rPr>
        <w:t>Volet « Origine des fonds, revenus et mouvement de fonds »</w:t>
      </w:r>
    </w:p>
    <w:bookmarkEnd w:id="0"/>
    <w:p w14:paraId="7ADE90B2" w14:textId="6206AEBB" w:rsidR="0020154B" w:rsidRPr="00563285" w:rsidRDefault="0020154B"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17174C6A" w14:textId="16521FAE" w:rsidR="0020154B" w:rsidRPr="00563285" w:rsidRDefault="00B62F19" w:rsidP="008B5C35">
      <w:pPr>
        <w:jc w:val="both"/>
        <w:rPr>
          <w:sz w:val="21"/>
          <w:szCs w:val="21"/>
          <w:lang w:val="ru-RU"/>
        </w:rPr>
        <w:spacing w:before="120" w:after="0" w:line="276" w:lineRule="auto"/>
      </w:pPr>
      <w:r>
        <w:rPr>
          <w:rFonts w:ascii="Cambria" w:hAnsi="Cambria"/>
          <w:sz w:val="22"/>
        </w:rPr>
        <w:t>L'enquête fonde sa version financière sur la disproportion entre les revenus déclarés d'AVB et le volume de fonds qui ont transité par ses comptes personnels, les comptes de sociétés liées et ont été utilisés pour l'acquisition d'actifs en France et à Monaco.</w:t>
      </w:r>
    </w:p>
    <w:p w14:paraId="3AA7D4DF" w14:textId="77777777" w:rsidR="00BA70CF" w:rsidRPr="00563285" w:rsidRDefault="00862E00" w:rsidP="008B5C35">
      <w:pPr>
        <w:jc w:val="both"/>
        <w:rPr>
          <w:sz w:val="21"/>
          <w:szCs w:val="21"/>
          <w:lang w:val="ru-RU"/>
        </w:rPr>
        <w:spacing w:before="120" w:after="0" w:line="276" w:lineRule="auto"/>
      </w:pPr>
      <w:r>
        <w:rPr>
          <w:rFonts w:ascii="Cambria" w:hAnsi="Cambria"/>
          <w:sz w:val="22"/>
        </w:rPr>
        <w:t>Comme sources, l'enquête cite :</w:t>
      </w:r>
    </w:p>
    <w:p w14:paraId="40FE3E85"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paiements d'agence ;</w:t>
      </w:r>
    </w:p>
    <w:p w14:paraId="47D61D05" w14:textId="279DAF0B" w:rsidR="00822D7C" w:rsidRPr="00563285" w:rsidRDefault="00822D7C"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paiements de loyers au profit de sociétés que l'enquête considère comme liées à AVB ;</w:t>
      </w:r>
    </w:p>
    <w:p w14:paraId="22BEEB94"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livraisons de produits aéronautiques en FR en violation de l'embargo ;</w:t>
      </w:r>
    </w:p>
    <w:p w14:paraId="1FB9D931"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l'évasion fiscale possible ;</w:t>
      </w:r>
    </w:p>
    <w:p w14:paraId="5F3BD36F" w14:textId="77777777" w:rsidR="00BA70CF"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 xml:space="preserve">la vente d'actions de MS, </w:t>
      </w:r>
    </w:p>
    <w:p w14:paraId="7630CF8F" w14:textId="4BFA5FD9" w:rsidR="00862E00" w:rsidRPr="00563285" w:rsidRDefault="00862E00" w:rsidP="00653927">
      <w:pPr>
        <w:pStyle w:val="a3"/>
        <w:numPr>
          <w:ilvl w:val="0"/>
          <w:numId w:val="22"/>
        </w:numPr>
        <w:contextualSpacing w:val="0"/>
        <w:jc w:val="both"/>
        <w:rPr>
          <w:sz w:val="21"/>
          <w:szCs w:val="21"/>
          <w:lang w:val="ru-RU"/>
        </w:rPr>
        <w:ind w:left="567" w:hanging="425"/>
        <w:spacing w:before="120" w:after="0" w:line="276" w:lineRule="auto"/>
      </w:pPr>
      <w:r>
        <w:rPr>
          <w:rFonts w:ascii="Cambria" w:hAnsi="Cambria"/>
          <w:sz w:val="22"/>
        </w:rPr>
        <w:t>les transferts entre sociétés non-résidentes et le mouvement de fonds via des comptes personnels et d'entreprise.</w:t>
      </w:r>
    </w:p>
    <w:p w14:paraId="72B66E33" w14:textId="3A90D6FB" w:rsidR="008B5C35" w:rsidRPr="00563285" w:rsidRDefault="008B5C35" w:rsidP="008B5C35">
      <w:pPr>
        <w:jc w:val="both"/>
        <w:rPr>
          <w:sz w:val="21"/>
          <w:szCs w:val="21"/>
          <w:lang w:val="ru-RU"/>
        </w:rPr>
        <w:spacing w:before="120" w:after="0" w:line="276" w:lineRule="auto"/>
      </w:pPr>
      <w:r>
        <w:rPr>
          <w:rFonts w:ascii="Cambria" w:hAnsi="Cambria"/>
          <w:sz w:val="22"/>
        </w:rPr>
        <w:t xml:space="preserve">Séparément, l'enquête analyse les contrats commerciaux entre sociétés étrangères qui ne sont pas des contrats d'agence de MS, ME. En particulier, les contrats de Laterson avec Transnet, Standholm et Valantia concernant des matériaux de construction et des équipements. </w:t>
      </w:r>
    </w:p>
    <w:p w14:paraId="7A45A7CC" w14:textId="7E5735C3" w:rsidR="0020154B" w:rsidRPr="00563285" w:rsidRDefault="0020154B" w:rsidP="008B5C35">
      <w:pPr>
        <w:jc w:val="both"/>
        <w:rPr>
          <w:sz w:val="21"/>
          <w:szCs w:val="21"/>
          <w:lang w:val="ru-RU"/>
        </w:rPr>
        <w:spacing w:before="120" w:after="0" w:line="276" w:lineRule="auto"/>
      </w:pPr>
      <w:r>
        <w:rPr>
          <w:rFonts w:ascii="Cambria" w:hAnsi="Cambria"/>
          <w:sz w:val="22"/>
        </w:rPr>
        <w:t>L'enquête compare le mouvement de fonds avec la chronologie d'acquisition d'actifs en France et à Monaco, y compris par le biais de SCI / SCP et d'autres structures d'entreprise.</w:t>
      </w:r>
    </w:p>
    <w:p w14:paraId="6508873D" w14:textId="4EA17647" w:rsidR="0020154B" w:rsidRPr="00563285" w:rsidRDefault="0020154B"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18CC9DBC" w14:textId="392FA70C"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Données fiscales sur les revenus d'AVB en Ukraine, en France et à Monaco.</w:t>
      </w:r>
    </w:p>
    <w:p w14:paraId="3865664E" w14:textId="3805B79E"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Relevés bancaires des comptes personnels d'AVB et des comptes des sociétés liées.</w:t>
      </w:r>
    </w:p>
    <w:p w14:paraId="55594889" w14:textId="45D42686"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Documents relatifs aux paiements d'agence, à la vente d'actions de MS et au mouvement de fonds entre sociétés étrangères.</w:t>
      </w:r>
    </w:p>
    <w:p w14:paraId="0D2B3FC3" w14:textId="5B346F30" w:rsidR="0020154B" w:rsidRPr="00563285" w:rsidRDefault="0020154B"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Documents sur l'acquisition d'actifs en France et à Monaco.</w:t>
      </w:r>
    </w:p>
    <w:p w14:paraId="1021BA47" w14:textId="7E863DB6" w:rsidR="000232D7" w:rsidRPr="00563285" w:rsidRDefault="000232D7" w:rsidP="00653927">
      <w:pPr>
        <w:pStyle w:val="a3"/>
        <w:numPr>
          <w:ilvl w:val="0"/>
          <w:numId w:val="18"/>
        </w:numPr>
        <w:contextualSpacing w:val="0"/>
        <w:jc w:val="both"/>
        <w:rPr>
          <w:sz w:val="21"/>
          <w:szCs w:val="21"/>
          <w:lang w:val="ru-RU"/>
        </w:rPr>
        <w:ind w:left="567" w:hanging="567"/>
        <w:spacing w:before="120" w:after="0" w:line="276" w:lineRule="auto"/>
      </w:pPr>
      <w:r>
        <w:rPr>
          <w:rFonts w:ascii="Cambria" w:hAnsi="Cambria"/>
          <w:sz w:val="22"/>
        </w:rPr>
        <w:t>Contrats commerciaux entre sociétés étrangères, en particulier Laterson - Transnet, Laterson - Valantia, Laterson - Standholm.</w:t>
      </w:r>
    </w:p>
    <w:p w14:paraId="7BBD9008" w14:textId="77777777" w:rsidR="0020154B" w:rsidRPr="00563285" w:rsidRDefault="0020154B" w:rsidP="009A11C7">
      <w:pPr>
        <w:jc w:val="both"/>
        <w:rPr>
          <w:sz w:val="21"/>
          <w:szCs w:val="21"/>
          <w:lang w:val="ru-RU"/>
        </w:rPr>
        <w:spacing w:before="120" w:after="0" w:line="276" w:lineRule="auto"/>
      </w:pPr>
      <w:r>
        <w:rPr>
          <w:rFonts w:ascii="Cambria" w:hAnsi="Cambria" w:cs="Cambria"/>
          <w:sz w:val="22"/>
        </w:rPr>
      </w:r>
    </w:p>
    <w:p w14:paraId="2A162156" w14:textId="66ECBB3F" w:rsidR="00862087" w:rsidRPr="00563285" w:rsidRDefault="00397250" w:rsidP="009A11C7">
      <w:pPr>
        <w:pStyle w:val="a3"/>
        <w:numPr>
          <w:ilvl w:val="1"/>
          <w:numId w:val="1"/>
        </w:numPr>
        <w:contextualSpacing w:val="0"/>
        <w:jc w:val="both"/>
        <w:rPr>
          <w:b/>
          <w:bCs/>
          <w:sz w:val="21"/>
          <w:szCs w:val="21"/>
          <w:lang w:val="ru-RU"/>
        </w:rPr>
        <w:ind w:left="0" w:hanging="567"/>
        <w:spacing w:before="120" w:after="0" w:line="276" w:lineRule="auto"/>
      </w:pPr>
      <w:r>
        <w:rPr>
          <w:rFonts w:ascii="Cambria" w:hAnsi="Cambria"/>
          <w:sz w:val="22"/>
        </w:rPr>
        <w:t>Volet « Contrats d'agence »</w:t>
      </w:r>
    </w:p>
    <w:p w14:paraId="5CB39AA7" w14:textId="3AE3BFFA" w:rsidR="00397250" w:rsidRPr="00563285" w:rsidRDefault="00397250" w:rsidP="00B62F19">
      <w:pPr>
        <w:jc w:val="both"/>
        <w:rPr>
          <w:sz w:val="21"/>
          <w:szCs w:val="21"/>
          <w:u w:val="single"/>
          <w:lang w:val="ru-RU"/>
        </w:rPr>
        <w:spacing w:before="120" w:after="0" w:line="276" w:lineRule="auto"/>
      </w:pPr>
      <w:r>
        <w:rPr>
          <w:rFonts w:ascii="Cambria" w:hAnsi="Cambria"/>
          <w:sz w:val="22"/>
        </w:rPr>
        <w:t>Position de l'enquête.</w:t>
      </w:r>
    </w:p>
    <w:p w14:paraId="5FBBC3AF" w14:textId="77777777" w:rsidR="00397250" w:rsidRPr="00563285" w:rsidRDefault="00397250" w:rsidP="009A11C7">
      <w:pPr>
        <w:jc w:val="both"/>
        <w:rPr>
          <w:sz w:val="21"/>
          <w:szCs w:val="21"/>
          <w:lang w:val="ru-RU"/>
        </w:rPr>
        <w:spacing w:before="120" w:after="0" w:line="276" w:lineRule="auto"/>
      </w:pPr>
      <w:r>
        <w:rPr>
          <w:rFonts w:ascii="Cambria" w:hAnsi="Cambria"/>
          <w:sz w:val="22"/>
        </w:rPr>
        <w:t>L'enquête française considère les contrats d'agence comme l'un des mécanismes principaux de sortie de fonds du groupe « Motor Sich ».</w:t>
      </w:r>
    </w:p>
    <w:p w14:paraId="0D0AA498" w14:textId="6F8276AB" w:rsidR="00397250" w:rsidRPr="00563285" w:rsidRDefault="00397250" w:rsidP="009A11C7">
      <w:pPr>
        <w:jc w:val="both"/>
        <w:rPr>
          <w:sz w:val="21"/>
          <w:szCs w:val="21"/>
          <w:lang w:val="ru-RU"/>
        </w:rPr>
        <w:spacing w:before="120" w:after="0" w:line="276" w:lineRule="auto"/>
      </w:pPr>
      <w:r>
        <w:rPr>
          <w:rFonts w:ascii="Cambria" w:hAnsi="Cambria"/>
          <w:sz w:val="22"/>
        </w:rPr>
        <w:t>Selon la version de l'enquête, MS et ME ont conclu des contrats d'agence et de marketing avec des sociétés étrangères liées à AVB.</w:t>
      </w:r>
    </w:p>
    <w:p w14:paraId="31C33B3F" w14:textId="77777777" w:rsidR="00397250" w:rsidRPr="00563285" w:rsidRDefault="00397250" w:rsidP="009A11C7">
      <w:pPr>
        <w:jc w:val="both"/>
        <w:rPr>
          <w:sz w:val="21"/>
          <w:szCs w:val="21"/>
          <w:lang w:val="ru-RU"/>
        </w:rPr>
        <w:spacing w:before="120" w:after="0" w:line="276" w:lineRule="auto"/>
      </w:pPr>
      <w:r>
        <w:rPr>
          <w:rFonts w:ascii="Cambria" w:hAnsi="Cambria"/>
          <w:sz w:val="22"/>
        </w:rPr>
        <w:t>Parmi ces sociétés figurent Geoford, Enfields, Fraser, Duncan, Business House Helena, Aldon, Laterson et d'autres structures.</w:t>
      </w:r>
    </w:p>
    <w:p w14:paraId="6452AA8E" w14:textId="7DD992AA" w:rsidR="00761CCD" w:rsidRPr="00563285" w:rsidRDefault="00761CCD" w:rsidP="009A11C7">
      <w:pPr>
        <w:jc w:val="both"/>
        <w:rPr>
          <w:sz w:val="21"/>
          <w:szCs w:val="21"/>
          <w:lang w:val="ru-RU"/>
        </w:rPr>
        <w:spacing w:before="120" w:after="0" w:line="276" w:lineRule="auto"/>
      </w:pPr>
      <w:r>
        <w:rPr>
          <w:rFonts w:ascii="Cambria" w:hAnsi="Cambria"/>
          <w:sz w:val="22"/>
        </w:rPr>
        <w:t>L'accent principal de l'enquête - l'absence de détails suffisants sur les prestations, le caractère formel des factures et le lien du mouvement ultérieur des fonds avec les actifs d'AVB.</w:t>
      </w:r>
    </w:p>
    <w:p w14:paraId="4F16219A" w14:textId="2DF88EE9" w:rsidR="00397250" w:rsidRPr="00563285" w:rsidRDefault="00397250" w:rsidP="009A11C7">
      <w:pPr>
        <w:jc w:val="both"/>
        <w:rPr>
          <w:sz w:val="21"/>
          <w:szCs w:val="21"/>
          <w:lang w:val="ru-RU"/>
        </w:rPr>
        <w:spacing w:before="120" w:after="0" w:line="276" w:lineRule="auto"/>
      </w:pPr>
      <w:r>
        <w:rPr>
          <w:rFonts w:ascii="Cambria" w:hAnsi="Cambria"/>
          <w:sz w:val="22"/>
        </w:rPr>
        <w:t>L'enquête estime qu'une partie des contrats, factures et paiements avait un caractère formel et ne confirmait pas la prestation réelle de services d'agence.</w:t>
      </w:r>
    </w:p>
    <w:p w14:paraId="7DD9732C" w14:textId="66FA9E26" w:rsidR="00B62F19" w:rsidRPr="00563285" w:rsidRDefault="00B62F19" w:rsidP="009A11C7">
      <w:pPr>
        <w:jc w:val="both"/>
        <w:rPr>
          <w:sz w:val="21"/>
          <w:szCs w:val="21"/>
          <w:lang w:val="ru-RU"/>
        </w:rPr>
        <w:spacing w:before="120" w:after="0" w:line="276" w:lineRule="auto"/>
      </w:pPr>
      <w:r>
        <w:rPr>
          <w:rFonts w:ascii="Cambria" w:hAnsi="Cambria"/>
          <w:sz w:val="22"/>
        </w:rPr>
        <w:t>Pour certaines sociétés, avant tout Geoford, il existe un risque accru en raison des mouvements de fonds, du lien avec les actifs et des interrogations sur la réalité de l'opération économique.</w:t>
      </w:r>
    </w:p>
    <w:p w14:paraId="6F144A09" w14:textId="427F5015" w:rsidR="00397250" w:rsidRPr="00563285" w:rsidRDefault="00397250" w:rsidP="009A11C7">
      <w:pPr>
        <w:pStyle w:val="a3"/>
        <w:contextualSpacing w:val="0"/>
        <w:jc w:val="both"/>
        <w:rPr>
          <w:sz w:val="21"/>
          <w:szCs w:val="21"/>
          <w:lang w:val="ru-RU"/>
        </w:rPr>
        <w:ind w:left="0"/>
        <w:spacing w:before="120" w:after="0" w:line="276" w:lineRule="auto"/>
      </w:pPr>
      <w:r>
        <w:rPr>
          <w:rFonts w:ascii="Cambria" w:hAnsi="Cambria"/>
          <w:sz w:val="22"/>
        </w:rPr>
        <w:t>Le mouvement ultérieur de fonds sur les comptes de ces sociétés est relié aux comptes personnels d'AVB, à l'acquisition d'actifs et au financement de biens immobiliers en France, à Monaco.</w:t>
      </w:r>
    </w:p>
    <w:p w14:paraId="51778282" w14:textId="088C86D6" w:rsidR="00397250" w:rsidRPr="00563285" w:rsidRDefault="00397250" w:rsidP="00B62F19">
      <w:pPr>
        <w:jc w:val="both"/>
        <w:rPr>
          <w:sz w:val="21"/>
          <w:szCs w:val="21"/>
          <w:u w:val="single"/>
          <w:lang w:val="ru-RU"/>
        </w:rPr>
        <w:spacing w:before="120" w:after="0" w:line="276" w:lineRule="auto"/>
      </w:pPr>
      <w:r>
        <w:rPr>
          <w:rFonts w:ascii="Cambria" w:hAnsi="Cambria"/>
          <w:sz w:val="22"/>
        </w:rPr>
        <w:t>Preuves de l'enquête.</w:t>
      </w:r>
    </w:p>
    <w:p w14:paraId="73BF5F63" w14:textId="1EB69160" w:rsidR="00397250" w:rsidRPr="00563285" w:rsidRDefault="00862E0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Procès-verbaux d'examen des pièces de la procédure française concernant les contrats d'agence, factures, actes, paiements et documents bancaires.</w:t>
      </w:r>
    </w:p>
    <w:p w14:paraId="1E677A41" w14:textId="7D92E023"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Tableau des contrats d'agence, factures et paiements, obtenu par la partie française à partir des pièces ukrainiennes.</w:t>
      </w:r>
    </w:p>
    <w:p w14:paraId="131CE635" w14:textId="33F2DA13"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Contrats d'agence, de marketing avec la participation de Geoford, Enfields, Fraser, Duncan, Business House Helena et d'autres sociétés.</w:t>
      </w:r>
    </w:p>
    <w:p w14:paraId="777B8AB2" w14:textId="2EF9EE11"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Documents bancaires concernant les comptes de sociétés étrangères à Monaco, en Lettonie, en Suisse, au Luxembourg et dans d'autres juridictions.</w:t>
      </w:r>
    </w:p>
    <w:p w14:paraId="101DA627" w14:textId="68823708" w:rsidR="00397250"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Documents KYC des banques, correspondance avec les banques et documents transmis pour expliquer l'origine des fonds.</w:t>
      </w:r>
    </w:p>
    <w:p w14:paraId="799D3DE1" w14:textId="1CB91E4F" w:rsidR="00B62F19" w:rsidRPr="00563285" w:rsidRDefault="00397250" w:rsidP="00653927">
      <w:pPr>
        <w:pStyle w:val="a3"/>
        <w:numPr>
          <w:ilvl w:val="0"/>
          <w:numId w:val="16"/>
        </w:numPr>
        <w:contextualSpacing w:val="0"/>
        <w:jc w:val="both"/>
        <w:rPr>
          <w:sz w:val="21"/>
          <w:szCs w:val="21"/>
          <w:lang w:val="ru-RU"/>
        </w:rPr>
        <w:ind w:left="567" w:hanging="567"/>
        <w:spacing w:before="120" w:after="0" w:line="276" w:lineRule="auto"/>
      </w:pPr>
      <w:r>
        <w:rPr>
          <w:rFonts w:ascii="Cambria" w:hAnsi="Cambria"/>
          <w:sz w:val="22"/>
        </w:rPr>
        <w:t>Documents et fichiers découverts sur l'ordinateur et dans la correspondance électronique d'AVB.</w:t>
      </w:r>
    </w:p>
    <w:p w14:paraId="0CDE67E4" w14:textId="77777777" w:rsidR="00CD27FC" w:rsidRPr="00563285" w:rsidRDefault="00CD27FC" w:rsidP="00653927">
      <w:pPr>
        <w:pStyle w:val="a3"/>
        <w:numPr>
          <w:ilvl w:val="0"/>
          <w:numId w:val="2"/>
        </w:numPr>
        <w:contextualSpacing w:val="0"/>
        <w:jc w:val="both"/>
        <w:rPr>
          <w:vanish/>
          <w:sz w:val="21"/>
          <w:szCs w:val="21"/>
          <w:u w:val="single"/>
          <w:lang w:val="ru-RU"/>
        </w:rPr>
        <w:spacing w:before="120" w:after="0" w:line="276" w:lineRule="auto"/>
      </w:pPr>
      <w:r>
        <w:rPr>
          <w:rFonts w:ascii="Cambria" w:hAnsi="Cambria" w:cs="Cambria"/>
          <w:sz w:val="22"/>
        </w:rPr>
      </w:r>
    </w:p>
    <w:p w14:paraId="14BA52A6" w14:textId="77777777" w:rsidR="00CD27FC" w:rsidRPr="00563285" w:rsidRDefault="00CD27FC" w:rsidP="00653927">
      <w:pPr>
        <w:pStyle w:val="a3"/>
        <w:numPr>
          <w:ilvl w:val="1"/>
          <w:numId w:val="2"/>
        </w:numPr>
        <w:contextualSpacing w:val="0"/>
        <w:jc w:val="both"/>
        <w:rPr>
          <w:vanish/>
          <w:sz w:val="21"/>
          <w:szCs w:val="21"/>
          <w:u w:val="single"/>
          <w:lang w:val="ru-RU"/>
        </w:rPr>
        <w:spacing w:before="120" w:after="0" w:line="276" w:lineRule="auto"/>
      </w:pPr>
      <w:r>
        <w:rPr>
          <w:rFonts w:ascii="Cambria" w:hAnsi="Cambria" w:cs="Cambria"/>
          <w:sz w:val="22"/>
        </w:rPr>
      </w:r>
    </w:p>
    <w:p w14:paraId="523FBD3C" w14:textId="58C5140D" w:rsidR="001247E2" w:rsidRPr="00563285" w:rsidRDefault="001247E2"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Motor Sich Middle East FZE »</w:t>
      </w:r>
    </w:p>
    <w:p w14:paraId="78123ED4" w14:textId="6678FFC1" w:rsidR="001247E2" w:rsidRPr="00563285" w:rsidRDefault="001247E2"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594930A8" w14:textId="7237AA20" w:rsidR="00761CCD" w:rsidRPr="00563285" w:rsidRDefault="006F6634" w:rsidP="009A11C7">
      <w:pPr>
        <w:jc w:val="both"/>
        <w:rPr>
          <w:sz w:val="21"/>
          <w:szCs w:val="21"/>
          <w:lang w:val="ru-RU"/>
        </w:rPr>
        <w:spacing w:before="120" w:after="0" w:line="276" w:lineRule="auto"/>
      </w:pPr>
      <w:r>
        <w:rPr>
          <w:rFonts w:ascii="Cambria" w:hAnsi="Cambria"/>
          <w:sz w:val="22"/>
        </w:rPr>
        <w:t>ME a été utilisée comme structure intermédiaire entre MS et les sociétés étrangères liées à AVB.</w:t>
      </w:r>
    </w:p>
    <w:p w14:paraId="735025E7" w14:textId="77777777" w:rsidR="001247E2" w:rsidRPr="00563285" w:rsidRDefault="001247E2" w:rsidP="009A11C7">
      <w:pPr>
        <w:jc w:val="both"/>
        <w:rPr>
          <w:sz w:val="21"/>
          <w:szCs w:val="21"/>
          <w:lang w:val="ru-RU"/>
        </w:rPr>
        <w:spacing w:before="120" w:after="0" w:line="276" w:lineRule="auto"/>
      </w:pPr>
      <w:r>
        <w:rPr>
          <w:rFonts w:ascii="Cambria" w:hAnsi="Cambria"/>
          <w:sz w:val="22"/>
        </w:rPr>
        <w:t>Parmi ces sociétés, l'enquête inclut Fraser, Geoford, Enfields, Duncan, Business House Helena, Laterson, Aldon et d'autres structures.</w:t>
      </w:r>
    </w:p>
    <w:p w14:paraId="5E2C88AB" w14:textId="248B550E" w:rsidR="001247E2" w:rsidRPr="00563285" w:rsidRDefault="001247E2" w:rsidP="009A11C7">
      <w:pPr>
        <w:jc w:val="both"/>
        <w:rPr>
          <w:sz w:val="21"/>
          <w:szCs w:val="21"/>
          <w:lang w:val="ru-RU"/>
        </w:rPr>
        <w:spacing w:before="120" w:after="0" w:line="276" w:lineRule="auto"/>
      </w:pPr>
      <w:r>
        <w:rPr>
          <w:rFonts w:ascii="Cambria" w:hAnsi="Cambria"/>
          <w:sz w:val="22"/>
        </w:rPr>
        <w:t>L'enquête considère que les contrats et les factures de ME créaient un fondement formel pour les paiements à ces sociétés, et que les paiements eux-mêmes pouvaient être utilisés pour faire sortir des fonds du groupe « Motor Sich ».</w:t>
      </w:r>
    </w:p>
    <w:p w14:paraId="04ACA8D8" w14:textId="60AE7D0D" w:rsidR="001247E2" w:rsidRPr="00563285" w:rsidRDefault="001247E2" w:rsidP="009A11C7">
      <w:pPr>
        <w:jc w:val="both"/>
        <w:rPr>
          <w:sz w:val="21"/>
          <w:szCs w:val="21"/>
          <w:lang w:val="ru-RU"/>
        </w:rPr>
        <w:spacing w:before="120" w:after="0" w:line="276" w:lineRule="auto"/>
      </w:pPr>
      <w:r>
        <w:rPr>
          <w:rFonts w:ascii="Cambria" w:hAnsi="Cambria"/>
          <w:sz w:val="22"/>
        </w:rPr>
        <w:t>Ensuite, ces paiements sont reliés au mouvement général de fonds à travers des comptes étrangers, des sociétés offshore et des actifs en France, à Monaco.</w:t>
      </w:r>
    </w:p>
    <w:p w14:paraId="055BFFE7" w14:textId="55F67E85" w:rsidR="00822D7C" w:rsidRPr="00563285" w:rsidRDefault="00822D7C" w:rsidP="009A11C7">
      <w:pPr>
        <w:pStyle w:val="a3"/>
        <w:contextualSpacing w:val="0"/>
        <w:jc w:val="both"/>
        <w:rPr>
          <w:sz w:val="21"/>
          <w:szCs w:val="21"/>
          <w:lang w:val="ru-RU"/>
        </w:rPr>
        <w:ind w:left="0"/>
        <w:spacing w:before="120" w:after="0" w:line="276" w:lineRule="auto"/>
      </w:pPr>
      <w:r>
        <w:rPr>
          <w:rFonts w:ascii="Cambria" w:hAnsi="Cambria"/>
          <w:sz w:val="22"/>
        </w:rPr>
        <w:t>Séparément, l'enquête se réfère à des documents dans lesquels AVB est mentionné comme directeur de ME, en particulier une lettre du 9 juillet 2016, préparée pour la procédure d'obtention de la citoyenneté de Grenade.</w:t>
      </w:r>
    </w:p>
    <w:p w14:paraId="4320ECBC" w14:textId="77777777" w:rsidR="00862087" w:rsidRPr="00563285" w:rsidRDefault="00862087" w:rsidP="009A11C7">
      <w:pPr>
        <w:pStyle w:val="a3"/>
        <w:contextualSpacing w:val="0"/>
        <w:jc w:val="both"/>
        <w:rPr>
          <w:sz w:val="21"/>
          <w:szCs w:val="21"/>
          <w:lang w:val="ru-RU"/>
        </w:rPr>
        <w:ind w:left="0"/>
        <w:spacing w:before="120" w:after="0" w:line="276" w:lineRule="auto"/>
      </w:pPr>
      <w:r>
        <w:rPr>
          <w:rFonts w:ascii="Cambria" w:hAnsi="Cambria" w:cs="Cambria"/>
          <w:sz w:val="22"/>
        </w:rPr>
      </w:r>
    </w:p>
    <w:p w14:paraId="23E6ED45" w14:textId="77777777"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Embargo et restrictions à l'exportation »</w:t>
      </w:r>
    </w:p>
    <w:p w14:paraId="6D29476E"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63A63F38" w14:textId="77777777" w:rsidR="008B5C35" w:rsidRPr="00563285" w:rsidRDefault="008B5C35" w:rsidP="008B5C35">
      <w:pPr>
        <w:jc w:val="both"/>
        <w:rPr>
          <w:sz w:val="21"/>
          <w:szCs w:val="21"/>
          <w:lang w:val="ru-RU"/>
        </w:rPr>
        <w:spacing w:before="120" w:after="0" w:line="276" w:lineRule="auto"/>
      </w:pPr>
      <w:r>
        <w:rPr>
          <w:rFonts w:ascii="Cambria" w:hAnsi="Cambria"/>
          <w:sz w:val="22"/>
        </w:rPr>
        <w:t>Le grief français concernant l'embargo est fondé sur la version de l'enquête ukrainienne.</w:t>
      </w:r>
    </w:p>
    <w:p w14:paraId="7BD435B6" w14:textId="77777777" w:rsidR="008B5C35" w:rsidRPr="00563285" w:rsidRDefault="008B5C35" w:rsidP="008B5C35">
      <w:pPr>
        <w:jc w:val="both"/>
        <w:rPr>
          <w:sz w:val="21"/>
          <w:szCs w:val="21"/>
          <w:lang w:val="ru-RU"/>
        </w:rPr>
        <w:spacing w:before="120" w:after="0" w:line="276" w:lineRule="auto"/>
      </w:pPr>
      <w:r>
        <w:rPr>
          <w:rFonts w:ascii="Cambria" w:hAnsi="Cambria"/>
          <w:sz w:val="22"/>
        </w:rPr>
        <w:t>En 2014–2022, MS a poursuivi les livraisons de produits aéronautiques dans l'intérêt de la FR par le biais de pays tiers : RPC, Hong Kong et EAU.</w:t>
      </w:r>
    </w:p>
    <w:p w14:paraId="171D7650" w14:textId="77777777" w:rsidR="008B5C35" w:rsidRPr="00563285" w:rsidRDefault="008B5C35" w:rsidP="008B5C35">
      <w:pPr>
        <w:jc w:val="both"/>
        <w:rPr>
          <w:sz w:val="21"/>
          <w:szCs w:val="21"/>
          <w:lang w:val="ru-RU"/>
        </w:rPr>
        <w:spacing w:before="120" w:after="0" w:line="276" w:lineRule="auto"/>
      </w:pPr>
      <w:r>
        <w:rPr>
          <w:rFonts w:ascii="Cambria" w:hAnsi="Cambria"/>
          <w:sz w:val="22"/>
        </w:rPr>
        <w:t>Principaux cocontractants : China Taly Aviation Technologies Corp., MEDIPOST Trading Limited, MIR Trading Ltd., Avia Atlas FZE, ainsi que ME.</w:t>
      </w:r>
    </w:p>
    <w:p w14:paraId="6050A3D1" w14:textId="77777777" w:rsidR="008B5C35" w:rsidRPr="00563285" w:rsidRDefault="008B5C35" w:rsidP="008B5C35">
      <w:pPr>
        <w:jc w:val="both"/>
        <w:rPr>
          <w:sz w:val="21"/>
          <w:szCs w:val="21"/>
          <w:lang w:val="ru-RU"/>
        </w:rPr>
        <w:spacing w:before="120" w:after="0" w:line="276" w:lineRule="auto"/>
      </w:pPr>
      <w:r>
        <w:rPr>
          <w:rFonts w:ascii="Cambria" w:hAnsi="Cambria"/>
          <w:sz w:val="22"/>
        </w:rPr>
        <w:t>La partie française associe en outre à ce volet Pistone Trade Ltd. et Geoford LLP.</w:t>
      </w:r>
    </w:p>
    <w:p w14:paraId="10A97114" w14:textId="77777777" w:rsidR="008B5C35" w:rsidRPr="00563285" w:rsidRDefault="008B5C35" w:rsidP="008B5C35">
      <w:pPr>
        <w:jc w:val="both"/>
        <w:rPr>
          <w:sz w:val="21"/>
          <w:szCs w:val="21"/>
          <w:lang w:val="ru-RU"/>
        </w:rPr>
        <w:spacing w:before="120" w:after="0" w:line="276" w:lineRule="auto"/>
      </w:pPr>
      <w:r>
        <w:rPr>
          <w:rFonts w:ascii="Cambria" w:hAnsi="Cambria"/>
          <w:sz w:val="22"/>
        </w:rPr>
        <w:t>De telles livraisons violaient les restrictions ukrainiennes à l'exportation et pouvaient constituer une source de fonds qui, par la suite, étaient blanchis à travers des comptes étrangers, des sociétés et des actifs en France, à Monaco.</w:t>
      </w:r>
    </w:p>
    <w:p w14:paraId="4F63D22C" w14:textId="77777777" w:rsidR="008B5C35" w:rsidRPr="00563285" w:rsidRDefault="008B5C35" w:rsidP="008B5C35">
      <w:pPr>
        <w:jc w:val="both"/>
        <w:rPr>
          <w:sz w:val="21"/>
          <w:szCs w:val="21"/>
          <w:lang w:val="ru-RU"/>
        </w:rPr>
        <w:spacing w:before="120" w:after="0" w:line="276" w:lineRule="auto"/>
      </w:pPr>
      <w:r>
        <w:rPr>
          <w:rFonts w:ascii="Cambria" w:hAnsi="Cambria"/>
          <w:sz w:val="22"/>
        </w:rPr>
        <w:t>Ces circonstances sont examinées comme une source sous-jacente possible de fonds pour le blanchiment ultérieur.</w:t>
      </w:r>
    </w:p>
    <w:p w14:paraId="7A4B02AB" w14:textId="29534876" w:rsidR="00664BB0" w:rsidRPr="00563285" w:rsidRDefault="00664BB0" w:rsidP="008B5C35">
      <w:pPr>
        <w:jc w:val="both"/>
        <w:rPr>
          <w:sz w:val="21"/>
          <w:szCs w:val="21"/>
          <w:lang w:val="ru-RU"/>
        </w:rPr>
        <w:spacing w:before="120" w:after="0" w:line="276" w:lineRule="auto"/>
      </w:pPr>
      <w:r>
        <w:rPr/>
        <w:t>En outre est indiqué un virement du 3 août 2022 d'un montant de 820 mille USD du compte de VAB auprès de Corner Banca vers le compte d'AVB auprès de la SA « Motor Bank ». Ceci est utilisé comme lien entre VAB, AVB et les fonds dont l'origine est mise en doute.</w:t>
      </w:r>
    </w:p>
    <w:p w14:paraId="4382CDE2" w14:textId="4B052ADF" w:rsidR="008B5C35" w:rsidRPr="00563285" w:rsidRDefault="008B5C35" w:rsidP="00B62F19">
      <w:pPr>
        <w:pStyle w:val="a3"/>
        <w:contextualSpacing w:val="0"/>
        <w:jc w:val="both"/>
        <w:rPr>
          <w:sz w:val="21"/>
          <w:szCs w:val="21"/>
          <w:lang w:val="ru-RU"/>
        </w:rPr>
        <w:ind w:left="0"/>
        <w:spacing w:before="120" w:after="0" w:line="276" w:lineRule="auto"/>
      </w:pPr>
      <w:r>
        <w:rPr>
          <w:rFonts w:ascii="Cambria" w:hAnsi="Cambria"/>
          <w:sz w:val="22"/>
        </w:rPr>
        <w:t>Preuves de l'enquête - pièces de la procédure ukrainienne sur les épisodes d'embargo, obtenues par la France dans le cadre de l'entraide judiciaire internationale.</w:t>
      </w:r>
    </w:p>
    <w:p w14:paraId="7E91A421" w14:textId="77777777" w:rsidR="008B5C35" w:rsidRPr="00563285" w:rsidRDefault="008B5C35"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62CE5E0E" w14:textId="385B1133"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Vente d'actions de la SA “Motor Sich” et la question de l'autorisation de l'AMKU »</w:t>
      </w:r>
    </w:p>
    <w:p w14:paraId="21FB176E"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8BE905B" w14:textId="77777777" w:rsidR="008B5C35" w:rsidRPr="00563285" w:rsidRDefault="008B5C35" w:rsidP="008B5C35">
      <w:pPr>
        <w:jc w:val="both"/>
        <w:rPr>
          <w:sz w:val="21"/>
          <w:szCs w:val="21"/>
          <w:lang w:val="ru-RU"/>
        </w:rPr>
        <w:spacing w:before="120" w:after="0" w:line="276" w:lineRule="auto"/>
      </w:pPr>
      <w:r>
        <w:rPr>
          <w:rFonts w:ascii="Cambria" w:hAnsi="Cambria"/>
          <w:sz w:val="22"/>
        </w:rPr>
        <w:t>L'enquête part du principe que VAB contrôlait en fait plus de 50 % des voix de MS.</w:t>
      </w:r>
    </w:p>
    <w:p w14:paraId="01B4D226" w14:textId="77777777" w:rsidR="008B5C35" w:rsidRPr="00563285" w:rsidRDefault="008B5C35" w:rsidP="008B5C35">
      <w:pPr>
        <w:jc w:val="both"/>
        <w:rPr>
          <w:sz w:val="21"/>
          <w:szCs w:val="21"/>
          <w:lang w:val="ru-RU"/>
        </w:rPr>
        <w:spacing w:before="120" w:after="0" w:line="276" w:lineRule="auto"/>
      </w:pPr>
      <w:r>
        <w:rPr>
          <w:rFonts w:ascii="Cambria" w:hAnsi="Cambria"/>
          <w:sz w:val="22"/>
        </w:rPr>
        <w:t>Selon la version de l'enquête, environ 15 % des actions appartenaient à VAB directement, et environ 49,97 % supplémentaires des actions se trouvaient sous son contrôle indirect par l'intermédiaire d'AVB et de sociétés étrangères.</w:t>
      </w:r>
    </w:p>
    <w:p w14:paraId="10EE9C2D" w14:textId="530E8991" w:rsidR="008B5C35" w:rsidRPr="00563285" w:rsidRDefault="008B5C35" w:rsidP="008B5C35">
      <w:pPr>
        <w:jc w:val="both"/>
        <w:rPr>
          <w:sz w:val="21"/>
          <w:szCs w:val="21"/>
          <w:lang w:val="ru-RU"/>
        </w:rPr>
        <w:spacing w:before="120" w:after="0" w:line="276" w:lineRule="auto"/>
      </w:pPr>
      <w:r>
        <w:rPr>
          <w:rFonts w:ascii="Cambria" w:hAnsi="Cambria"/>
          <w:sz w:val="22"/>
        </w:rPr>
        <w:t xml:space="preserve">Selon la version de l'enquête, dans le cadre de la « Grande transaction », des structures détenant plus de 50 % du capital de MS ont été vendues pour 695 millions d'USD. </w:t>
      </w:r>
    </w:p>
    <w:p w14:paraId="2CEA2FCF" w14:textId="77777777" w:rsidR="008B5C35" w:rsidRPr="00563285" w:rsidRDefault="008B5C35" w:rsidP="008B5C35">
      <w:pPr>
        <w:jc w:val="both"/>
        <w:rPr>
          <w:sz w:val="21"/>
          <w:szCs w:val="21"/>
          <w:lang w:val="ru-RU"/>
        </w:rPr>
        <w:spacing w:before="120" w:after="0" w:line="276" w:lineRule="auto"/>
      </w:pPr>
      <w:r>
        <w:rPr>
          <w:rFonts w:ascii="Cambria" w:hAnsi="Cambria"/>
          <w:sz w:val="22"/>
        </w:rPr>
        <w:t>L'enquête estime qu'une telle structure de détention témoigne d'une concentration sans obtention de l'autorisation du Comité antimonopole d'Ukraine (AMKU) et confirme le caractère dissimulé du contrôle d'AVB et de VAB sur les actions de MS.</w:t>
      </w:r>
    </w:p>
    <w:p w14:paraId="2F38F14A"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368D7C99" w14:textId="00522BA6" w:rsidR="008B5C35" w:rsidRPr="00563285" w:rsidRDefault="008B5C35" w:rsidP="00653927">
      <w:pPr>
        <w:pStyle w:val="a3"/>
        <w:numPr>
          <w:ilvl w:val="1"/>
          <w:numId w:val="12"/>
        </w:numPr>
        <w:tabs>
          <w:tab w:val="left" w:pos="0"/>
        </w:tabs>
        <w:contextualSpacing w:val="0"/>
        <w:jc w:val="both"/>
        <w:rPr>
          <w:sz w:val="21"/>
          <w:szCs w:val="21"/>
          <w:lang w:val="ru-RU"/>
        </w:rPr>
        <w:ind w:left="567" w:hanging="567"/>
        <w:spacing w:before="120" w:after="0" w:line="276" w:lineRule="auto"/>
      </w:pPr>
      <w:r>
        <w:rPr>
          <w:rFonts w:ascii="Cambria" w:hAnsi="Cambria"/>
          <w:sz w:val="22"/>
        </w:rPr>
        <w:t>Documents sur la structure de détention des actions de MS.</w:t>
      </w:r>
    </w:p>
    <w:p w14:paraId="6CF1D5D1" w14:textId="77777777" w:rsidR="008B5C35" w:rsidRPr="00563285" w:rsidRDefault="008B5C35" w:rsidP="00653927">
      <w:pPr>
        <w:pStyle w:val="a3"/>
        <w:numPr>
          <w:ilvl w:val="1"/>
          <w:numId w:val="12"/>
        </w:numPr>
        <w:tabs>
          <w:tab w:val="left" w:pos="0"/>
        </w:tabs>
        <w:contextualSpacing w:val="0"/>
        <w:jc w:val="both"/>
        <w:rPr>
          <w:sz w:val="21"/>
          <w:szCs w:val="21"/>
          <w:lang w:val="ru-RU"/>
        </w:rPr>
        <w:ind w:left="567" w:hanging="567"/>
        <w:spacing w:before="120" w:after="0" w:line="276" w:lineRule="auto"/>
      </w:pPr>
      <w:r>
        <w:rPr>
          <w:rFonts w:ascii="Cambria" w:hAnsi="Cambria"/>
          <w:sz w:val="22"/>
        </w:rPr>
        <w:t>Contrats de vente de sociétés de 2016.</w:t>
      </w:r>
    </w:p>
    <w:p w14:paraId="14A4A3C5" w14:textId="77777777" w:rsidR="008B5C35" w:rsidRPr="00563285" w:rsidRDefault="008B5C35" w:rsidP="00653927">
      <w:pPr>
        <w:pStyle w:val="a3"/>
        <w:numPr>
          <w:ilvl w:val="1"/>
          <w:numId w:val="12"/>
        </w:numPr>
        <w:tabs>
          <w:tab w:val="left" w:pos="0"/>
        </w:tabs>
        <w:contextualSpacing w:val="0"/>
        <w:jc w:val="both"/>
        <w:rPr>
          <w:sz w:val="21"/>
          <w:szCs w:val="21"/>
          <w:lang w:val="ru-RU"/>
        </w:rPr>
        <w:ind w:left="567" w:hanging="567"/>
        <w:spacing w:before="120" w:after="0" w:line="276" w:lineRule="auto"/>
      </w:pPr>
      <w:r>
        <w:rPr>
          <w:rFonts w:ascii="Cambria" w:hAnsi="Cambria"/>
          <w:sz w:val="22"/>
        </w:rPr>
        <w:t>Déclarations de trust, documents d'entreprise et informations sur les bénéficiaires.</w:t>
      </w:r>
    </w:p>
    <w:p w14:paraId="758B6943" w14:textId="77777777" w:rsidR="008B5C35" w:rsidRPr="00563285" w:rsidRDefault="008B5C35" w:rsidP="008B5C35">
      <w:pPr>
        <w:pStyle w:val="a3"/>
        <w:tabs>
          <w:tab w:val="left" w:pos="0"/>
        </w:tabs>
        <w:contextualSpacing w:val="0"/>
        <w:jc w:val="both"/>
        <w:rPr>
          <w:b/>
          <w:bCs/>
          <w:sz w:val="21"/>
          <w:szCs w:val="21"/>
          <w:lang w:val="ru-RU"/>
        </w:rPr>
        <w:ind w:left="567"/>
        <w:spacing w:before="120" w:after="0" w:line="276" w:lineRule="auto"/>
      </w:pPr>
      <w:r>
        <w:rPr>
          <w:rFonts w:ascii="Cambria" w:hAnsi="Cambria" w:cs="Cambria"/>
          <w:sz w:val="22"/>
        </w:rPr>
      </w:r>
    </w:p>
    <w:p w14:paraId="52381DEB" w14:textId="18AF9DE2"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Résidence fiscale, revenus et déclaration »</w:t>
      </w:r>
    </w:p>
    <w:bookmarkEnd w:id="1"/>
    <w:p w14:paraId="4DE0AFA4"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FBEF64D" w14:textId="77777777" w:rsidR="008B5C35" w:rsidRPr="00563285" w:rsidRDefault="008B5C35" w:rsidP="008B5C35">
      <w:pPr>
        <w:jc w:val="both"/>
        <w:rPr>
          <w:sz w:val="21"/>
          <w:szCs w:val="21"/>
          <w:lang w:val="ru-RU"/>
        </w:rPr>
        <w:spacing w:before="120" w:after="0" w:line="276" w:lineRule="auto"/>
      </w:pPr>
      <w:r>
        <w:rPr>
          <w:rFonts w:ascii="Cambria" w:hAnsi="Cambria"/>
          <w:sz w:val="22"/>
        </w:rPr>
        <w:t>La version de l'enquête repose sur la disproportion entre les revenus officiels d'AVB, le mouvement de fonds sur les comptes étrangers et la valeur des actifs en France, à Monaco.</w:t>
      </w:r>
    </w:p>
    <w:p w14:paraId="1BFBCC01" w14:textId="0343EF0D" w:rsidR="008B5C35" w:rsidRPr="00563285" w:rsidRDefault="008B5C35" w:rsidP="008B5C35">
      <w:pPr>
        <w:jc w:val="both"/>
        <w:rPr>
          <w:sz w:val="21"/>
          <w:szCs w:val="21"/>
          <w:lang w:val="ru-RU"/>
        </w:rPr>
        <w:spacing w:before="120" w:after="0" w:line="276" w:lineRule="auto"/>
      </w:pPr>
      <w:r>
        <w:rPr>
          <w:rFonts w:ascii="Cambria" w:hAnsi="Cambria"/>
          <w:sz w:val="22"/>
        </w:rPr>
        <w:t>Période clé - 2015–2016. À cette époque, AVB s'engage de fait dans la transaction de vente des actions de MS, reçoit des rentrées importantes liées à la transaction et établit un certificat de résidence fiscale des EAU.</w:t>
      </w:r>
    </w:p>
    <w:p w14:paraId="25CE08A6" w14:textId="77777777" w:rsidR="008B5C35" w:rsidRPr="00563285" w:rsidRDefault="008B5C35" w:rsidP="008B5C35">
      <w:pPr>
        <w:jc w:val="both"/>
        <w:rPr>
          <w:sz w:val="21"/>
          <w:szCs w:val="21"/>
          <w:lang w:val="ru-RU"/>
        </w:rPr>
        <w:spacing w:before="120" w:after="0" w:line="276" w:lineRule="auto"/>
      </w:pPr>
      <w:r>
        <w:rPr>
          <w:rFonts w:ascii="Cambria" w:hAnsi="Cambria"/>
          <w:sz w:val="22"/>
        </w:rPr>
        <w:t>L'enquête justifie quantitativement l'écart entre les revenus déclarés et les actifs : dans les pièces sont indiqués 120 144 EUR de revenus pour 2000–2009 et 370 000 EUR pour 2010–2014, pour des acquisitions ultérieures de biens immobiliers d'un montant nettement supérieur.</w:t>
      </w:r>
    </w:p>
    <w:p w14:paraId="6C2E8A50" w14:textId="77777777" w:rsidR="008B5C35" w:rsidRPr="00563285" w:rsidRDefault="008B5C35" w:rsidP="008B5C35">
      <w:pPr>
        <w:jc w:val="both"/>
        <w:rPr>
          <w:sz w:val="21"/>
          <w:szCs w:val="21"/>
          <w:lang w:val="ru-RU"/>
        </w:rPr>
        <w:spacing w:before="120" w:after="0" w:line="276" w:lineRule="auto"/>
      </w:pPr>
      <w:r>
        <w:rPr/>
        <w:t>Le certificat des EAU est utilisé comme argument sur l'incertitude fiscale du statut d'AVB pendant la période de réception de fonds importants.</w:t>
      </w:r>
    </w:p>
    <w:p w14:paraId="507D203D" w14:textId="77777777" w:rsidR="008B5C35" w:rsidRPr="00563285" w:rsidRDefault="008B5C35" w:rsidP="008B5C35">
      <w:pPr>
        <w:jc w:val="both"/>
        <w:rPr>
          <w:sz w:val="21"/>
          <w:szCs w:val="21"/>
          <w:lang w:val="ru-RU"/>
        </w:rPr>
        <w:spacing w:before="120" w:after="0" w:line="276" w:lineRule="auto"/>
      </w:pPr>
      <w:r>
        <w:rPr>
          <w:rFonts w:ascii="Cambria" w:hAnsi="Cambria"/>
          <w:sz w:val="22"/>
        </w:rPr>
        <w:t>Il est souligné séparément l'absence de documents qui confirmeraient directement la résidence fiscale d'AVB à Monaco pour 2016.</w:t>
      </w:r>
    </w:p>
    <w:p w14:paraId="6B4AA3B1" w14:textId="77777777" w:rsidR="008B5C35" w:rsidRPr="00563285" w:rsidRDefault="008B5C35" w:rsidP="008B5C35">
      <w:pPr>
        <w:pStyle w:val="a3"/>
        <w:contextualSpacing w:val="0"/>
        <w:jc w:val="both"/>
        <w:rPr>
          <w:sz w:val="21"/>
          <w:szCs w:val="21"/>
          <w:lang w:val="ru-RU"/>
        </w:rPr>
        <w:ind w:left="0"/>
        <w:spacing w:before="120" w:after="0" w:line="276" w:lineRule="auto"/>
      </w:pPr>
      <w:r>
        <w:rPr>
          <w:rFonts w:ascii="Cambria" w:hAnsi="Cambria"/>
          <w:sz w:val="22"/>
        </w:rPr>
        <w:t>Sont également analysées les données de l'Ukraine, de la France et de Monaco sur les revenus, les biens, les SCI, les déclarations fiscales et les comptes bancaires.</w:t>
      </w:r>
    </w:p>
    <w:p w14:paraId="2976ADD8"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48F80AB7" w14:textId="77777777" w:rsidR="008B5C35" w:rsidRPr="00563285" w:rsidRDefault="008B5C35" w:rsidP="00653927">
      <w:pPr>
        <w:pStyle w:val="a3"/>
        <w:numPr>
          <w:ilvl w:val="1"/>
          <w:numId w:val="8"/>
        </w:numPr>
        <w:contextualSpacing w:val="0"/>
        <w:jc w:val="both"/>
        <w:rPr>
          <w:sz w:val="21"/>
          <w:szCs w:val="21"/>
          <w:lang w:val="ru-RU"/>
        </w:rPr>
        <w:ind w:left="567" w:hanging="567"/>
        <w:spacing w:before="120" w:after="0" w:line="276" w:lineRule="auto"/>
      </w:pPr>
      <w:r>
        <w:rPr>
          <w:rFonts w:ascii="Cambria" w:hAnsi="Cambria"/>
          <w:sz w:val="22"/>
        </w:rPr>
        <w:t>Procès-verbaux d'examen de l'enquête française concernant les données fiscales de l'Ukraine, de la France, de Monaco et des EAU.</w:t>
      </w:r>
    </w:p>
    <w:p w14:paraId="6EBFE0C0" w14:textId="77777777" w:rsidR="008B5C35" w:rsidRPr="00563285" w:rsidRDefault="008B5C35" w:rsidP="00653927">
      <w:pPr>
        <w:pStyle w:val="a3"/>
        <w:numPr>
          <w:ilvl w:val="0"/>
          <w:numId w:val="8"/>
        </w:numPr>
        <w:contextualSpacing w:val="0"/>
        <w:jc w:val="both"/>
        <w:rPr>
          <w:sz w:val="21"/>
          <w:szCs w:val="21"/>
          <w:lang w:val="ru-RU"/>
        </w:rPr>
        <w:ind w:left="567" w:hanging="567"/>
        <w:spacing w:before="120" w:after="0" w:line="276" w:lineRule="auto"/>
      </w:pPr>
      <w:r>
        <w:rPr>
          <w:rFonts w:ascii="Cambria" w:hAnsi="Cambria"/>
          <w:sz w:val="22"/>
        </w:rPr>
        <w:t>Données fiscales ukrainiennes sur les revenus déclarés d'AVB.</w:t>
      </w:r>
    </w:p>
    <w:p w14:paraId="521E1086" w14:textId="77777777" w:rsidR="008B5C35" w:rsidRPr="00563285" w:rsidRDefault="008B5C35" w:rsidP="00653927">
      <w:pPr>
        <w:pStyle w:val="a3"/>
        <w:numPr>
          <w:ilvl w:val="0"/>
          <w:numId w:val="8"/>
        </w:numPr>
        <w:contextualSpacing w:val="0"/>
        <w:jc w:val="both"/>
        <w:rPr>
          <w:sz w:val="21"/>
          <w:szCs w:val="21"/>
          <w:lang w:val="ru-RU"/>
        </w:rPr>
        <w:ind w:left="567" w:hanging="567"/>
        <w:spacing w:before="120" w:after="0" w:line="276" w:lineRule="auto"/>
      </w:pPr>
      <w:r>
        <w:rPr>
          <w:rFonts w:ascii="Cambria" w:hAnsi="Cambria"/>
          <w:sz w:val="22"/>
        </w:rPr>
        <w:t>Documents bancaires sur les comptes personnels d'AVB et les comptes des sociétés étrangères liées.</w:t>
      </w:r>
    </w:p>
    <w:p w14:paraId="666CB85F" w14:textId="77777777" w:rsidR="008B5C35" w:rsidRPr="00563285" w:rsidRDefault="008B5C35" w:rsidP="00653927">
      <w:pPr>
        <w:pStyle w:val="a3"/>
        <w:numPr>
          <w:ilvl w:val="0"/>
          <w:numId w:val="8"/>
        </w:numPr>
        <w:contextualSpacing w:val="0"/>
        <w:jc w:val="both"/>
        <w:rPr>
          <w:sz w:val="21"/>
          <w:szCs w:val="21"/>
          <w:lang w:val="ru-RU"/>
        </w:rPr>
        <w:ind w:left="567" w:hanging="567"/>
        <w:spacing w:before="120" w:after="0" w:line="276" w:lineRule="auto"/>
      </w:pPr>
      <w:r>
        <w:rPr>
          <w:rFonts w:ascii="Cambria" w:hAnsi="Cambria"/>
          <w:sz w:val="22"/>
        </w:rPr>
        <w:t>Documents sur le certificat de résidence fiscale des EAU pour 2016.</w:t>
      </w:r>
    </w:p>
    <w:p w14:paraId="0FD769AA" w14:textId="77777777" w:rsidR="008B5C35" w:rsidRPr="00563285" w:rsidRDefault="008B5C35" w:rsidP="008B5C35">
      <w:pPr>
        <w:pStyle w:val="a3"/>
        <w:contextualSpacing w:val="0"/>
        <w:jc w:val="both"/>
        <w:rPr>
          <w:sz w:val="21"/>
          <w:szCs w:val="21"/>
          <w:lang w:val="ru-RU"/>
        </w:rPr>
        <w:ind w:left="567"/>
        <w:spacing w:before="120" w:after="0" w:line="276" w:lineRule="auto"/>
      </w:pPr>
      <w:r>
        <w:rPr>
          <w:rFonts w:ascii="Cambria" w:hAnsi="Cambria" w:cs="Cambria"/>
          <w:sz w:val="22"/>
        </w:rPr>
      </w:r>
    </w:p>
    <w:p w14:paraId="043E80C9" w14:textId="24489E1A" w:rsidR="008B5C35" w:rsidRPr="00563285" w:rsidRDefault="008B5C3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Sociétés étrangères et structures d'entreprise »</w:t>
      </w:r>
    </w:p>
    <w:p w14:paraId="2A190593" w14:textId="77777777" w:rsidR="00FB0204"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29EFF68A" w14:textId="04D49FFD" w:rsidR="00FB0204" w:rsidRPr="00563285" w:rsidRDefault="00B62F19" w:rsidP="00FB0204">
      <w:pPr>
        <w:pStyle w:val="a3"/>
        <w:contextualSpacing w:val="0"/>
        <w:jc w:val="both"/>
        <w:rPr>
          <w:rFonts w:eastAsia="Times New Roman" w:cs="Times New Roman"/>
          <w:sz w:val="21"/>
          <w:szCs w:val="21"/>
          <w:lang w:val="ru-RU" w:eastAsia="uk-UA"/>
        </w:rPr>
        <w:ind w:left="0"/>
        <w:spacing w:before="120" w:after="0" w:line="276" w:lineRule="auto"/>
      </w:pPr>
      <w:r>
        <w:rPr>
          <w:rFonts w:ascii="Cambria" w:hAnsi="Cambria"/>
          <w:sz w:val="22"/>
        </w:rPr>
        <w:t>L'enquête considère les sociétés étrangères comme une infrastructure de mouvement de fonds.</w:t>
      </w:r>
    </w:p>
    <w:p w14:paraId="2AC1F8E3" w14:textId="6D0D6C6E" w:rsidR="00FB0204" w:rsidRPr="00563285" w:rsidRDefault="00FB0204" w:rsidP="00FB0204">
      <w:pPr>
        <w:pStyle w:val="a3"/>
        <w:contextualSpacing w:val="0"/>
        <w:jc w:val="both"/>
        <w:rPr>
          <w:sz w:val="21"/>
          <w:szCs w:val="21"/>
          <w:u w:val="single"/>
          <w:lang w:val="ru-RU"/>
        </w:rPr>
        <w:ind w:left="0"/>
        <w:spacing w:before="120" w:after="0" w:line="276" w:lineRule="auto"/>
      </w:pPr>
      <w:r>
        <w:rPr>
          <w:rFonts w:ascii="Cambria" w:hAnsi="Cambria"/>
          <w:sz w:val="22"/>
        </w:rPr>
        <w:t>Selon la version de l'enquête, ces sociétés relient entre eux les paiements d'agence, les comptes bancaires, la transaction de vente des actions de MS, les opérations commerciales et l'acquisition ultérieure d'actifs en France et à Monaco.</w:t>
      </w:r>
    </w:p>
    <w:p w14:paraId="6E75F1F5" w14:textId="77777777" w:rsidR="00FB0204" w:rsidRPr="00563285" w:rsidRDefault="00FB0204" w:rsidP="00FB0204">
      <w:pPr>
        <w:jc w:val="both"/>
        <w:rPr>
          <w:rFonts w:eastAsia="Times New Roman" w:cs="Times New Roman"/>
          <w:sz w:val="21"/>
          <w:szCs w:val="21"/>
          <w:lang w:val="ru-RU" w:eastAsia="uk-UA"/>
        </w:rPr>
        <w:spacing w:before="120" w:after="0" w:line="276" w:lineRule="auto"/>
      </w:pPr>
      <w:r>
        <w:rPr>
          <w:rFonts w:ascii="Cambria" w:hAnsi="Cambria"/>
          <w:sz w:val="22"/>
        </w:rPr>
        <w:t>Dans les pièces sont distingués trois groupes de sociétés et d'opérations.</w:t>
      </w:r>
    </w:p>
    <w:p w14:paraId="73C2F628" w14:textId="5B52CD1A" w:rsidR="00FB0204" w:rsidRPr="00563285" w:rsidRDefault="00FB0204" w:rsidP="00653927">
      <w:pPr>
        <w:pStyle w:val="a3"/>
        <w:numPr>
          <w:ilvl w:val="0"/>
          <w:numId w:val="25"/>
        </w:numPr>
        <w:contextualSpacing w:val="0"/>
        <w:jc w:val="both"/>
        <w:rPr>
          <w:rFonts w:eastAsia="Times New Roman" w:cs="Times New Roman"/>
          <w:sz w:val="21"/>
          <w:szCs w:val="21"/>
          <w:lang w:val="ru-RU" w:eastAsia="uk-UA"/>
        </w:rPr>
        <w:ind w:left="567" w:hanging="567"/>
        <w:spacing w:before="120" w:after="0" w:line="276" w:lineRule="auto"/>
      </w:pPr>
      <w:r>
        <w:rPr>
          <w:rFonts w:ascii="Cambria" w:hAnsi="Cambria"/>
          <w:sz w:val="22"/>
        </w:rPr>
        <w:t>Sociétés du volet d'agence. Parmi elles, l'enquête inclut Enfields, Geoford, Fraser, Duncan, Business House Helena, Aldon, Laterson et d'autres structures.</w:t>
      </w:r>
    </w:p>
    <w:p w14:paraId="417CA6DC" w14:textId="1B3EEA0A" w:rsidR="00FB0204" w:rsidRPr="00563285" w:rsidRDefault="00FB0204" w:rsidP="00653927">
      <w:pPr>
        <w:pStyle w:val="a3"/>
        <w:numPr>
          <w:ilvl w:val="0"/>
          <w:numId w:val="25"/>
        </w:numPr>
        <w:contextualSpacing w:val="0"/>
        <w:jc w:val="both"/>
        <w:rPr>
          <w:rFonts w:eastAsia="Times New Roman" w:cs="Times New Roman"/>
          <w:sz w:val="21"/>
          <w:szCs w:val="21"/>
          <w:lang w:val="ru-RU" w:eastAsia="uk-UA"/>
        </w:rPr>
        <w:ind w:left="567" w:hanging="567"/>
        <w:spacing w:before="120" w:after="0" w:line="276" w:lineRule="auto"/>
      </w:pPr>
      <w:r>
        <w:rPr>
          <w:rFonts w:ascii="Cambria" w:hAnsi="Cambria"/>
          <w:sz w:val="22"/>
        </w:rPr>
        <w:t>Sociétés liées à la transaction de vente des actions de MS - Calloway Finance Limited, Katran Limited, Stamio Investment Limited, Longwizard Corp., Taladin Limited et Laterson Management Group Ltd.</w:t>
      </w:r>
    </w:p>
    <w:p w14:paraId="11E7CF5E" w14:textId="6C8F4882" w:rsidR="00FB0204" w:rsidRPr="00563285" w:rsidRDefault="00FB0204" w:rsidP="00653927">
      <w:pPr>
        <w:pStyle w:val="a3"/>
        <w:numPr>
          <w:ilvl w:val="0"/>
          <w:numId w:val="25"/>
        </w:numPr>
        <w:contextualSpacing w:val="0"/>
        <w:jc w:val="both"/>
        <w:rPr>
          <w:rFonts w:eastAsia="Times New Roman" w:cs="Times New Roman"/>
          <w:sz w:val="21"/>
          <w:szCs w:val="21"/>
          <w:lang w:val="ru-RU" w:eastAsia="uk-UA"/>
        </w:rPr>
        <w:ind w:left="567" w:hanging="567"/>
        <w:spacing w:before="120" w:after="0" w:line="276" w:lineRule="auto"/>
      </w:pPr>
      <w:r>
        <w:rPr>
          <w:rFonts w:ascii="Cambria" w:hAnsi="Cambria"/>
          <w:sz w:val="22"/>
        </w:rPr>
        <w:t>Opérations commerciales entre sociétés étrangères qui ne sont pas des contrats d'agence de MS / ME. Celles-ci comprennent, notamment :</w:t>
      </w:r>
    </w:p>
    <w:p w14:paraId="050AFB21" w14:textId="654131B0" w:rsidR="00FB0204" w:rsidRPr="00563285" w:rsidRDefault="00FB0204" w:rsidP="00653927">
      <w:pPr>
        <w:numPr>
          <w:ilvl w:val="0"/>
          <w:numId w:val="24"/>
        </w:numPr>
        <w:tabs>
          <w:tab w:val="clear" w:pos="720"/>
          <w:tab w:val="num" w:pos="426"/>
        </w:tabs>
        <w:jc w:val="both"/>
        <w:rPr>
          <w:rFonts w:eastAsia="Times New Roman" w:cs="Times New Roman"/>
          <w:sz w:val="21"/>
          <w:szCs w:val="21"/>
          <w:lang w:val="ru-RU" w:eastAsia="uk-UA"/>
        </w:rPr>
        <w:ind w:left="1134" w:hanging="425"/>
        <w:spacing w:before="120" w:after="0" w:line="276" w:lineRule="auto"/>
      </w:pPr>
      <w:r>
        <w:rPr>
          <w:rFonts w:ascii="Cambria" w:hAnsi="Cambria"/>
          <w:sz w:val="22"/>
        </w:rPr>
        <w:t>contrats de Laterson avec Transnet, Valantia et Standholm sur les matériaux de construction ;</w:t>
      </w:r>
    </w:p>
    <w:p w14:paraId="1150DA63" w14:textId="77777777" w:rsidR="00FB0204" w:rsidRPr="00563285" w:rsidRDefault="00FB0204" w:rsidP="00653927">
      <w:pPr>
        <w:numPr>
          <w:ilvl w:val="0"/>
          <w:numId w:val="24"/>
        </w:numPr>
        <w:tabs>
          <w:tab w:val="clear" w:pos="720"/>
          <w:tab w:val="num" w:pos="426"/>
        </w:tabs>
        <w:jc w:val="both"/>
        <w:rPr>
          <w:rFonts w:eastAsia="Times New Roman" w:cs="Times New Roman"/>
          <w:sz w:val="21"/>
          <w:szCs w:val="21"/>
          <w:lang w:val="ru-RU" w:eastAsia="uk-UA"/>
        </w:rPr>
        <w:ind w:left="1134" w:hanging="425"/>
        <w:spacing w:before="120" w:after="0" w:line="276" w:lineRule="auto"/>
      </w:pPr>
      <w:r>
        <w:rPr>
          <w:rFonts w:ascii="Cambria" w:hAnsi="Cambria"/>
          <w:sz w:val="22"/>
        </w:rPr>
        <w:t xml:space="preserve">contrat Enfields / East Star pour une étude de marché du secteur bancaire ukrainien ; </w:t>
      </w:r>
    </w:p>
    <w:p w14:paraId="6D6FCA42" w14:textId="7B072C78" w:rsidR="00FB0204" w:rsidRPr="00563285" w:rsidRDefault="00FB0204" w:rsidP="00FB0204">
      <w:pPr>
        <w:jc w:val="both"/>
        <w:rPr>
          <w:rFonts w:eastAsia="Times New Roman" w:cs="Times New Roman"/>
          <w:sz w:val="21"/>
          <w:szCs w:val="21"/>
          <w:lang w:val="ru-RU" w:eastAsia="uk-UA"/>
        </w:rPr>
        <w:spacing w:before="120" w:after="0" w:line="276" w:lineRule="auto"/>
      </w:pPr>
      <w:r>
        <w:rPr>
          <w:rFonts w:ascii="Cambria" w:hAnsi="Cambria"/>
          <w:sz w:val="22"/>
        </w:rPr>
        <w:t>L'enquête met en doute la réalité économique d'une partie de ces opérations. Principaux griefs de l'enquête :</w:t>
      </w:r>
    </w:p>
    <w:p w14:paraId="2A026E78" w14:textId="77777777" w:rsidR="00FB0204" w:rsidRPr="00563285" w:rsidRDefault="00FB0204" w:rsidP="00653927">
      <w:pPr>
        <w:pStyle w:val="a3"/>
        <w:numPr>
          <w:ilvl w:val="0"/>
          <w:numId w:val="26"/>
        </w:numPr>
        <w:contextualSpacing w:val="0"/>
        <w:jc w:val="both"/>
        <w:rPr>
          <w:rFonts w:eastAsia="Times New Roman" w:cs="Times New Roman"/>
          <w:sz w:val="21"/>
          <w:szCs w:val="21"/>
          <w:lang w:val="ru-RU" w:eastAsia="uk-UA"/>
        </w:rPr>
        <w:ind w:left="567" w:hanging="425"/>
        <w:spacing w:before="120" w:after="0" w:line="276" w:lineRule="auto"/>
      </w:pPr>
      <w:r>
        <w:rPr>
          <w:rFonts w:ascii="Cambria" w:hAnsi="Cambria"/>
          <w:sz w:val="22"/>
        </w:rPr>
        <w:t>divergence entre les montants des contrats, des factures et des encaissements effectifs ;</w:t>
      </w:r>
    </w:p>
    <w:p w14:paraId="1C183DBB" w14:textId="77777777" w:rsidR="00FB0204" w:rsidRPr="00563285" w:rsidRDefault="00FB0204" w:rsidP="00653927">
      <w:pPr>
        <w:pStyle w:val="a3"/>
        <w:numPr>
          <w:ilvl w:val="0"/>
          <w:numId w:val="26"/>
        </w:numPr>
        <w:contextualSpacing w:val="0"/>
        <w:jc w:val="both"/>
        <w:rPr>
          <w:rFonts w:eastAsia="Times New Roman" w:cs="Times New Roman"/>
          <w:sz w:val="21"/>
          <w:szCs w:val="21"/>
          <w:lang w:val="ru-RU" w:eastAsia="uk-UA"/>
        </w:rPr>
        <w:ind w:left="567" w:hanging="425"/>
        <w:spacing w:before="120" w:after="0" w:line="276" w:lineRule="auto"/>
      </w:pPr>
      <w:r>
        <w:rPr>
          <w:rFonts w:ascii="Cambria" w:hAnsi="Cambria"/>
          <w:sz w:val="22"/>
        </w:rPr>
        <w:t>absence de confirmations de livraison, de transport ou d'acheteurs finaux ;</w:t>
      </w:r>
    </w:p>
    <w:p w14:paraId="46D01B13" w14:textId="3F9A4365" w:rsidR="00FB0204" w:rsidRPr="00563285" w:rsidRDefault="00FB0204" w:rsidP="00653927">
      <w:pPr>
        <w:pStyle w:val="a3"/>
        <w:numPr>
          <w:ilvl w:val="0"/>
          <w:numId w:val="26"/>
        </w:numPr>
        <w:contextualSpacing w:val="0"/>
        <w:jc w:val="both"/>
        <w:rPr>
          <w:rFonts w:eastAsia="Times New Roman" w:cs="Times New Roman"/>
          <w:sz w:val="21"/>
          <w:szCs w:val="21"/>
          <w:lang w:val="ru-RU" w:eastAsia="uk-UA"/>
        </w:rPr>
        <w:ind w:left="567" w:hanging="425"/>
        <w:spacing w:before="120" w:after="0" w:line="276" w:lineRule="auto"/>
      </w:pPr>
      <w:r>
        <w:rPr/>
        <w:t>l'utilisation de documents pour la conformité bancaire et l'explication des paiements déjà effectués.</w:t>
      </w:r>
    </w:p>
    <w:p w14:paraId="457F80C3" w14:textId="57A53435" w:rsidR="00FB0204" w:rsidRPr="00563285" w:rsidRDefault="00FB0204" w:rsidP="00FB0204">
      <w:pPr>
        <w:jc w:val="both"/>
        <w:rPr>
          <w:rFonts w:eastAsia="Times New Roman" w:cs="Times New Roman"/>
          <w:sz w:val="21"/>
          <w:szCs w:val="21"/>
          <w:lang w:val="ru-RU" w:eastAsia="uk-UA"/>
        </w:rPr>
        <w:spacing w:before="120" w:after="0" w:line="276" w:lineRule="auto"/>
      </w:pPr>
      <w:r>
        <w:rPr>
          <w:rFonts w:ascii="Cambria" w:hAnsi="Cambria"/>
          <w:sz w:val="22"/>
        </w:rPr>
        <w:t>La pluralité des sociétés, des propriétaires nominaux, des comptes et des opérations intragroupe est utilisée comme argument sur le caractère formel des opérations et la dissimulation de l'origine des fonds.</w:t>
      </w:r>
    </w:p>
    <w:p w14:paraId="012FAD03" w14:textId="77777777" w:rsidR="008B5C35" w:rsidRPr="00563285" w:rsidRDefault="008B5C3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1D0D0197"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Procès-verbaux d'examen de l'enquête française concernant les sociétés étrangères, les contrats d'agence, les factures et les opérations bancaires.</w:t>
      </w:r>
    </w:p>
    <w:p w14:paraId="1702CBDC"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Documents d'entreprise des sociétés étrangères, documents de conformité bancaire et informations sur les bénéficiaires.</w:t>
      </w:r>
    </w:p>
    <w:p w14:paraId="61537945"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Documents bancaires concernant les comptes de sociétés étrangères à Monaco, en Suisse, en Lettonie, au Luxembourg et dans d'autres juridictions.</w:t>
      </w:r>
    </w:p>
    <w:p w14:paraId="5A60330E"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Correspondance électronique d'AVB, des représentants de ME, des conseillers bancaires et des représentants de sociétés étrangères</w:t>
      </w:r>
    </w:p>
    <w:p w14:paraId="3793804B" w14:textId="77777777" w:rsidR="008B5C35" w:rsidRPr="00563285" w:rsidRDefault="008B5C35" w:rsidP="00653927">
      <w:pPr>
        <w:pStyle w:val="a3"/>
        <w:numPr>
          <w:ilvl w:val="1"/>
          <w:numId w:val="10"/>
        </w:numPr>
        <w:contextualSpacing w:val="0"/>
        <w:jc w:val="both"/>
        <w:rPr>
          <w:sz w:val="21"/>
          <w:szCs w:val="21"/>
          <w:lang w:val="ru-RU"/>
        </w:rPr>
        <w:ind w:left="567" w:hanging="567"/>
        <w:spacing w:before="120" w:after="0" w:line="276" w:lineRule="auto"/>
      </w:pPr>
      <w:r>
        <w:rPr>
          <w:rFonts w:ascii="Cambria" w:hAnsi="Cambria"/>
          <w:sz w:val="22"/>
        </w:rPr>
        <w:t>Pièces de l'examen de l'ordinateur d'AVB.</w:t>
      </w:r>
    </w:p>
    <w:p w14:paraId="5DBEEE70" w14:textId="77777777" w:rsidR="008B5C35" w:rsidRPr="00563285" w:rsidRDefault="008B5C35" w:rsidP="009A11C7">
      <w:pPr>
        <w:pStyle w:val="a3"/>
        <w:contextualSpacing w:val="0"/>
        <w:jc w:val="both"/>
        <w:rPr>
          <w:sz w:val="21"/>
          <w:szCs w:val="21"/>
          <w:lang w:val="ru-RU"/>
        </w:rPr>
        <w:ind w:left="0"/>
        <w:spacing w:before="120" w:after="0" w:line="276" w:lineRule="auto"/>
      </w:pPr>
      <w:r>
        <w:rPr>
          <w:rFonts w:ascii="Cambria" w:hAnsi="Cambria" w:cs="Cambria"/>
          <w:sz w:val="22"/>
        </w:rPr>
      </w:r>
    </w:p>
    <w:p w14:paraId="0A56E5AD" w14:textId="6DD948A4" w:rsidR="00993A35" w:rsidRPr="00563285" w:rsidRDefault="00481C48"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Immobilier et autres actifs en France et à Monaco »</w:t>
      </w:r>
    </w:p>
    <w:p w14:paraId="6E8BA7C4" w14:textId="43C4B171" w:rsidR="00993A35" w:rsidRPr="00563285" w:rsidRDefault="00993A3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E3F1AAF" w14:textId="7D615DC8" w:rsidR="00BA70CF" w:rsidRPr="00563285" w:rsidRDefault="00BA70CF" w:rsidP="008B5C35">
      <w:pPr>
        <w:jc w:val="both"/>
        <w:rPr>
          <w:sz w:val="21"/>
          <w:szCs w:val="21"/>
          <w:lang w:val="ru-RU"/>
        </w:rPr>
        <w:spacing w:before="120" w:after="0" w:line="276" w:lineRule="auto"/>
      </w:pPr>
      <w:r>
        <w:rPr>
          <w:rFonts w:ascii="Cambria" w:hAnsi="Cambria"/>
          <w:sz w:val="22"/>
        </w:rPr>
        <w:t>L'enquête française considère les biens immobiliers et les autres actifs en France et à Monaco comme l'étape finale du mouvement présumé de fonds.</w:t>
      </w:r>
    </w:p>
    <w:p w14:paraId="1EC19D7F" w14:textId="4EA828E4" w:rsidR="00BA70CF" w:rsidRPr="00563285" w:rsidRDefault="00BA70CF" w:rsidP="008B5C35">
      <w:pPr>
        <w:jc w:val="both"/>
        <w:rPr>
          <w:sz w:val="21"/>
          <w:szCs w:val="21"/>
          <w:lang w:val="ru-RU"/>
        </w:rPr>
        <w:spacing w:before="120" w:after="0" w:line="276" w:lineRule="auto"/>
      </w:pPr>
      <w:r>
        <w:rPr>
          <w:rFonts w:ascii="Cambria" w:hAnsi="Cambria"/>
          <w:sz w:val="22"/>
        </w:rPr>
        <w:t>Selon la version de l'enquête, AVB acquérait et contrôlait directement ou indirectement des actifs par l'intermédiaire de SCI / SCP françaises et monégasques.</w:t>
      </w:r>
    </w:p>
    <w:p w14:paraId="6668C08C" w14:textId="77777777" w:rsidR="00BA70CF" w:rsidRPr="00563285" w:rsidRDefault="00BA70CF" w:rsidP="008B5C35">
      <w:pPr>
        <w:jc w:val="both"/>
        <w:rPr>
          <w:sz w:val="21"/>
          <w:szCs w:val="21"/>
          <w:lang w:val="ru-RU"/>
        </w:rPr>
        <w:spacing w:before="120" w:after="0" w:line="276" w:lineRule="auto"/>
      </w:pPr>
      <w:r>
        <w:rPr>
          <w:rFonts w:ascii="Cambria" w:hAnsi="Cambria"/>
          <w:sz w:val="22"/>
        </w:rPr>
        <w:t>L'enquête relie ces actifs à des fonds dont l'origine n'est pas confirmée par les revenus officiellement déclarés d'AVB.</w:t>
      </w:r>
    </w:p>
    <w:p w14:paraId="7F072DB9" w14:textId="51FD44A8" w:rsidR="00BA70CF" w:rsidRPr="00563285" w:rsidRDefault="006F6634" w:rsidP="008B5C35">
      <w:pPr>
        <w:jc w:val="both"/>
        <w:rPr>
          <w:sz w:val="21"/>
          <w:szCs w:val="21"/>
          <w:lang w:val="ru-RU"/>
        </w:rPr>
        <w:spacing w:before="120" w:after="0" w:line="276" w:lineRule="auto"/>
      </w:pPr>
      <w:r>
        <w:rPr>
          <w:rFonts w:ascii="Cambria" w:hAnsi="Cambria"/>
          <w:sz w:val="22"/>
        </w:rPr>
        <w:t>Dans les pièces figurent une série de structures par l'intermédiaire desquelles les actifs ont été acquis ou contrôlés :</w:t>
      </w:r>
    </w:p>
    <w:p w14:paraId="64E218EF" w14:textId="357AFD12" w:rsidR="00BA70CF" w:rsidRPr="00563285" w:rsidRDefault="00BA70CF" w:rsidP="00653927">
      <w:pPr>
        <w:pStyle w:val="a3"/>
        <w:numPr>
          <w:ilvl w:val="0"/>
          <w:numId w:val="21"/>
        </w:numPr>
        <w:contextualSpacing w:val="0"/>
        <w:jc w:val="both"/>
        <w:rPr>
          <w:sz w:val="21"/>
          <w:szCs w:val="21"/>
          <w:lang w:val="ru-RU"/>
        </w:rPr>
        <w:ind w:left="567" w:hanging="425"/>
        <w:spacing w:before="120" w:after="0" w:line="276" w:lineRule="auto"/>
      </w:pPr>
      <w:r>
        <w:rPr>
          <w:rFonts w:ascii="Cambria" w:hAnsi="Cambria"/>
          <w:sz w:val="22"/>
        </w:rPr>
        <w:t>actifs acquis en France par l'intermédiaire de SCI françaises, en particulier SCI des Anges, SCI Promenade des Anglais, SCI Belle Epoque, SCI Slava, SCI Saint Petr, SCI Kozak, SCI Aviwell 3000, SCI Monacourch, SCP Monacuiros, SCI Galinette, SCI Azur AMP, SCI Vera ;</w:t>
      </w:r>
    </w:p>
    <w:p w14:paraId="6E0B945C" w14:textId="17D047E8" w:rsidR="00BA70CF" w:rsidRPr="00563285" w:rsidRDefault="00BA70CF" w:rsidP="00653927">
      <w:pPr>
        <w:pStyle w:val="a3"/>
        <w:numPr>
          <w:ilvl w:val="0"/>
          <w:numId w:val="21"/>
        </w:numPr>
        <w:contextualSpacing w:val="0"/>
        <w:jc w:val="both"/>
        <w:rPr>
          <w:sz w:val="21"/>
          <w:szCs w:val="21"/>
          <w:lang w:val="ru-RU"/>
        </w:rPr>
        <w:ind w:left="567" w:hanging="425"/>
        <w:spacing w:before="120" w:after="0" w:line="276" w:lineRule="auto"/>
      </w:pPr>
      <w:r>
        <w:rPr>
          <w:rFonts w:ascii="Cambria" w:hAnsi="Cambria"/>
          <w:sz w:val="22"/>
        </w:rPr>
        <w:t>actifs en France et à Monaco, liés à des structures monégasques et à l'investissement ultérieur de fonds après la transaction de vente des actions de MS. Séparément dans les pièces figure l'objet La Petite Afrique.</w:t>
      </w:r>
    </w:p>
    <w:p w14:paraId="3584BE4F" w14:textId="4085AF0C" w:rsidR="00804C9F" w:rsidRPr="00563285" w:rsidRDefault="00BA70CF" w:rsidP="008B5C35">
      <w:pPr>
        <w:jc w:val="both"/>
        <w:rPr>
          <w:sz w:val="21"/>
          <w:szCs w:val="21"/>
          <w:lang w:val="ru-RU"/>
        </w:rPr>
        <w:spacing w:before="120" w:after="0" w:line="276" w:lineRule="auto"/>
      </w:pPr>
      <w:r>
        <w:rPr>
          <w:rFonts w:ascii="Cambria" w:hAnsi="Cambria"/>
          <w:sz w:val="22"/>
        </w:rPr>
        <w:t>L'enquête analyse non seulement le fait de la détention des actifs, mais aussi le mode de leur financement - le mouvement de fonds à travers des sociétés étrangères, des comptes personnels et d'entreprise, des crédits bancaires, des emprunts et des transferts intragroupe.</w:t>
      </w:r>
    </w:p>
    <w:p w14:paraId="2A071F74" w14:textId="70E83A21" w:rsidR="008B5C35" w:rsidRPr="00563285" w:rsidRDefault="00822D7C" w:rsidP="008B5C35">
      <w:pPr>
        <w:jc w:val="both"/>
        <w:rPr>
          <w:sz w:val="21"/>
          <w:szCs w:val="21"/>
          <w:lang w:val="ru-RU"/>
        </w:rPr>
        <w:spacing w:before="120" w:after="0" w:line="276" w:lineRule="auto"/>
      </w:pPr>
      <w:r>
        <w:rPr>
          <w:rFonts w:ascii="Cambria" w:hAnsi="Cambria"/>
          <w:sz w:val="22"/>
        </w:rPr>
        <w:t>Accent particulier - sur le mode de financement.</w:t>
      </w:r>
    </w:p>
    <w:p w14:paraId="2A6C6303" w14:textId="3202A1D4" w:rsidR="00822D7C" w:rsidRPr="00563285" w:rsidRDefault="00822D7C" w:rsidP="008B5C35">
      <w:pPr>
        <w:jc w:val="both"/>
        <w:rPr>
          <w:sz w:val="21"/>
          <w:szCs w:val="21"/>
          <w:lang w:val="ru-RU"/>
        </w:rPr>
        <w:spacing w:before="120" w:after="0" w:line="276" w:lineRule="auto"/>
      </w:pPr>
      <w:r>
        <w:rPr>
          <w:rFonts w:ascii="Cambria" w:hAnsi="Cambria"/>
          <w:sz w:val="22"/>
        </w:rPr>
        <w:t>Les fonds ne transitaient pas par des comptes bancaires français, mais arrivaient via des comptes à Monaco et en Suisse. Dans certains épisodes, des sociétés du Panama et du Belize étaient indiquées comme sources de financement et figuraient comme créanciers.</w:t>
      </w:r>
    </w:p>
    <w:p w14:paraId="75349104" w14:textId="77777777" w:rsidR="008B5C35" w:rsidRPr="00563285" w:rsidRDefault="008B5C35" w:rsidP="008B5C35">
      <w:pPr>
        <w:jc w:val="both"/>
        <w:rPr>
          <w:sz w:val="21"/>
          <w:szCs w:val="21"/>
          <w:lang w:val="ru-RU"/>
        </w:rPr>
        <w:spacing w:before="120" w:after="0" w:line="276" w:lineRule="auto"/>
      </w:pPr>
      <w:r>
        <w:rPr>
          <w:rFonts w:ascii="Cambria" w:hAnsi="Cambria"/>
          <w:sz w:val="22"/>
        </w:rPr>
        <w:t xml:space="preserve">L'enquête considère cela comme suspect, puisque de telles sociétés </w:t>
      </w:r>
    </w:p>
    <w:p w14:paraId="297C251E" w14:textId="00B6E62C" w:rsidR="008B5C35" w:rsidRPr="00563285" w:rsidRDefault="008B5C35" w:rsidP="00653927">
      <w:pPr>
        <w:pStyle w:val="a3"/>
        <w:numPr>
          <w:ilvl w:val="0"/>
          <w:numId w:val="23"/>
        </w:numPr>
        <w:contextualSpacing w:val="0"/>
        <w:jc w:val="both"/>
        <w:rPr>
          <w:sz w:val="21"/>
          <w:szCs w:val="21"/>
          <w:lang w:val="ru-RU"/>
        </w:rPr>
        <w:ind w:left="567" w:hanging="425"/>
        <w:spacing w:before="120" w:after="0" w:line="276" w:lineRule="auto"/>
      </w:pPr>
      <w:r>
        <w:rPr>
          <w:rFonts w:ascii="Cambria" w:hAnsi="Cambria"/>
          <w:sz w:val="22"/>
        </w:rPr>
        <w:t>ne faisaient pas toujours partie de la structure de détention des SCI / SCP correspondantes ;</w:t>
      </w:r>
    </w:p>
    <w:p w14:paraId="3A6BB305" w14:textId="01EFFB6C" w:rsidR="008B5C35" w:rsidRPr="00563285" w:rsidRDefault="008B5C35" w:rsidP="00653927">
      <w:pPr>
        <w:pStyle w:val="a3"/>
        <w:numPr>
          <w:ilvl w:val="0"/>
          <w:numId w:val="23"/>
        </w:numPr>
        <w:contextualSpacing w:val="0"/>
        <w:jc w:val="both"/>
        <w:rPr>
          <w:sz w:val="21"/>
          <w:szCs w:val="21"/>
          <w:lang w:val="ru-RU"/>
        </w:rPr>
        <w:ind w:left="567" w:hanging="425"/>
        <w:spacing w:before="120" w:after="0" w:line="276" w:lineRule="auto"/>
      </w:pPr>
      <w:r>
        <w:rPr>
          <w:rFonts w:ascii="Cambria" w:hAnsi="Cambria"/>
          <w:sz w:val="22"/>
        </w:rPr>
        <w:t>n'étaient pas des établissements de crédit ;</w:t>
      </w:r>
    </w:p>
    <w:p w14:paraId="0BF0E2B5" w14:textId="6977F7D6" w:rsidR="008B5C35" w:rsidRPr="00563285" w:rsidRDefault="008B5C35" w:rsidP="00653927">
      <w:pPr>
        <w:pStyle w:val="a3"/>
        <w:numPr>
          <w:ilvl w:val="0"/>
          <w:numId w:val="23"/>
        </w:numPr>
        <w:contextualSpacing w:val="0"/>
        <w:jc w:val="both"/>
        <w:rPr>
          <w:sz w:val="21"/>
          <w:szCs w:val="21"/>
          <w:lang w:val="ru-RU"/>
        </w:rPr>
        <w:ind w:left="567" w:hanging="425"/>
        <w:spacing w:before="120" w:after="0" w:line="276" w:lineRule="auto"/>
      </w:pPr>
      <w:r>
        <w:rPr>
          <w:rFonts w:ascii="Cambria" w:hAnsi="Cambria"/>
          <w:sz w:val="22"/>
        </w:rPr>
        <w:t>n'avaient pas d'intérêt économique évident à financer l'acquisition de biens immobiliers en France.</w:t>
      </w:r>
    </w:p>
    <w:p w14:paraId="7B4884CC" w14:textId="2E3FC130" w:rsidR="00BA70CF" w:rsidRPr="00563285" w:rsidRDefault="00BA70CF" w:rsidP="008B5C35">
      <w:pPr>
        <w:pStyle w:val="a3"/>
        <w:contextualSpacing w:val="0"/>
        <w:jc w:val="both"/>
        <w:rPr>
          <w:sz w:val="21"/>
          <w:szCs w:val="21"/>
          <w:lang w:val="ru-RU"/>
        </w:rPr>
        <w:ind w:left="0"/>
        <w:spacing w:before="120" w:after="0" w:line="276" w:lineRule="auto"/>
      </w:pPr>
      <w:r>
        <w:rPr>
          <w:rFonts w:ascii="Cambria" w:hAnsi="Cambria"/>
          <w:sz w:val="22"/>
        </w:rPr>
        <w:t>Conclusion principale de l'enquête - les biens immobiliers en France et à Monaco ont pu être utilisés comme moyen de placement et de blanchiment de fonds dont l'origine est mise en doute.</w:t>
      </w:r>
    </w:p>
    <w:p w14:paraId="4D5E0579" w14:textId="50E046CC" w:rsidR="005909F9" w:rsidRPr="00563285" w:rsidRDefault="005909F9"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38AF5361" w14:textId="4B697847" w:rsidR="005909F9" w:rsidRPr="00563285" w:rsidRDefault="005909F9"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Procès-verbaux d'examen de l'enquête française concernant les SCI / SCP françaises et monégasques et le schéma d'acquisition de biens immobiliers.</w:t>
      </w:r>
    </w:p>
    <w:p w14:paraId="5B5D5CE9" w14:textId="1239CA0A" w:rsidR="00761CCD" w:rsidRPr="00563285" w:rsidRDefault="00BA70CF"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Documents des SCI / SCP, actes d'acquisition, documents de détention et de gestion des actifs.</w:t>
      </w:r>
    </w:p>
    <w:p w14:paraId="6405AE8A" w14:textId="039E4CE5" w:rsidR="005909F9" w:rsidRPr="00563285" w:rsidRDefault="005909F9"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Procès-verbal d'examen de l'enquête française concernant le récapitulatif des paiements par année dans le cadre de l'acquisition de biens immobiliers.</w:t>
      </w:r>
    </w:p>
    <w:p w14:paraId="508A0005" w14:textId="4314DB9C" w:rsidR="00BA70CF" w:rsidRPr="00563285" w:rsidRDefault="00BA70CF"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Documents bancaires sur les comptes d'AVB, des sociétés étrangères et des structures par lesquelles les acquisitions étaient financées.</w:t>
      </w:r>
    </w:p>
    <w:p w14:paraId="60426AC0" w14:textId="28E646EB" w:rsidR="00F01CA2" w:rsidRPr="00563285" w:rsidRDefault="00BA70CF" w:rsidP="00653927">
      <w:pPr>
        <w:pStyle w:val="a3"/>
        <w:numPr>
          <w:ilvl w:val="0"/>
          <w:numId w:val="6"/>
        </w:numPr>
        <w:contextualSpacing w:val="0"/>
        <w:jc w:val="both"/>
        <w:rPr>
          <w:sz w:val="21"/>
          <w:szCs w:val="21"/>
          <w:lang w:val="ru-RU"/>
        </w:rPr>
        <w:ind w:left="567" w:hanging="567"/>
        <w:spacing w:before="120" w:after="0" w:line="276" w:lineRule="auto"/>
      </w:pPr>
      <w:r>
        <w:rPr>
          <w:rFonts w:ascii="Cambria" w:hAnsi="Cambria"/>
          <w:sz w:val="22"/>
        </w:rPr>
        <w:t>Pièces du renseignement financier, des autorités fiscales de France, de Monaco et documents sur la saisie de parts dans des SCI.</w:t>
      </w:r>
    </w:p>
    <w:p w14:paraId="262645D3" w14:textId="77777777" w:rsidR="00862087" w:rsidRPr="00563285" w:rsidRDefault="00862087"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54C23767" w14:textId="2F12AD58" w:rsidR="005D0005" w:rsidRPr="00563285" w:rsidRDefault="005D0005" w:rsidP="00653927">
      <w:pPr>
        <w:pStyle w:val="a3"/>
        <w:numPr>
          <w:ilvl w:val="1"/>
          <w:numId w:val="2"/>
        </w:numPr>
        <w:contextualSpacing w:val="0"/>
        <w:jc w:val="both"/>
        <w:rPr>
          <w:b/>
          <w:bCs/>
          <w:sz w:val="21"/>
          <w:szCs w:val="21"/>
          <w:lang w:val="ru-RU"/>
        </w:rPr>
        <w:ind w:left="0" w:hanging="567"/>
        <w:spacing w:before="120" w:after="0" w:line="276" w:lineRule="auto"/>
      </w:pPr>
      <w:r>
        <w:rPr>
          <w:rFonts w:ascii="Cambria" w:hAnsi="Cambria"/>
          <w:sz w:val="22"/>
        </w:rPr>
        <w:t>Volet « Nationalisation de la SA “Motor Sich” et arbitrage »</w:t>
      </w:r>
    </w:p>
    <w:p w14:paraId="379C7CB2" w14:textId="5A091D9E" w:rsidR="005D0005" w:rsidRPr="00563285" w:rsidRDefault="005D0005" w:rsidP="00B62F19">
      <w:pPr>
        <w:pStyle w:val="a3"/>
        <w:contextualSpacing w:val="0"/>
        <w:jc w:val="both"/>
        <w:rPr>
          <w:sz w:val="21"/>
          <w:szCs w:val="21"/>
          <w:u w:val="single"/>
          <w:lang w:val="ru-RU"/>
        </w:rPr>
        <w:ind w:left="0"/>
        <w:spacing w:before="120" w:after="0" w:line="276" w:lineRule="auto"/>
      </w:pPr>
      <w:r>
        <w:rPr>
          <w:rFonts w:ascii="Cambria" w:hAnsi="Cambria"/>
          <w:sz w:val="22"/>
        </w:rPr>
        <w:t>Position de l'enquête.</w:t>
      </w:r>
    </w:p>
    <w:p w14:paraId="3EDA56C0" w14:textId="026296A7" w:rsidR="005D0005" w:rsidRPr="00563285" w:rsidRDefault="005D0005" w:rsidP="009A11C7">
      <w:pPr>
        <w:pStyle w:val="a3"/>
        <w:contextualSpacing w:val="0"/>
        <w:jc w:val="both"/>
        <w:rPr>
          <w:sz w:val="21"/>
          <w:szCs w:val="21"/>
          <w:lang w:val="ru-RU"/>
        </w:rPr>
        <w:ind w:left="0"/>
        <w:spacing w:before="120" w:after="0" w:line="276" w:lineRule="auto"/>
      </w:pPr>
      <w:r>
        <w:rPr>
          <w:rFonts w:ascii="Cambria" w:hAnsi="Cambria"/>
          <w:sz w:val="22"/>
        </w:rPr>
        <w:t>L'enquête française prend en compte le contexte ukrainien autour de MS : la vente des actions aux investisseurs chinois, le blocage du contrôle de Skyrizon – l'acheteur des actions, la nationalisation de l'entreprise et l'arbitrage des actionnaires chinois contre l'Ukraine.</w:t>
      </w:r>
    </w:p>
    <w:p w14:paraId="5C8852DC" w14:textId="350689B4" w:rsidR="005D0005" w:rsidRPr="00563285" w:rsidRDefault="005D0005" w:rsidP="009A11C7">
      <w:pPr>
        <w:jc w:val="both"/>
        <w:rPr>
          <w:sz w:val="21"/>
          <w:szCs w:val="21"/>
          <w:lang w:val="ru-RU"/>
        </w:rPr>
        <w:spacing w:before="120" w:after="0" w:line="276" w:lineRule="auto"/>
      </w:pPr>
      <w:r>
        <w:rPr>
          <w:rFonts w:ascii="Cambria" w:hAnsi="Cambria"/>
          <w:sz w:val="22"/>
        </w:rPr>
        <w:t>Dans les pièces, la nationalisation est liée à la tentative de l'Ukraine d'empêcher le transfert du contrôle d'un fabricant stratégique de moteurs d'avion à un investisseur chinois.</w:t>
      </w:r>
    </w:p>
    <w:p w14:paraId="45F38522" w14:textId="3117204A" w:rsidR="005D0005" w:rsidRPr="00563285" w:rsidRDefault="005D0005" w:rsidP="009A11C7">
      <w:pPr>
        <w:jc w:val="both"/>
        <w:rPr>
          <w:sz w:val="21"/>
          <w:szCs w:val="21"/>
          <w:lang w:val="ru-RU"/>
        </w:rPr>
        <w:spacing w:before="120" w:after="0" w:line="276" w:lineRule="auto"/>
      </w:pPr>
      <w:r>
        <w:rPr>
          <w:rFonts w:ascii="Cambria" w:hAnsi="Cambria"/>
          <w:sz w:val="22"/>
        </w:rPr>
        <w:t>Il est consigné séparément que Skyrizon était considéré comme actionnaire majoritaire de MS, et que la transaction elle-même n'avait pas été approuvée par les régulateurs ukrainiens.</w:t>
      </w:r>
    </w:p>
    <w:p w14:paraId="0F29103C" w14:textId="3D00ED86" w:rsidR="005D0005" w:rsidRPr="00563285" w:rsidRDefault="005D0005" w:rsidP="009A11C7">
      <w:pPr>
        <w:jc w:val="both"/>
        <w:rPr>
          <w:sz w:val="21"/>
          <w:szCs w:val="21"/>
          <w:lang w:val="ru-RU"/>
        </w:rPr>
        <w:spacing w:before="120" w:after="0" w:line="276" w:lineRule="auto"/>
      </w:pPr>
      <w:r>
        <w:rPr/>
        <w:t>La partie française a également reçu des pièces sur la réclamation des actionnaires chinois de MS contre l'Ukraine, qui est examinée dans un arbitrage à La Haye.</w:t>
      </w:r>
    </w:p>
    <w:p w14:paraId="1754BAE6" w14:textId="1BD596EA" w:rsidR="0061350C" w:rsidRPr="00563285" w:rsidRDefault="005D0005" w:rsidP="009A11C7">
      <w:pPr>
        <w:pStyle w:val="a3"/>
        <w:contextualSpacing w:val="0"/>
        <w:jc w:val="both"/>
        <w:rPr>
          <w:sz w:val="21"/>
          <w:szCs w:val="21"/>
          <w:lang w:val="ru-RU"/>
        </w:rPr>
        <w:ind w:left="0"/>
        <w:spacing w:before="120" w:after="0" w:line="276" w:lineRule="auto"/>
      </w:pPr>
      <w:r>
        <w:rPr>
          <w:rFonts w:ascii="Cambria" w:hAnsi="Cambria"/>
          <w:sz w:val="22"/>
        </w:rPr>
        <w:t>La partie ukrainienne a demandé la possibilité d'utiliser les pièces obtenues en France et à Monaco pour préparer la position juridique de l'Ukraine dans ce différend arbitral.</w:t>
      </w:r>
    </w:p>
    <w:p w14:paraId="24BF577B" w14:textId="5FFC8A71" w:rsidR="005D0005" w:rsidRPr="00563285" w:rsidRDefault="005D0005" w:rsidP="00B62F19">
      <w:pPr>
        <w:pStyle w:val="a3"/>
        <w:contextualSpacing w:val="0"/>
        <w:jc w:val="both"/>
        <w:rPr>
          <w:sz w:val="21"/>
          <w:szCs w:val="21"/>
          <w:u w:val="single"/>
          <w:lang w:val="ru-RU"/>
        </w:rPr>
        <w:ind w:left="0"/>
        <w:spacing w:before="120" w:after="0" w:line="276" w:lineRule="auto"/>
      </w:pPr>
      <w:r>
        <w:rPr>
          <w:rFonts w:ascii="Cambria" w:hAnsi="Cambria"/>
          <w:sz w:val="22"/>
        </w:rPr>
        <w:t>Preuves de l'enquête.</w:t>
      </w:r>
    </w:p>
    <w:p w14:paraId="5B8BD775" w14:textId="791CA20E" w:rsidR="005D0005" w:rsidRPr="00563285" w:rsidRDefault="005D0005" w:rsidP="00653927">
      <w:pPr>
        <w:pStyle w:val="a3"/>
        <w:numPr>
          <w:ilvl w:val="0"/>
          <w:numId w:val="15"/>
        </w:numPr>
        <w:contextualSpacing w:val="0"/>
        <w:jc w:val="both"/>
        <w:rPr>
          <w:sz w:val="21"/>
          <w:szCs w:val="21"/>
          <w:lang w:val="ru-RU"/>
        </w:rPr>
        <w:ind w:left="567" w:hanging="567"/>
        <w:spacing w:before="120" w:after="0" w:line="276" w:lineRule="auto"/>
      </w:pPr>
      <w:r>
        <w:rPr>
          <w:rFonts w:ascii="Cambria" w:hAnsi="Cambria"/>
          <w:sz w:val="22"/>
        </w:rPr>
        <w:t>Procès-verbal d'examen de l'enquête française concernant les sources ouvertes sur la nationalisation de MS, Skyrizon, le blocage du contrôle chinois et la position des États-Unis.</w:t>
      </w:r>
    </w:p>
    <w:p w14:paraId="5EBBBB53" w14:textId="07906F3B" w:rsidR="005D0005" w:rsidRPr="00563285" w:rsidRDefault="005D0005" w:rsidP="00653927">
      <w:pPr>
        <w:pStyle w:val="a3"/>
        <w:numPr>
          <w:ilvl w:val="0"/>
          <w:numId w:val="15"/>
        </w:numPr>
        <w:contextualSpacing w:val="0"/>
        <w:jc w:val="both"/>
        <w:rPr>
          <w:sz w:val="21"/>
          <w:szCs w:val="21"/>
          <w:lang w:val="ru-RU"/>
        </w:rPr>
        <w:ind w:left="567" w:hanging="567"/>
        <w:spacing w:before="120" w:after="0" w:line="276" w:lineRule="auto"/>
      </w:pPr>
      <w:r>
        <w:rPr>
          <w:rFonts w:ascii="Cambria" w:hAnsi="Cambria"/>
          <w:sz w:val="22"/>
        </w:rPr>
        <w:t>Procès-verbal d'examen de l'enquête française concernant les informations complémentaires de l'Ukraine, l'arbitrage des actionnaires chinois contre l'Ukraine.</w:t>
      </w:r>
    </w:p>
    <w:p w14:paraId="56B2E74A" w14:textId="77777777" w:rsidR="005D0005" w:rsidRPr="00563285" w:rsidRDefault="005D0005" w:rsidP="009A11C7">
      <w:pPr>
        <w:pStyle w:val="a3"/>
        <w:contextualSpacing w:val="0"/>
        <w:jc w:val="both"/>
        <w:rPr>
          <w:sz w:val="21"/>
          <w:szCs w:val="21"/>
          <w:lang w:val="ru-RU"/>
        </w:rPr>
        <w:ind w:left="0"/>
        <w:spacing w:before="120" w:after="0" w:line="276" w:lineRule="auto"/>
      </w:pPr>
      <w:r>
        <w:rPr>
          <w:rFonts w:ascii="Cambria" w:hAnsi="Cambria" w:cs="Cambria"/>
          <w:sz w:val="22"/>
        </w:rPr>
      </w:r>
    </w:p>
    <w:p w14:paraId="4912A655" w14:textId="26DB3E3B" w:rsidR="001366FA" w:rsidRPr="00563285" w:rsidRDefault="0061350C" w:rsidP="00653927">
      <w:pPr>
        <w:pStyle w:val="a3"/>
        <w:numPr>
          <w:ilvl w:val="0"/>
          <w:numId w:val="2"/>
        </w:numPr>
        <w:contextualSpacing w:val="0"/>
        <w:jc w:val="both"/>
        <w:rPr>
          <w:b/>
          <w:bCs/>
          <w:sz w:val="21"/>
          <w:szCs w:val="21"/>
          <w:lang w:val="ru-RU"/>
        </w:rPr>
        <w:ind w:left="0" w:hanging="567"/>
        <w:spacing w:before="120" w:after="0" w:line="276" w:lineRule="auto"/>
      </w:pPr>
      <w:r>
        <w:rPr>
          <w:rFonts w:ascii="Cambria" w:hAnsi="Cambria"/>
          <w:sz w:val="22"/>
        </w:rPr>
        <w:t>Position de la défense.</w:t>
      </w:r>
    </w:p>
    <w:p w14:paraId="057240C1" w14:textId="77777777" w:rsidR="0020154B" w:rsidRPr="00563285" w:rsidRDefault="0020154B"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Origine des fonds, revenus et mouvement de fonds »</w:t>
      </w:r>
    </w:p>
    <w:p w14:paraId="263BDC86" w14:textId="179730D6" w:rsidR="00A57046" w:rsidRPr="00563285" w:rsidRDefault="00A57046" w:rsidP="009A11C7">
      <w:pPr>
        <w:jc w:val="both"/>
        <w:rPr>
          <w:sz w:val="21"/>
          <w:szCs w:val="21"/>
          <w:u w:val="single"/>
          <w:lang w:val="ru-RU"/>
        </w:rPr>
        <w:spacing w:before="120" w:after="0" w:line="276" w:lineRule="auto"/>
      </w:pPr>
      <w:r>
        <w:rPr>
          <w:rFonts w:ascii="Cambria" w:hAnsi="Cambria"/>
          <w:sz w:val="22"/>
        </w:rPr>
        <w:t>Position de la défense.</w:t>
      </w:r>
    </w:p>
    <w:p w14:paraId="5C2CCDBA" w14:textId="64EAFEBF" w:rsidR="0020154B" w:rsidRPr="00563285" w:rsidRDefault="0020154B" w:rsidP="009A11C7">
      <w:pPr>
        <w:jc w:val="both"/>
        <w:rPr>
          <w:sz w:val="21"/>
          <w:szCs w:val="21"/>
          <w:lang w:val="ru-RU"/>
        </w:rPr>
        <w:spacing w:before="120" w:after="0" w:line="276" w:lineRule="auto"/>
      </w:pPr>
      <w:r>
        <w:rPr>
          <w:rFonts w:ascii="Cambria" w:hAnsi="Cambria"/>
          <w:sz w:val="22"/>
        </w:rPr>
        <w:t>La disproportion en soi entre les revenus déclarés et la valeur des actifs ne prouve pas l'origine illicite des fonds.</w:t>
      </w:r>
    </w:p>
    <w:p w14:paraId="6B3128D0" w14:textId="5264722D" w:rsidR="0020154B" w:rsidRPr="00563285" w:rsidRDefault="0020154B" w:rsidP="009A11C7">
      <w:pPr>
        <w:jc w:val="both"/>
        <w:rPr>
          <w:sz w:val="21"/>
          <w:szCs w:val="21"/>
          <w:lang w:val="ru-RU"/>
        </w:rPr>
        <w:spacing w:before="120" w:after="0" w:line="276" w:lineRule="auto"/>
      </w:pPr>
      <w:r>
        <w:rPr>
          <w:rFonts w:ascii="Cambria" w:hAnsi="Cambria"/>
          <w:sz w:val="22"/>
        </w:rPr>
        <w:t xml:space="preserve">Il faut établir l'origine des fonds concrets utilisés pour l'achat de chaque actif concret distinct ou de chaque opération concrète. </w:t>
      </w:r>
    </w:p>
    <w:p w14:paraId="7BB72C17" w14:textId="3466DB13" w:rsidR="0020154B" w:rsidRPr="00563285" w:rsidRDefault="0020154B" w:rsidP="009A11C7">
      <w:pPr>
        <w:jc w:val="both"/>
        <w:rPr>
          <w:sz w:val="21"/>
          <w:szCs w:val="21"/>
          <w:u w:val="single"/>
          <w:lang w:val="ru-RU"/>
        </w:rPr>
        <w:spacing w:before="120" w:after="0" w:line="276" w:lineRule="auto"/>
      </w:pPr>
      <w:r>
        <w:rPr>
          <w:rFonts w:ascii="Cambria" w:hAnsi="Cambria"/>
          <w:sz w:val="22"/>
        </w:rPr>
        <w:t xml:space="preserve">Les fonds doivent être évalués selon différentes sources : </w:t>
      </w:r>
    </w:p>
    <w:p w14:paraId="3D237740" w14:textId="5B15A9E7" w:rsidR="0020154B" w:rsidRPr="00563285" w:rsidRDefault="00B62F19"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revenus personnels déclarés d'AVB avant 2015, lorsqu'il était résident fiscal d'Ukraine ;</w:t>
      </w:r>
    </w:p>
    <w:p w14:paraId="14A2A6B2" w14:textId="41B09C75"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revenus et recettes après 2015, liés à la vente d'actions de la SA « Motor Sich » ;</w:t>
      </w:r>
    </w:p>
    <w:p w14:paraId="3EE1C957"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prêts de personnes morales liées ;</w:t>
      </w:r>
    </w:p>
    <w:p w14:paraId="76F5DDCD"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prêts bancaires d'AVB et / ou de personnes morales qui lui sont liées ;</w:t>
      </w:r>
    </w:p>
    <w:p w14:paraId="514B0173"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revenus d'agence des personnes morales ;</w:t>
      </w:r>
    </w:p>
    <w:p w14:paraId="45837BE8" w14:textId="77777777" w:rsidR="0020154B" w:rsidRPr="00563285" w:rsidRDefault="0020154B" w:rsidP="00653927">
      <w:pPr>
        <w:pStyle w:val="a3"/>
        <w:numPr>
          <w:ilvl w:val="0"/>
          <w:numId w:val="19"/>
        </w:numPr>
        <w:contextualSpacing w:val="0"/>
        <w:jc w:val="both"/>
        <w:rPr>
          <w:sz w:val="21"/>
          <w:szCs w:val="21"/>
          <w:lang w:val="ru-RU"/>
        </w:rPr>
        <w:ind w:left="567" w:hanging="425"/>
        <w:spacing w:before="120" w:after="0" w:line="276" w:lineRule="auto"/>
      </w:pPr>
      <w:r>
        <w:rPr>
          <w:rFonts w:ascii="Cambria" w:hAnsi="Cambria"/>
          <w:sz w:val="22"/>
        </w:rPr>
        <w:t>les opérations d'entreprise, le financement bancaire et les transferts entre structures liées.</w:t>
      </w:r>
    </w:p>
    <w:p w14:paraId="19FEFDBD" w14:textId="1CB2736E" w:rsidR="0020154B" w:rsidRPr="00563285" w:rsidRDefault="0020154B" w:rsidP="009A11C7">
      <w:pPr>
        <w:jc w:val="both"/>
        <w:rPr>
          <w:sz w:val="21"/>
          <w:szCs w:val="21"/>
          <w:lang w:val="ru-RU"/>
        </w:rPr>
        <w:spacing w:before="120" w:after="0" w:line="276" w:lineRule="auto"/>
      </w:pPr>
      <w:r>
        <w:rPr>
          <w:rFonts w:ascii="Cambria" w:hAnsi="Cambria"/>
          <w:sz w:val="22"/>
        </w:rPr>
        <w:t>Il faut également distinguer les fonds personnels d'AVB, les fonds des sociétés. L'utilisation de comptes étrangers ou de structures d'entreprise en soi ne confirme pas l'origine illicite des fonds.</w:t>
      </w:r>
    </w:p>
    <w:p w14:paraId="169B087C" w14:textId="6FD009AE" w:rsidR="00A57046" w:rsidRPr="00563285" w:rsidRDefault="00A57046" w:rsidP="009A11C7">
      <w:pPr>
        <w:jc w:val="both"/>
        <w:rPr>
          <w:sz w:val="21"/>
          <w:szCs w:val="21"/>
          <w:lang w:val="ru-RU"/>
        </w:rPr>
        <w:spacing w:before="120" w:after="0" w:line="276" w:lineRule="auto"/>
      </w:pPr>
      <w:r>
        <w:rPr>
          <w:rFonts w:ascii="Cambria" w:hAnsi="Cambria"/>
          <w:sz w:val="22"/>
        </w:rPr>
        <w:t>Preuves de la défense.</w:t>
      </w:r>
    </w:p>
    <w:p w14:paraId="571D750E" w14:textId="20D95BA5" w:rsidR="00A57046" w:rsidRPr="00563285" w:rsidRDefault="00804350" w:rsidP="00653927">
      <w:pPr>
        <w:pStyle w:val="a3"/>
        <w:numPr>
          <w:ilvl w:val="0"/>
          <w:numId w:val="27"/>
        </w:numPr>
        <w:contextualSpacing w:val="0"/>
        <w:jc w:val="both"/>
        <w:rPr>
          <w:sz w:val="21"/>
          <w:szCs w:val="21"/>
          <w:lang w:val="ru-RU"/>
        </w:rPr>
        <w:ind w:left="567" w:hanging="567"/>
        <w:spacing w:before="120" w:after="0" w:line="276" w:lineRule="auto"/>
      </w:pPr>
      <w:r>
        <w:rPr>
          <w:rFonts w:ascii="Cambria" w:hAnsi="Cambria"/>
          <w:sz w:val="22"/>
        </w:rPr>
        <w:t>Données sur les revenus déclarés d'AVB, ainsi que sur les sources légales potentielles de fonds, en particulier la vente d'actions de MS, les opérations d'entreprise, les prêts et le financement bancaire ;</w:t>
      </w:r>
    </w:p>
    <w:p w14:paraId="2D01F463" w14:textId="52F2CE88" w:rsidR="00A57046" w:rsidRPr="00563285" w:rsidRDefault="00804350" w:rsidP="00653927">
      <w:pPr>
        <w:pStyle w:val="a3"/>
        <w:numPr>
          <w:ilvl w:val="0"/>
          <w:numId w:val="27"/>
        </w:numPr>
        <w:contextualSpacing w:val="0"/>
        <w:jc w:val="both"/>
        <w:rPr>
          <w:sz w:val="21"/>
          <w:szCs w:val="21"/>
          <w:lang w:val="ru-RU"/>
        </w:rPr>
        <w:ind w:left="567" w:hanging="567"/>
        <w:spacing w:before="120" w:after="0" w:line="276" w:lineRule="auto"/>
      </w:pPr>
      <w:r>
        <w:rPr>
          <w:rFonts w:ascii="Cambria" w:hAnsi="Cambria"/>
          <w:sz w:val="22"/>
        </w:rPr>
        <w:t>Les documents bancaires et les éléments KYC confirment qu'une part importante des opérations passait la conformité bancaire, et AVB ne dissimulait pas qu'il est le bénéficiaire effectif ultime de sociétés étrangères, y compris françaises et monégasques.</w:t>
      </w:r>
    </w:p>
    <w:p w14:paraId="178560AA" w14:textId="77777777" w:rsidR="009A11C7" w:rsidRPr="00563285" w:rsidRDefault="009A11C7" w:rsidP="009A11C7">
      <w:pPr>
        <w:jc w:val="both"/>
        <w:rPr>
          <w:sz w:val="21"/>
          <w:szCs w:val="21"/>
          <w:lang w:val="ru-RU"/>
        </w:rPr>
        <w:spacing w:before="120" w:after="0" w:line="276" w:lineRule="auto"/>
      </w:pPr>
      <w:r>
        <w:rPr>
          <w:rFonts w:ascii="Cambria" w:hAnsi="Cambria" w:cs="Cambria"/>
          <w:sz w:val="22"/>
        </w:rPr>
      </w:r>
    </w:p>
    <w:p w14:paraId="6C4C8659" w14:textId="120ACE55" w:rsidR="005C2D05" w:rsidRPr="00563285" w:rsidRDefault="005C2D05"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Contrats d'agence »</w:t>
      </w:r>
    </w:p>
    <w:p w14:paraId="565BAA01" w14:textId="2D195952" w:rsidR="00397250" w:rsidRPr="00563285" w:rsidRDefault="00397250" w:rsidP="00A57046">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362A265F" w14:textId="77777777"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 xml:space="preserve">Le modèle d'agence est une pratique courante pour le secteur aéronautique et de la construction mécanique. </w:t>
      </w:r>
    </w:p>
    <w:p w14:paraId="0A0ED6CB"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 xml:space="preserve">Il est utilisé pour l'accès aux marchés régionaux, la communication avec les clients étrangers, l'accompagnement des livraisons et la réduction des dépenses d'entretien des représentations à l'étranger. </w:t>
      </w:r>
    </w:p>
    <w:p w14:paraId="7652D9C6"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Cela correspond tant à la pratique internationale du secteur aéronautique qu'à la pratique des entreprises ukrainiennes dans le domaine de la construction aéronautique et mécanique.</w:t>
      </w:r>
    </w:p>
    <w:p w14:paraId="12B0FC4F" w14:textId="77777777"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Pour MS, le modèle d'agence était une pratique systémique.</w:t>
      </w:r>
    </w:p>
    <w:p w14:paraId="2ACC22C4"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MS utilisait le modèle d'agence pour la promotion des produits sur les marchés étrangers, la recherche d'acheteurs, l'organisation de négociations, l'accompagnement de contrats et la communication avec les clients.</w:t>
      </w:r>
    </w:p>
    <w:p w14:paraId="745E784A" w14:textId="77777777" w:rsidR="00A86613" w:rsidRPr="00563285" w:rsidRDefault="00A86613" w:rsidP="00A86613">
      <w:pPr>
        <w:pStyle w:val="a3"/>
        <w:contextualSpacing w:val="0"/>
        <w:jc w:val="both"/>
        <w:rPr>
          <w:sz w:val="21"/>
          <w:szCs w:val="21"/>
          <w:lang w:val="ru-RU"/>
        </w:rPr>
        <w:ind w:left="567"/>
        <w:spacing w:before="120" w:after="0" w:line="276" w:lineRule="auto"/>
      </w:pPr>
      <w:r>
        <w:rPr/>
        <w:t>La réalité d'un tel modèle est confirmée par la pratique judiciaire relative aux litiges de MS avec les autorités fiscales, où ont été examinés les contrats d'agence, actes, rapports et paiements.</w:t>
      </w:r>
    </w:p>
    <w:p w14:paraId="732ED9C0" w14:textId="41318B7F"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Les contrats d'agence étaient une partie économiquement justifiée de l'activité commerciale de MS et ME.</w:t>
      </w:r>
    </w:p>
    <w:p w14:paraId="67649867" w14:textId="77777777"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Le sens économique du modèle d'agence consistait en ce que MS / ME pouvaient opérer sur les marchés étrangers sans entretien de représentations permanentes, d'un personnel local et d'une infrastructure distincte dans chaque juridiction</w:t>
      </w:r>
    </w:p>
    <w:p w14:paraId="64A58A62" w14:textId="77777777" w:rsidR="00041275" w:rsidRPr="00563285" w:rsidRDefault="00592EBD"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 xml:space="preserve">AVB exerçait des fonctions d'agent. </w:t>
      </w:r>
    </w:p>
    <w:p w14:paraId="61499933" w14:textId="09FA5BEF" w:rsidR="00592EBD" w:rsidRPr="00563285" w:rsidRDefault="00041275" w:rsidP="00041275">
      <w:pPr>
        <w:pStyle w:val="a3"/>
        <w:contextualSpacing w:val="0"/>
        <w:jc w:val="both"/>
        <w:rPr>
          <w:sz w:val="21"/>
          <w:szCs w:val="21"/>
          <w:lang w:val="ru-RU"/>
        </w:rPr>
        <w:ind w:left="567"/>
        <w:spacing w:before="120" w:after="0" w:line="276" w:lineRule="auto"/>
      </w:pPr>
      <w:r>
        <w:rPr>
          <w:rFonts w:ascii="Cambria" w:hAnsi="Cambria"/>
          <w:sz w:val="22"/>
        </w:rPr>
        <w:t>Il participait à la recherche de clients, à l'organisation de négociations, à l'échange d'informations commerciales et techniques, à la préparation d'offres commerciales, à l'accompagnement des livraisons et à la coordination de la communication entre les acteurs du marché.</w:t>
      </w:r>
    </w:p>
    <w:p w14:paraId="3E4CD458" w14:textId="77777777" w:rsidR="00041275" w:rsidRPr="00563285" w:rsidRDefault="00041275"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Les prestations d'agence avaient un contenu concret et un résultat commercial.</w:t>
      </w:r>
    </w:p>
    <w:p w14:paraId="79BFE076" w14:textId="247AFBFA" w:rsidR="00041275" w:rsidRPr="00563285" w:rsidRDefault="00041275" w:rsidP="00041275">
      <w:pPr>
        <w:pStyle w:val="a3"/>
        <w:contextualSpacing w:val="0"/>
        <w:jc w:val="both"/>
        <w:rPr>
          <w:sz w:val="21"/>
          <w:szCs w:val="21"/>
          <w:lang w:val="ru-RU"/>
        </w:rPr>
        <w:ind w:left="567"/>
        <w:spacing w:before="120" w:after="0" w:line="276" w:lineRule="auto"/>
      </w:pPr>
      <w:r>
        <w:rPr>
          <w:rFonts w:ascii="Cambria" w:hAnsi="Cambria"/>
          <w:sz w:val="22"/>
        </w:rPr>
        <w:t>Les agents étaient sollicités pour la recherche de clients, la promotion des produits, l'organisation de négociations, le soutien marketing et logistique.</w:t>
      </w:r>
    </w:p>
    <w:p w14:paraId="11E47F65" w14:textId="069CD0D9" w:rsidR="00041275" w:rsidRPr="00563285" w:rsidRDefault="00041275" w:rsidP="00041275">
      <w:pPr>
        <w:pStyle w:val="a3"/>
        <w:contextualSpacing w:val="0"/>
        <w:jc w:val="both"/>
        <w:rPr>
          <w:sz w:val="21"/>
          <w:szCs w:val="21"/>
          <w:lang w:val="ru-RU"/>
        </w:rPr>
        <w:ind w:left="567"/>
        <w:spacing w:before="120" w:after="0" w:line="276" w:lineRule="auto"/>
      </w:pPr>
      <w:r>
        <w:rPr>
          <w:rFonts w:ascii="Cambria" w:hAnsi="Cambria"/>
          <w:sz w:val="22"/>
        </w:rPr>
        <w:t>La réalité des prestations est confirmée par des contrats, des factures, des actes, des documents bancaires, des rapports, ainsi que des documents photographiques et autres pièces des pays où les contrats ont été conclus et les prestations ont été fournies.</w:t>
      </w:r>
    </w:p>
    <w:p w14:paraId="56C5CDF9" w14:textId="7DD63E8F" w:rsidR="00A86613" w:rsidRPr="00563285" w:rsidRDefault="00A86613"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 montant de la rémunération d'agence était économiquement justifié et dépendait du contrat concret, du marché, du volume des prestations et du résultat commercial.</w:t>
      </w:r>
    </w:p>
    <w:p w14:paraId="2AA8749F" w14:textId="2A8947E6"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Concernant Duncan, il existe un ensemble complet de documents - contrat d'agence, contrat de base, acte de travaux exécutés, taux de commission de 8 % et montant concret de rémunération. Cela confirme que le paiement était lié à un résultat concret</w:t>
      </w:r>
    </w:p>
    <w:p w14:paraId="28C8CFF2" w14:textId="406DFE69" w:rsidR="00041275" w:rsidRPr="00563285" w:rsidRDefault="00041275"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Les paiements au titre des contrats d'agence s'effectuaient ouvertement et via le système bancaire.</w:t>
      </w:r>
    </w:p>
    <w:p w14:paraId="347E5A4D" w14:textId="7E5895C2" w:rsidR="00A86613" w:rsidRPr="00563285" w:rsidRDefault="00A86613" w:rsidP="00A86613">
      <w:pPr>
        <w:pStyle w:val="a3"/>
        <w:contextualSpacing w:val="0"/>
        <w:jc w:val="both"/>
        <w:rPr>
          <w:sz w:val="21"/>
          <w:szCs w:val="21"/>
          <w:lang w:val="ru-RU"/>
        </w:rPr>
        <w:ind w:left="567"/>
        <w:spacing w:before="120" w:after="0" w:line="276" w:lineRule="auto"/>
      </w:pPr>
      <w:r>
        <w:rPr>
          <w:rFonts w:ascii="Cambria" w:hAnsi="Cambria"/>
          <w:sz w:val="22"/>
        </w:rPr>
        <w:t>MS transférait les fonds aux agents sur des comptes bancaires étrangers dans le respect de la législation sur les changes et avec le passage du contrôle financier / bancaire. La conformité bancaire confirme le caractère ouvert des opérations.</w:t>
      </w:r>
    </w:p>
    <w:p w14:paraId="51E20E93" w14:textId="47C7E7D1" w:rsidR="00041275" w:rsidRPr="00563285" w:rsidRDefault="00041275" w:rsidP="00653927">
      <w:pPr>
        <w:pStyle w:val="a3"/>
        <w:numPr>
          <w:ilvl w:val="0"/>
          <w:numId w:val="28"/>
        </w:numPr>
        <w:contextualSpacing w:val="0"/>
        <w:jc w:val="both"/>
        <w:rPr>
          <w:sz w:val="21"/>
          <w:szCs w:val="21"/>
          <w:lang w:val="ru-RU"/>
        </w:rPr>
        <w:ind w:left="567" w:hanging="567"/>
        <w:spacing w:before="120" w:after="0" w:line="276" w:lineRule="auto"/>
      </w:pPr>
      <w:r>
        <w:rPr>
          <w:rFonts w:ascii="Cambria" w:hAnsi="Cambria"/>
          <w:sz w:val="22"/>
        </w:rPr>
        <w:t>L'absence d'une partie des anciens documents ne prouve pas le caractère fictif des contrats.</w:t>
      </w:r>
    </w:p>
    <w:p w14:paraId="5E61355E" w14:textId="1F2AF7FA" w:rsidR="00592EBD" w:rsidRPr="00563285" w:rsidRDefault="00041275" w:rsidP="00A86613">
      <w:pPr>
        <w:pStyle w:val="a3"/>
        <w:contextualSpacing w:val="0"/>
        <w:jc w:val="both"/>
        <w:rPr>
          <w:sz w:val="21"/>
          <w:szCs w:val="21"/>
          <w:lang w:val="ru-RU"/>
        </w:rPr>
        <w:ind w:left="567"/>
        <w:spacing w:before="120" w:after="0" w:line="276" w:lineRule="auto"/>
      </w:pPr>
      <w:r>
        <w:rPr/>
        <w:t>Les événements se rapportent à la période 2010–2016 et à des périodes antérieures. Une partie des délais de conservation des documents a expiré, et une partie des documents a été perdue à la suite d'un incendie dans le bureau d'AVB en Ukraine.</w:t>
      </w:r>
    </w:p>
    <w:p w14:paraId="35C41C7C" w14:textId="40A6537F" w:rsidR="005C2D05" w:rsidRPr="00563285" w:rsidRDefault="005C2D05" w:rsidP="00F42D01">
      <w:pPr>
        <w:jc w:val="both"/>
        <w:rPr>
          <w:sz w:val="21"/>
          <w:szCs w:val="21"/>
          <w:u w:val="single"/>
          <w:lang w:val="ru-RU"/>
        </w:rPr>
        <w:spacing w:before="120" w:after="0" w:line="276" w:lineRule="auto"/>
      </w:pPr>
      <w:r>
        <w:rPr>
          <w:rFonts w:ascii="Cambria" w:hAnsi="Cambria"/>
          <w:sz w:val="22"/>
        </w:rPr>
        <w:t>Preuves de la défense.</w:t>
      </w:r>
    </w:p>
    <w:p w14:paraId="0254B67F" w14:textId="7444AD42" w:rsidR="005C2D05" w:rsidRPr="00563285" w:rsidRDefault="005C2D05"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Contrats d'agence et de marketing, factures, actes, rapports et documents bancaires concernant les sociétés correspondantes.</w:t>
      </w:r>
    </w:p>
    <w:p w14:paraId="4AC7EC4F" w14:textId="5BDE2AAF" w:rsidR="005C2D05" w:rsidRPr="00563285" w:rsidRDefault="005C2D05"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Correspondance bancaire et documents KYC qui confirment que les opérations étaient divulguées aux banques, et non dissimulées à celles-ci.</w:t>
      </w:r>
    </w:p>
    <w:p w14:paraId="5A9A17E9" w14:textId="19CF660B" w:rsidR="001A21C9" w:rsidRPr="00563285" w:rsidRDefault="005C2D05"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Documents relatifs à des sociétés distinctes, où il existe un ensemble plus complet : contrat, facture, acte, paiement et explication bancaire.</w:t>
      </w:r>
    </w:p>
    <w:p w14:paraId="62B42ED1" w14:textId="719FA1B7" w:rsidR="00F42D01" w:rsidRPr="00563285" w:rsidRDefault="00F42D01"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Pratique judiciaire concernant MS, confirmant la réalité des contrats d'agence de l'entreprise.</w:t>
      </w:r>
    </w:p>
    <w:p w14:paraId="269B0123" w14:textId="77757A38" w:rsidR="00F42D01" w:rsidRPr="00563285" w:rsidRDefault="00F42D01" w:rsidP="00653927">
      <w:pPr>
        <w:pStyle w:val="a3"/>
        <w:numPr>
          <w:ilvl w:val="1"/>
          <w:numId w:val="17"/>
        </w:numPr>
        <w:contextualSpacing w:val="0"/>
        <w:jc w:val="both"/>
        <w:rPr>
          <w:sz w:val="21"/>
          <w:szCs w:val="21"/>
          <w:lang w:val="ru-RU"/>
        </w:rPr>
        <w:ind w:left="567" w:hanging="567"/>
        <w:spacing w:before="120" w:after="0" w:line="276" w:lineRule="auto"/>
      </w:pPr>
      <w:r>
        <w:rPr>
          <w:rFonts w:ascii="Cambria" w:hAnsi="Cambria"/>
          <w:sz w:val="22"/>
        </w:rPr>
        <w:t>Documents photographiques et autres pièces confirmant les séjours d'AVB dans les pays où les contrats ont été conclus et les prestations d'agence ont été fournies.</w:t>
      </w:r>
    </w:p>
    <w:p w14:paraId="072BC648" w14:textId="77777777" w:rsidR="001247E2" w:rsidRPr="00563285" w:rsidRDefault="001247E2"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6B6893F9" w14:textId="10E60B5D" w:rsidR="001247E2" w:rsidRPr="00563285" w:rsidRDefault="001247E2"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Motor Sich Middle East FZE »</w:t>
      </w:r>
    </w:p>
    <w:p w14:paraId="47834252" w14:textId="785A3CEB" w:rsidR="001247E2" w:rsidRPr="00563285" w:rsidRDefault="001247E2" w:rsidP="00A86613">
      <w:pPr>
        <w:jc w:val="both"/>
        <w:rPr>
          <w:sz w:val="21"/>
          <w:szCs w:val="21"/>
          <w:u w:val="single"/>
          <w:lang w:val="ru-RU"/>
        </w:rPr>
        <w:spacing w:before="120" w:after="0" w:line="276" w:lineRule="auto"/>
      </w:pPr>
      <w:r>
        <w:rPr>
          <w:rFonts w:ascii="Cambria" w:hAnsi="Cambria"/>
          <w:sz w:val="22"/>
        </w:rPr>
        <w:t>Position de la défense.</w:t>
      </w:r>
    </w:p>
    <w:p w14:paraId="2D9B76C3" w14:textId="55F4EAC6" w:rsidR="00752D71" w:rsidRPr="00563285" w:rsidRDefault="00752D71" w:rsidP="009A11C7">
      <w:pPr>
        <w:jc w:val="both"/>
        <w:rPr>
          <w:sz w:val="21"/>
          <w:szCs w:val="21"/>
          <w:lang w:val="ru-RU"/>
        </w:rPr>
        <w:spacing w:before="120" w:after="0" w:line="276" w:lineRule="auto"/>
      </w:pPr>
      <w:r>
        <w:rPr>
          <w:rFonts w:ascii="Cambria" w:hAnsi="Cambria"/>
          <w:sz w:val="22"/>
        </w:rPr>
        <w:t>ME était une société d'exploitation réelle de MS aux EAU, et non une structure de transit fictive.</w:t>
      </w:r>
    </w:p>
    <w:p w14:paraId="4DA7861B" w14:textId="339611A7" w:rsidR="001247E2" w:rsidRPr="00563285" w:rsidRDefault="00752D71" w:rsidP="009A11C7">
      <w:pPr>
        <w:jc w:val="both"/>
        <w:rPr>
          <w:sz w:val="21"/>
          <w:szCs w:val="21"/>
          <w:lang w:val="ru-RU"/>
        </w:rPr>
        <w:spacing w:before="120" w:after="0" w:line="276" w:lineRule="auto"/>
      </w:pPr>
      <w:r>
        <w:rPr>
          <w:rFonts w:ascii="Cambria" w:hAnsi="Cambria"/>
          <w:sz w:val="22"/>
        </w:rPr>
        <w:t>La société est enregistrée dans la zone franche SAIF à Sharjah en 2006. L'actionnaire unique de ME était MS. Le directeur était Alexandre Loukianov.</w:t>
      </w:r>
    </w:p>
    <w:p w14:paraId="15A8775B" w14:textId="2E5F971E" w:rsidR="001247E2" w:rsidRPr="00563285" w:rsidRDefault="001247E2" w:rsidP="009A11C7">
      <w:pPr>
        <w:jc w:val="both"/>
        <w:rPr>
          <w:sz w:val="21"/>
          <w:szCs w:val="21"/>
          <w:lang w:val="ru-RU"/>
        </w:rPr>
        <w:spacing w:before="120" w:after="0" w:line="276" w:lineRule="auto"/>
      </w:pPr>
      <w:r>
        <w:rPr>
          <w:rFonts w:ascii="Cambria" w:hAnsi="Cambria"/>
          <w:sz w:val="22"/>
        </w:rPr>
        <w:t>ME remplissait la fonction de hub régional de MS au Proche et Moyen-Orient.</w:t>
      </w:r>
    </w:p>
    <w:p w14:paraId="188ADED4" w14:textId="399328E7" w:rsidR="00752D71" w:rsidRPr="00563285" w:rsidRDefault="00752D71" w:rsidP="009A11C7">
      <w:pPr>
        <w:jc w:val="both"/>
        <w:rPr>
          <w:sz w:val="21"/>
          <w:szCs w:val="21"/>
          <w:lang w:val="ru-RU"/>
        </w:rPr>
        <w:spacing w:before="120" w:after="0" w:line="276" w:lineRule="auto"/>
      </w:pPr>
      <w:r>
        <w:rPr>
          <w:rFonts w:ascii="Cambria" w:hAnsi="Cambria"/>
          <w:sz w:val="22"/>
        </w:rPr>
        <w:t>La société réalisait des opérations d'export-import, concluait des contrats commerciaux, assurait la livraison des produits de MS, et fournissait également des prestations de mise en service et de maintenance de produits aéronautiques.</w:t>
      </w:r>
    </w:p>
    <w:p w14:paraId="577EA856" w14:textId="269EBBE3" w:rsidR="001247E2" w:rsidRPr="00563285" w:rsidRDefault="001247E2" w:rsidP="009A11C7">
      <w:pPr>
        <w:jc w:val="both"/>
        <w:rPr>
          <w:sz w:val="21"/>
          <w:szCs w:val="21"/>
          <w:lang w:val="ru-RU"/>
        </w:rPr>
        <w:spacing w:before="120" w:after="0" w:line="276" w:lineRule="auto"/>
      </w:pPr>
      <w:r>
        <w:rPr>
          <w:rFonts w:ascii="Cambria" w:hAnsi="Cambria"/>
          <w:sz w:val="22"/>
        </w:rPr>
        <w:t>Le modèle d'agence était utilisé dans l'activité commerciale internationale de MS et ME comme instrument de promotion de produits sur les marchés étrangers.</w:t>
      </w:r>
    </w:p>
    <w:p w14:paraId="3AD5436E" w14:textId="5EFE1A47" w:rsidR="001247E2" w:rsidRPr="00563285" w:rsidRDefault="001247E2" w:rsidP="00A86613">
      <w:pPr>
        <w:pStyle w:val="a3"/>
        <w:contextualSpacing w:val="0"/>
        <w:jc w:val="both"/>
        <w:rPr>
          <w:sz w:val="21"/>
          <w:szCs w:val="21"/>
          <w:u w:val="single"/>
          <w:lang w:val="ru-RU"/>
        </w:rPr>
        <w:ind w:left="0"/>
        <w:spacing w:before="120" w:after="0" w:line="276" w:lineRule="auto"/>
      </w:pPr>
      <w:r>
        <w:rPr>
          <w:rFonts w:ascii="Cambria" w:hAnsi="Cambria"/>
          <w:sz w:val="22"/>
        </w:rPr>
        <w:t>Preuves de la défense.</w:t>
      </w:r>
    </w:p>
    <w:p w14:paraId="3FAA381C" w14:textId="4F3807F5"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 xml:space="preserve">Documents relatifs à l'activité commerciale de ME - contrats avec des cocontractants étrangers, factures et messages SWIFT. </w:t>
      </w:r>
    </w:p>
    <w:p w14:paraId="20D6B2F0" w14:textId="0CB31804"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Documents sur les livraisons de produits aéronautiques, y compris le contrat de ME avec Prust Holding.</w:t>
      </w:r>
    </w:p>
    <w:p w14:paraId="6C1AD676" w14:textId="60500B34" w:rsidR="00481C48"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Documents sur la maintenance technique d'équipements aéronautiques - contrat avec Nile Petroleum Corporation, facture et message SWIFT.</w:t>
      </w:r>
    </w:p>
    <w:p w14:paraId="608AB1CB" w14:textId="7641CC56"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 xml:space="preserve">Lettre de MS relative au droit de ME de verser des commissions à des intermédiaires, y compris des sociétés étrangères. </w:t>
      </w:r>
    </w:p>
    <w:p w14:paraId="1BC9C966" w14:textId="7059EB3D" w:rsidR="007E70FD" w:rsidRPr="00563285" w:rsidRDefault="007E70FD" w:rsidP="00653927">
      <w:pPr>
        <w:pStyle w:val="a3"/>
        <w:numPr>
          <w:ilvl w:val="0"/>
          <w:numId w:val="4"/>
        </w:numPr>
        <w:contextualSpacing w:val="0"/>
        <w:jc w:val="both"/>
        <w:rPr>
          <w:sz w:val="21"/>
          <w:szCs w:val="21"/>
          <w:lang w:val="ru-RU"/>
        </w:rPr>
        <w:ind w:left="567" w:hanging="567"/>
        <w:spacing w:before="120" w:after="0" w:line="276" w:lineRule="auto"/>
      </w:pPr>
      <w:r>
        <w:rPr>
          <w:rFonts w:ascii="Cambria" w:hAnsi="Cambria"/>
          <w:sz w:val="22"/>
        </w:rPr>
        <w:t>Documents de conformité bancaire - correspondance avec Julius Baer sur la nécessité de confirmer le droit de ME de payer des commissions à des sociétés offshore.</w:t>
      </w:r>
    </w:p>
    <w:p w14:paraId="4A269FBA" w14:textId="4200E803" w:rsidR="007E70FD" w:rsidRPr="00563285" w:rsidRDefault="007E70FD" w:rsidP="00664BB0">
      <w:pPr>
        <w:pStyle w:val="a3"/>
        <w:contextualSpacing w:val="0"/>
        <w:jc w:val="both"/>
        <w:rPr>
          <w:sz w:val="21"/>
          <w:szCs w:val="21"/>
          <w:u w:val="single"/>
          <w:lang w:val="ru-RU"/>
        </w:rPr>
        <w:ind w:left="0"/>
        <w:spacing w:before="120" w:after="0" w:line="276" w:lineRule="auto"/>
      </w:pPr>
      <w:r>
        <w:rPr>
          <w:rFonts w:ascii="Cambria" w:hAnsi="Cambria"/>
          <w:sz w:val="22"/>
        </w:rPr>
        <w:t>Questions problématiques / de discussion.</w:t>
      </w:r>
    </w:p>
    <w:p w14:paraId="2A825AEC" w14:textId="44B62FA8" w:rsidR="00CA42D1" w:rsidRPr="00563285" w:rsidRDefault="00CA42D1" w:rsidP="00653927">
      <w:pPr>
        <w:pStyle w:val="a3"/>
        <w:numPr>
          <w:ilvl w:val="0"/>
          <w:numId w:val="5"/>
        </w:numPr>
        <w:contextualSpacing w:val="0"/>
        <w:jc w:val="both"/>
        <w:rPr>
          <w:sz w:val="21"/>
          <w:szCs w:val="21"/>
          <w:u w:val="single"/>
          <w:lang w:val="ru-RU"/>
        </w:rPr>
        <w:ind w:left="567" w:hanging="567"/>
        <w:spacing w:before="120" w:after="0" w:line="276" w:lineRule="auto"/>
      </w:pPr>
      <w:r>
        <w:rPr>
          <w:rFonts w:ascii="Cambria" w:hAnsi="Cambria"/>
          <w:sz w:val="22"/>
        </w:rPr>
        <w:t>Absence d'accès aux documents d'entreprise, internes et financiers de ME. Leur obtention est considérablement entravée ;</w:t>
      </w:r>
    </w:p>
    <w:p w14:paraId="6E5F2C02" w14:textId="1ED9815C" w:rsidR="00CA42D1" w:rsidRPr="00563285" w:rsidRDefault="00CA42D1" w:rsidP="00653927">
      <w:pPr>
        <w:pStyle w:val="a3"/>
        <w:numPr>
          <w:ilvl w:val="0"/>
          <w:numId w:val="5"/>
        </w:numPr>
        <w:contextualSpacing w:val="0"/>
        <w:jc w:val="both"/>
        <w:rPr>
          <w:sz w:val="21"/>
          <w:szCs w:val="21"/>
          <w:u w:val="single"/>
          <w:lang w:val="ru-RU"/>
        </w:rPr>
        <w:ind w:left="567" w:hanging="567"/>
        <w:spacing w:before="120" w:after="0" w:line="276" w:lineRule="auto"/>
      </w:pPr>
      <w:r>
        <w:rPr>
          <w:rFonts w:ascii="Cambria" w:hAnsi="Cambria"/>
          <w:sz w:val="22"/>
        </w:rPr>
        <w:t>Il faut expliquer les documents dans lesquels AVB est indiqué comme directeur de ME ;</w:t>
      </w:r>
    </w:p>
    <w:p w14:paraId="71AEF664" w14:textId="235E861C" w:rsidR="00CA42D1" w:rsidRPr="00563285" w:rsidRDefault="00CA42D1" w:rsidP="00653927">
      <w:pPr>
        <w:pStyle w:val="a3"/>
        <w:numPr>
          <w:ilvl w:val="0"/>
          <w:numId w:val="5"/>
        </w:numPr>
        <w:contextualSpacing w:val="0"/>
        <w:jc w:val="both"/>
        <w:rPr>
          <w:sz w:val="21"/>
          <w:szCs w:val="21"/>
          <w:u w:val="single"/>
          <w:lang w:val="ru-RU"/>
        </w:rPr>
        <w:ind w:left="567" w:hanging="567"/>
        <w:spacing w:before="120" w:after="0" w:line="276" w:lineRule="auto"/>
      </w:pPr>
      <w:r>
        <w:rPr>
          <w:rFonts w:ascii="Cambria" w:hAnsi="Cambria"/>
          <w:sz w:val="22"/>
        </w:rPr>
        <w:t>Il faut séparer les documents préparés pour la conformité bancaire, les procédures d'immigration, des preuves de la gestion de fait de ME ;</w:t>
      </w:r>
    </w:p>
    <w:p w14:paraId="3649075C" w14:textId="77777777" w:rsidR="000232D7" w:rsidRPr="00563285" w:rsidRDefault="000232D7" w:rsidP="000232D7">
      <w:pPr>
        <w:jc w:val="both"/>
        <w:rPr>
          <w:b/>
          <w:bCs/>
          <w:sz w:val="21"/>
          <w:szCs w:val="21"/>
          <w:lang w:val="ru-RU"/>
        </w:rPr>
        <w:spacing w:before="120" w:after="0" w:line="276" w:lineRule="auto"/>
      </w:pPr>
      <w:r>
        <w:rPr>
          <w:rFonts w:ascii="Cambria" w:hAnsi="Cambria" w:cs="Cambria"/>
          <w:sz w:val="22"/>
        </w:rPr>
      </w:r>
    </w:p>
    <w:p w14:paraId="5F8FD41C" w14:textId="644E9FF0" w:rsidR="000232D7" w:rsidRPr="00563285" w:rsidRDefault="000232D7"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Embargo et restrictions à l'exportation »</w:t>
      </w:r>
    </w:p>
    <w:p w14:paraId="2BC91F86" w14:textId="346E9E9A" w:rsidR="000232D7" w:rsidRPr="00563285" w:rsidRDefault="000232D7" w:rsidP="00664BB0">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5DCB19FD" w14:textId="77777777" w:rsidR="000232D7" w:rsidRPr="00563285" w:rsidRDefault="000232D7" w:rsidP="000232D7">
      <w:pPr>
        <w:jc w:val="both"/>
        <w:rPr>
          <w:sz w:val="21"/>
          <w:szCs w:val="21"/>
          <w:lang w:val="ru-RU"/>
        </w:rPr>
        <w:spacing w:before="120" w:after="0" w:line="276" w:lineRule="auto"/>
      </w:pPr>
      <w:r>
        <w:rPr>
          <w:rFonts w:ascii="Cambria" w:hAnsi="Cambria"/>
          <w:sz w:val="22"/>
        </w:rPr>
        <w:t>Les livraisons s'effectuaient au titre de contrats économiques extérieurs avec des cocontractants étrangers et passaient la procédure de contrôle étatique des exportations.</w:t>
      </w:r>
    </w:p>
    <w:p w14:paraId="53B0F598" w14:textId="77777777" w:rsidR="000232D7" w:rsidRPr="00563285" w:rsidRDefault="000232D7" w:rsidP="000232D7">
      <w:pPr>
        <w:jc w:val="both"/>
        <w:rPr>
          <w:sz w:val="21"/>
          <w:szCs w:val="21"/>
          <w:lang w:val="ru-RU"/>
        </w:rPr>
        <w:spacing w:before="120" w:after="0" w:line="276" w:lineRule="auto"/>
      </w:pPr>
      <w:r>
        <w:rPr>
          <w:rFonts w:ascii="Cambria" w:hAnsi="Cambria"/>
          <w:sz w:val="22"/>
        </w:rPr>
        <w:t>MS soumettait au Contrôle étatique des exportations les documents relatifs aux marchandises, aux cocontractants, aux utilisateurs finaux et aux conditions d'utilisation des produits.</w:t>
      </w:r>
    </w:p>
    <w:p w14:paraId="46CABDA2" w14:textId="77777777" w:rsidR="000232D7" w:rsidRPr="00563285" w:rsidRDefault="000232D7" w:rsidP="000232D7">
      <w:pPr>
        <w:jc w:val="both"/>
        <w:rPr>
          <w:sz w:val="21"/>
          <w:szCs w:val="21"/>
          <w:lang w:val="ru-RU"/>
        </w:rPr>
        <w:spacing w:before="120" w:after="0" w:line="276" w:lineRule="auto"/>
      </w:pPr>
      <w:r>
        <w:rPr>
          <w:rFonts w:ascii="Cambria" w:hAnsi="Cambria"/>
          <w:sz w:val="22"/>
        </w:rPr>
        <w:t>Pour les livraisons, des autorisations, des certificats d'utilisateur final, des lettres de garantie, des documents douaniers et de transport étaient établis.</w:t>
      </w:r>
    </w:p>
    <w:p w14:paraId="6AD9BB87" w14:textId="77777777" w:rsidR="000232D7" w:rsidRPr="00563285" w:rsidRDefault="000232D7" w:rsidP="000232D7">
      <w:pPr>
        <w:jc w:val="both"/>
        <w:rPr>
          <w:sz w:val="21"/>
          <w:szCs w:val="21"/>
          <w:lang w:val="ru-RU"/>
        </w:rPr>
        <w:spacing w:before="120" w:after="0" w:line="276" w:lineRule="auto"/>
      </w:pPr>
      <w:r>
        <w:rPr/>
        <w:t>Dans la documentation d'autorisation, étaient indiqués comme utilisateurs finaux des entités étrangères de RPC, de Hong Kong et des EAU, et non de FR.</w:t>
      </w:r>
    </w:p>
    <w:p w14:paraId="0ACE6897" w14:textId="636F0E62" w:rsidR="000232D7" w:rsidRPr="00563285" w:rsidRDefault="000232D7" w:rsidP="000232D7">
      <w:pPr>
        <w:jc w:val="both"/>
        <w:rPr>
          <w:sz w:val="21"/>
          <w:szCs w:val="21"/>
          <w:lang w:val="ru-RU"/>
        </w:rPr>
        <w:spacing w:before="120" w:after="0" w:line="276" w:lineRule="auto"/>
      </w:pPr>
      <w:r>
        <w:rPr>
          <w:rFonts w:ascii="Cambria" w:hAnsi="Cambria"/>
          <w:sz w:val="22"/>
        </w:rPr>
        <w:t>Le fait même de la livraison via la RPC, Hong Kong ou les EAU ne prouve pas la réexportation de la marchandise concrète vers la FR. Dans le dossier, il n'existe pas de documents directs confirmant l'arrivée des marchandises concrètes livrées en FR.</w:t>
      </w:r>
    </w:p>
    <w:p w14:paraId="2B8F1D9B" w14:textId="77777777" w:rsidR="000232D7" w:rsidRPr="00563285" w:rsidRDefault="000232D7" w:rsidP="000232D7">
      <w:pPr>
        <w:jc w:val="both"/>
        <w:rPr>
          <w:sz w:val="21"/>
          <w:szCs w:val="21"/>
          <w:lang w:val="ru-RU"/>
        </w:rPr>
        <w:spacing w:before="120" w:after="0" w:line="276" w:lineRule="auto"/>
      </w:pPr>
      <w:r>
        <w:rPr>
          <w:rFonts w:ascii="Cambria" w:hAnsi="Cambria"/>
          <w:sz w:val="22"/>
        </w:rPr>
        <w:t>Même une violation éventuelle des obligations par l'utilisateur final ne prouve pas l'intention de l'exportateur ukrainien, si l'exportateur a obtenu l'autorisation et a satisfait aux exigences du contrôle des exportations.</w:t>
      </w:r>
    </w:p>
    <w:p w14:paraId="503494C1" w14:textId="3DECDE43" w:rsidR="000232D7" w:rsidRPr="00563285" w:rsidRDefault="000232D7" w:rsidP="00664BB0">
      <w:pPr>
        <w:jc w:val="both"/>
        <w:rPr>
          <w:sz w:val="21"/>
          <w:szCs w:val="21"/>
          <w:lang w:val="ru-RU"/>
        </w:rPr>
        <w:spacing w:before="120" w:after="0" w:line="276" w:lineRule="auto"/>
      </w:pPr>
      <w:r>
        <w:rPr>
          <w:rFonts w:ascii="Cambria" w:hAnsi="Cambria"/>
          <w:sz w:val="22"/>
        </w:rPr>
        <w:t>AVB n'est pas suspect ou accusé dans la procédure ukrainienne relative à l'embargo.</w:t>
      </w:r>
    </w:p>
    <w:p w14:paraId="0C3B84B6" w14:textId="557A36F7" w:rsidR="000232D7" w:rsidRPr="00563285" w:rsidRDefault="00664BB0" w:rsidP="00664BB0">
      <w:pPr>
        <w:jc w:val="both"/>
        <w:rPr>
          <w:sz w:val="21"/>
          <w:szCs w:val="21"/>
          <w:lang w:val="ru-RU"/>
        </w:rPr>
        <w:spacing w:before="120" w:after="0" w:line="276" w:lineRule="auto"/>
      </w:pPr>
      <w:r>
        <w:rPr>
          <w:rFonts w:ascii="Cambria" w:hAnsi="Cambria"/>
          <w:sz w:val="22"/>
        </w:rPr>
        <w:t>En outre, l'enquête française a dénaturé les renseignements concernant le virement d'argent de VAB à AVB. Dans les pièces de l'enquête, il y a un document sur le compte de VAB auprès de Corner Banque S.A. confirmant le virement de 82 468,88 USD du compte de VAB en Suisse vers le compte de VAB auprès de la SA « Motor Bank » en Ukraine.  Ce n'est pas un virement de VAB à AVB.</w:t>
      </w:r>
    </w:p>
    <w:p w14:paraId="625EF05D" w14:textId="77777777" w:rsidR="000232D7" w:rsidRPr="00563285" w:rsidRDefault="000232D7" w:rsidP="00664BB0">
      <w:pPr>
        <w:pStyle w:val="a3"/>
        <w:contextualSpacing w:val="0"/>
        <w:jc w:val="both"/>
        <w:rPr>
          <w:sz w:val="21"/>
          <w:szCs w:val="21"/>
          <w:u w:val="single"/>
          <w:lang w:val="ru-RU"/>
        </w:rPr>
        <w:ind w:left="0"/>
        <w:spacing w:before="120" w:after="0" w:line="276" w:lineRule="auto"/>
      </w:pPr>
      <w:r>
        <w:rPr>
          <w:rFonts w:ascii="Cambria" w:hAnsi="Cambria"/>
          <w:sz w:val="22"/>
        </w:rPr>
        <w:t>Preuves de la défense.</w:t>
      </w:r>
    </w:p>
    <w:p w14:paraId="6F380D1A"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Autorisations du Contrôle étatique des exportations pour les livraisons à l'adresse de cocontractants étrangers, en particulier China Taly et MIR Trading.</w:t>
      </w:r>
    </w:p>
    <w:p w14:paraId="545B9F2C"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Certificats d'utilisateur final, lettres de garantie, contrats, factures, documents douaniers et de transport.</w:t>
      </w:r>
    </w:p>
    <w:p w14:paraId="59F63738"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Pièces des vérifications du Contrôle étatique des exportations, qui confirment le passage de la procédure d'autorisation et de la concertation interministérielle.</w:t>
      </w:r>
    </w:p>
    <w:p w14:paraId="55B1502F"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Documents de contrôle post-exportation - demandes du Contrôle étatique des exportations et réponses de MS sur la confirmation de la livraison des marchandises au consommateur final.</w:t>
      </w:r>
    </w:p>
    <w:p w14:paraId="0E5E0A0C"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Réponses des cocontractants étrangers, qui confirment la livraison et l'utilisation des produits en RPC, à Hong Kong et réfutent la réexportation vers la FR.</w:t>
      </w:r>
    </w:p>
    <w:p w14:paraId="48B42236" w14:textId="77777777" w:rsidR="000232D7" w:rsidRPr="00563285" w:rsidRDefault="000232D7" w:rsidP="00653927">
      <w:pPr>
        <w:pStyle w:val="a3"/>
        <w:numPr>
          <w:ilvl w:val="1"/>
          <w:numId w:val="14"/>
        </w:numPr>
        <w:contextualSpacing w:val="0"/>
        <w:jc w:val="both"/>
        <w:rPr>
          <w:sz w:val="21"/>
          <w:szCs w:val="21"/>
          <w:lang w:val="ru-RU"/>
        </w:rPr>
        <w:ind w:left="567" w:hanging="567"/>
        <w:spacing w:before="120" w:after="0" w:line="276" w:lineRule="auto"/>
      </w:pPr>
      <w:r>
        <w:rPr>
          <w:rFonts w:ascii="Cambria" w:hAnsi="Cambria"/>
          <w:sz w:val="22"/>
        </w:rPr>
        <w:t>La réglementation russe, qui limitait l'importation légale de certaines marchandises d'origine ukrainienne en FR.</w:t>
      </w:r>
    </w:p>
    <w:p w14:paraId="58FFCAD1" w14:textId="77777777" w:rsidR="000232D7" w:rsidRPr="00563285" w:rsidRDefault="000232D7" w:rsidP="000232D7">
      <w:pPr>
        <w:jc w:val="both"/>
        <w:rPr>
          <w:sz w:val="21"/>
          <w:szCs w:val="21"/>
          <w:u w:val="single"/>
          <w:lang w:val="ru-RU"/>
        </w:rPr>
        <w:spacing w:before="120" w:after="0" w:line="276" w:lineRule="auto"/>
      </w:pPr>
      <w:r>
        <w:rPr>
          <w:rFonts w:ascii="Cambria" w:hAnsi="Cambria" w:cs="Cambria"/>
          <w:sz w:val="22"/>
        </w:rPr>
      </w:r>
    </w:p>
    <w:p w14:paraId="2612B2F4" w14:textId="0C35A7F6" w:rsidR="009128D5" w:rsidRPr="00563285" w:rsidRDefault="009128D5"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Privatisation de la SA “Motor Sich” »</w:t>
      </w:r>
    </w:p>
    <w:p w14:paraId="7529D47B" w14:textId="79353FC2" w:rsidR="006252D6" w:rsidRPr="00563285" w:rsidRDefault="006252D6" w:rsidP="009128D5">
      <w:pPr>
        <w:jc w:val="both"/>
        <w:rPr>
          <w:sz w:val="21"/>
          <w:szCs w:val="21"/>
          <w:lang w:val="ru-RU"/>
        </w:rPr>
        <w:spacing w:before="120" w:after="0" w:line="276" w:lineRule="auto"/>
      </w:pPr>
      <w:r>
        <w:rPr>
          <w:rFonts w:ascii="Cambria" w:hAnsi="Cambria"/>
          <w:sz w:val="22"/>
        </w:rPr>
        <w:t xml:space="preserve">MS, après l'effondrement de l'URSS, était une entreprise d'État. Depuis le début des années 1990, en Ukraine, afin d'adapter la production à l'économie de marché, la privatisation a débuté. </w:t>
      </w:r>
    </w:p>
    <w:p w14:paraId="7393DBF2" w14:textId="42233BA5" w:rsidR="006252D6" w:rsidRPr="00563285" w:rsidRDefault="006252D6" w:rsidP="009128D5">
      <w:pPr>
        <w:jc w:val="both"/>
        <w:rPr>
          <w:sz w:val="21"/>
          <w:szCs w:val="21"/>
          <w:lang w:val="ru-RU"/>
        </w:rPr>
        <w:spacing w:before="120" w:after="0" w:line="276" w:lineRule="auto"/>
      </w:pPr>
      <w:r>
        <w:rPr>
          <w:rFonts w:ascii="Cambria" w:hAnsi="Cambria"/>
          <w:sz w:val="22"/>
        </w:rPr>
        <w:t xml:space="preserve">La privatisation – c'est le passage de la propriété sur les entreprises de la propriété d'État à la propriété privée. </w:t>
      </w:r>
    </w:p>
    <w:p w14:paraId="7763A0F2" w14:textId="5953A74B" w:rsidR="006252D6" w:rsidRPr="00563285" w:rsidRDefault="006252D6" w:rsidP="009128D5">
      <w:pPr>
        <w:jc w:val="both"/>
        <w:rPr>
          <w:sz w:val="21"/>
          <w:szCs w:val="21"/>
          <w:lang w:val="ru-RU"/>
        </w:rPr>
        <w:spacing w:before="120" w:after="0" w:line="276" w:lineRule="auto"/>
      </w:pPr>
      <w:r>
        <w:rPr>
          <w:rFonts w:ascii="Cambria" w:hAnsi="Cambria"/>
          <w:sz w:val="22"/>
        </w:rPr>
        <w:t>Puisque pendant la période de l'URSS la propriété privée était très limitée, l'État, afin de garantir la possibilité pour chaque citoyen d'obtenir en propriété une part de l'ancienne propriété d'État – a introduit une procédure spéciale.</w:t>
      </w:r>
    </w:p>
    <w:p w14:paraId="39D2C39B" w14:textId="77777777" w:rsidR="00DA4AA0" w:rsidRPr="00563285" w:rsidRDefault="006252D6" w:rsidP="009128D5">
      <w:pPr>
        <w:jc w:val="both"/>
        <w:rPr>
          <w:sz w:val="21"/>
          <w:szCs w:val="21"/>
          <w:lang w:val="ru-RU"/>
        </w:rPr>
        <w:spacing w:before="120" w:after="0" w:line="276" w:lineRule="auto"/>
      </w:pPr>
      <w:r>
        <w:rPr>
          <w:rFonts w:ascii="Cambria" w:hAnsi="Cambria"/>
          <w:sz w:val="22"/>
        </w:rPr>
        <w:t>Selon une telle procédure :</w:t>
      </w:r>
    </w:p>
    <w:p w14:paraId="3F8BF7C1" w14:textId="252C9166" w:rsidR="006252D6" w:rsidRPr="00563285" w:rsidRDefault="006252D6" w:rsidP="00653927">
      <w:pPr>
        <w:pStyle w:val="a3"/>
        <w:numPr>
          <w:ilvl w:val="0"/>
          <w:numId w:val="41"/>
        </w:numPr>
        <w:contextualSpacing w:val="0"/>
        <w:jc w:val="both"/>
        <w:rPr>
          <w:sz w:val="21"/>
          <w:szCs w:val="21"/>
          <w:lang w:val="ru-RU"/>
        </w:rPr>
        <w:ind w:left="567" w:hanging="567"/>
        <w:spacing w:before="120" w:after="0" w:line="276" w:lineRule="auto"/>
      </w:pPr>
      <w:r>
        <w:rPr>
          <w:rFonts w:ascii="Cambria" w:hAnsi="Cambria"/>
          <w:sz w:val="22"/>
        </w:rPr>
        <w:t>chaque citoyen recevait un certificat de privatisation (document qui donnait droit à une part de la propriété d'État) ;</w:t>
      </w:r>
    </w:p>
    <w:p w14:paraId="71CA5ED5" w14:textId="381A9741" w:rsidR="006252D6" w:rsidRPr="00563285" w:rsidRDefault="006252D6" w:rsidP="00653927">
      <w:pPr>
        <w:pStyle w:val="a3"/>
        <w:numPr>
          <w:ilvl w:val="0"/>
          <w:numId w:val="41"/>
        </w:numPr>
        <w:contextualSpacing w:val="0"/>
        <w:jc w:val="both"/>
        <w:rPr>
          <w:sz w:val="21"/>
          <w:szCs w:val="21"/>
          <w:lang w:val="ru-RU"/>
        </w:rPr>
        <w:ind w:left="567" w:hanging="567"/>
        <w:spacing w:before="120" w:after="0" w:line="276" w:lineRule="auto"/>
      </w:pPr>
      <w:r>
        <w:rPr>
          <w:rFonts w:ascii="Cambria" w:hAnsi="Cambria"/>
          <w:sz w:val="22"/>
        </w:rPr>
        <w:t>le citoyen pouvait échanger son certificat contre une action de toute entreprise soumise à la privatisation ;</w:t>
      </w:r>
    </w:p>
    <w:p w14:paraId="0CA5D290" w14:textId="4F95029B" w:rsidR="006252D6" w:rsidRPr="00563285" w:rsidRDefault="006252D6" w:rsidP="00653927">
      <w:pPr>
        <w:pStyle w:val="a3"/>
        <w:numPr>
          <w:ilvl w:val="0"/>
          <w:numId w:val="41"/>
        </w:numPr>
        <w:contextualSpacing w:val="0"/>
        <w:jc w:val="both"/>
        <w:rPr>
          <w:sz w:val="21"/>
          <w:szCs w:val="21"/>
          <w:lang w:val="ru-RU"/>
        </w:rPr>
        <w:ind w:left="567" w:hanging="567"/>
        <w:spacing w:before="120" w:after="0" w:line="276" w:lineRule="auto"/>
      </w:pPr>
      <w:r>
        <w:rPr>
          <w:rFonts w:ascii="Cambria" w:hAnsi="Cambria"/>
          <w:sz w:val="22"/>
        </w:rPr>
        <w:t>le salarié de l'entreprise soumise à la privatisation bénéficiait d'avantages pour le droit prioritaire d'échange du certificat contre des actions de son entreprise.</w:t>
      </w:r>
    </w:p>
    <w:p w14:paraId="7BA10397" w14:textId="072F534B" w:rsidR="006252D6" w:rsidRPr="00563285" w:rsidRDefault="006252D6" w:rsidP="009128D5">
      <w:pPr>
        <w:jc w:val="both"/>
        <w:rPr>
          <w:sz w:val="21"/>
          <w:szCs w:val="21"/>
          <w:lang w:val="ru-RU"/>
        </w:rPr>
        <w:spacing w:before="120" w:after="0" w:line="276" w:lineRule="auto"/>
      </w:pPr>
      <w:r>
        <w:rPr>
          <w:rFonts w:ascii="Cambria" w:hAnsi="Cambria"/>
          <w:sz w:val="22"/>
        </w:rPr>
        <w:t>L'entreprise MS a été incluse dans les 42 premiers objets de privatisation en Ukraine. La privatisation de MS – expérimentale, menée en l'absence d'une réglementation normative complète et globale.</w:t>
      </w:r>
    </w:p>
    <w:p w14:paraId="7BA9765F" w14:textId="0ABF068A" w:rsidR="009128D5" w:rsidRPr="00563285" w:rsidRDefault="006252D6" w:rsidP="009128D5">
      <w:pPr>
        <w:jc w:val="both"/>
        <w:rPr>
          <w:sz w:val="21"/>
          <w:szCs w:val="21"/>
          <w:lang w:val="ru-RU"/>
        </w:rPr>
        <w:spacing w:before="120" w:after="0" w:line="276" w:lineRule="auto"/>
      </w:pPr>
      <w:r>
        <w:rPr>
          <w:rFonts w:ascii="Cambria" w:hAnsi="Cambria"/>
          <w:sz w:val="22"/>
        </w:rPr>
        <w:t xml:space="preserve">Cependant, la privatisation de MS a été réalisée selon les modalités prévues par la législation en vigueur à cette époque et dans les conditions d'un vide législatif partiel. Aucune violation n'a été commise. Les actions de MS ont été formées correctement, par le biais d'une évaluation préalable de l'ensemble des biens de l'entreprise. </w:t>
      </w:r>
    </w:p>
    <w:p w14:paraId="2F2F0523" w14:textId="37981704" w:rsidR="009128D5" w:rsidRPr="00563285" w:rsidRDefault="009128D5" w:rsidP="009128D5">
      <w:pPr>
        <w:jc w:val="both"/>
        <w:rPr>
          <w:sz w:val="21"/>
          <w:szCs w:val="21"/>
          <w:lang w:val="ru-RU"/>
        </w:rPr>
        <w:spacing w:before="120" w:after="0" w:line="276" w:lineRule="auto"/>
      </w:pPr>
      <w:r>
        <w:rPr>
          <w:rFonts w:ascii="Cambria" w:hAnsi="Cambria"/>
          <w:sz w:val="22"/>
        </w:rPr>
        <w:t>VAB, en qualité de directeur général, membre des commissions de privatisation et d'inventaire, a agi en stricte conformité avec la législation en vigueur.</w:t>
      </w:r>
    </w:p>
    <w:p w14:paraId="39E4D579" w14:textId="77777777" w:rsidR="009128D5" w:rsidRPr="00563285" w:rsidRDefault="009128D5" w:rsidP="009128D5">
      <w:pPr>
        <w:jc w:val="both"/>
        <w:rPr>
          <w:sz w:val="21"/>
          <w:szCs w:val="21"/>
          <w:lang w:val="ru-RU"/>
        </w:rPr>
        <w:spacing w:before="120" w:after="0" w:line="276" w:lineRule="auto"/>
      </w:pPr>
      <w:r>
        <w:rPr>
          <w:rFonts w:ascii="Cambria" w:hAnsi="Cambria"/>
          <w:sz w:val="22"/>
        </w:rPr>
        <w:t>Ce qui précède est confirmé par ce qui suit :</w:t>
      </w:r>
    </w:p>
    <w:p w14:paraId="6038E8AB" w14:textId="77777777"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La privatisation en tant que changement de la forme étatique de propriété en propriété privée nécessitait la réalisation d'un inventaire des actifs de l'entreprise, l'évaluation de sa valeur et l'émission subséquente d'actions sur la valeur déterminée des biens de privatisation.</w:t>
      </w:r>
    </w:p>
    <w:p w14:paraId="0242C509" w14:textId="2AD6295E"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Lors de la privatisation de MS, toutes les exigences de la législation de l'époque ont été respectées, y compris tous les actes du FGIU (Fonds des biens d'État de l'Ukraine – organe étatique habilité de la privatisation) :</w:t>
      </w:r>
    </w:p>
    <w:p w14:paraId="568DA6BC"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Une commission de privatisation a été formée ;</w:t>
      </w:r>
    </w:p>
    <w:p w14:paraId="13426A8B"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Une commission de liquidation a été formée ;</w:t>
      </w:r>
    </w:p>
    <w:p w14:paraId="75FE24B8"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L'inventaire des biens a été réalisé ;</w:t>
      </w:r>
    </w:p>
    <w:p w14:paraId="31D398F6"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L'évaluation des biens a été réalisée ;</w:t>
      </w:r>
    </w:p>
    <w:p w14:paraId="1D9FE16C" w14:textId="77777777"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Plan de privatisation établi et approuvé par le FGIU ;</w:t>
      </w:r>
    </w:p>
    <w:p w14:paraId="1997ADB9" w14:textId="6797EBC3" w:rsidR="009128D5" w:rsidRPr="00563285" w:rsidRDefault="009128D5" w:rsidP="00653927">
      <w:pPr>
        <w:pStyle w:val="a3"/>
        <w:numPr>
          <w:ilvl w:val="0"/>
          <w:numId w:val="35"/>
        </w:numPr>
        <w:contextualSpacing w:val="0"/>
        <w:jc w:val="both"/>
        <w:rPr>
          <w:sz w:val="21"/>
          <w:szCs w:val="21"/>
          <w:lang w:val="ru-RU"/>
        </w:rPr>
        <w:spacing w:before="120" w:after="0" w:line="276" w:lineRule="auto"/>
      </w:pPr>
      <w:r>
        <w:rPr>
          <w:rFonts w:ascii="Cambria" w:hAnsi="Cambria"/>
          <w:sz w:val="22"/>
        </w:rPr>
        <w:t>Le ministère des Finances a délivré le certificat d'émission d'actions de MS.</w:t>
      </w:r>
    </w:p>
    <w:p w14:paraId="6AF0629A" w14:textId="02E32DC9"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L'inventaire et l'évaluation des biens de l'entreprise MS ont été réalisés correctement, aucune violation n'a été commise :</w:t>
      </w:r>
    </w:p>
    <w:p w14:paraId="2303AA54" w14:textId="5DE8B043"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La privatisation de MS a été menée en l'absence d'une réglementation normative complète et globale de la question de l'évaluation des biens ;</w:t>
      </w:r>
    </w:p>
    <w:p w14:paraId="309EFAB3" w14:textId="2D11F1D4" w:rsidR="00DA4AA0" w:rsidRPr="00563285" w:rsidRDefault="00DA4AA0"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L'évaluation a été réalisée de manière exacte et correcte – à la date indiquée dans les actes normatifs4</w:t>
      </w:r>
    </w:p>
    <w:p w14:paraId="0E6B5801" w14:textId="6E1BC1A9"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Aucun organe de contrôle (FGIU, administration fiscale, ministère des Finances) n'a constaté de sous-évaluation de la valeur de MS ou d'autres violations quelconques lors de l'évaluation des biens de MS ;</w:t>
      </w:r>
    </w:p>
    <w:p w14:paraId="471BDDE7" w14:textId="7C8BB185"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Aucun auditeur indépendant n'a constaté de sous-évaluation de la valeur, du capital social de l'entreprise ;</w:t>
      </w:r>
    </w:p>
    <w:p w14:paraId="131CC1F5" w14:textId="598A7B35" w:rsidR="009128D5" w:rsidRPr="00563285" w:rsidRDefault="009128D5" w:rsidP="00653927">
      <w:pPr>
        <w:pStyle w:val="a3"/>
        <w:numPr>
          <w:ilvl w:val="0"/>
          <w:numId w:val="37"/>
        </w:numPr>
        <w:contextualSpacing w:val="0"/>
        <w:jc w:val="both"/>
        <w:rPr>
          <w:sz w:val="21"/>
          <w:szCs w:val="21"/>
          <w:lang w:val="ru-RU"/>
        </w:rPr>
        <w:spacing w:before="120" w:after="0" w:line="276" w:lineRule="auto"/>
      </w:pPr>
      <w:r>
        <w:rPr>
          <w:rFonts w:ascii="Cambria" w:hAnsi="Cambria"/>
          <w:sz w:val="22"/>
        </w:rPr>
        <w:t>Le FGIU, le Comité exécutif du conseil municipal de Zaporijia, le ministère des Finances ont, dans le processus de privatisation et en exécution de leurs compétences, rendu des ordonnances, des décisions. Aucune d'entre elles n'a été annulée par un tribunal ou un autre organe habilité.</w:t>
      </w:r>
    </w:p>
    <w:p w14:paraId="5149A214" w14:textId="05967208" w:rsidR="009128D5" w:rsidRPr="00563285" w:rsidRDefault="0026673C"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VAB a légalement et légitimement intégré la composition des commissions de privatisation et d'inventaire. Il n'a exercé aucune influence, contrainte sur les autres membres de telles commissions.</w:t>
      </w:r>
    </w:p>
    <w:p w14:paraId="12199D05" w14:textId="5C04974F" w:rsidR="009128D5" w:rsidRPr="00563285" w:rsidRDefault="009128D5" w:rsidP="00653927">
      <w:pPr>
        <w:pStyle w:val="a3"/>
        <w:numPr>
          <w:ilvl w:val="0"/>
          <w:numId w:val="36"/>
        </w:numPr>
        <w:contextualSpacing w:val="0"/>
        <w:jc w:val="both"/>
        <w:rPr>
          <w:sz w:val="21"/>
          <w:szCs w:val="21"/>
          <w:lang w:val="ru-RU"/>
        </w:rPr>
        <w:ind w:left="567" w:hanging="567"/>
        <w:spacing w:before="120" w:after="0" w:line="276" w:lineRule="auto"/>
      </w:pPr>
      <w:r>
        <w:rPr>
          <w:rFonts w:ascii="Cambria" w:hAnsi="Cambria"/>
          <w:sz w:val="22"/>
        </w:rPr>
        <w:t>VAB ne poursuivait pas pour objectif la sous-évaluation de la valeur estimée de l'entreprise. En qualité de directeur général et membre des commissions de privatisation et d'inventaire, au contraire, il stimulait les commissions pour l'exercice de leurs compétences conformément à la législation.</w:t>
      </w:r>
    </w:p>
    <w:p w14:paraId="275627EC" w14:textId="77777777" w:rsidR="0026673C" w:rsidRPr="00563285" w:rsidRDefault="0026673C" w:rsidP="0026673C">
      <w:pPr>
        <w:pStyle w:val="a3"/>
        <w:contextualSpacing w:val="0"/>
        <w:jc w:val="both"/>
        <w:rPr>
          <w:sz w:val="21"/>
          <w:szCs w:val="21"/>
          <w:lang w:val="ru-RU"/>
        </w:rPr>
        <w:ind w:left="567"/>
        <w:spacing w:before="120" w:after="0" w:line="276" w:lineRule="auto"/>
      </w:pPr>
      <w:r>
        <w:rPr>
          <w:rFonts w:ascii="Cambria" w:hAnsi="Cambria" w:cs="Cambria"/>
          <w:sz w:val="22"/>
        </w:rPr>
      </w:r>
    </w:p>
    <w:p w14:paraId="16C0C551" w14:textId="7860BF00" w:rsidR="0026673C" w:rsidRPr="00563285" w:rsidRDefault="0026673C"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Achat d'actions de la SA « Motor Sich ». »</w:t>
      </w:r>
    </w:p>
    <w:p w14:paraId="4C77FC24" w14:textId="354B8F6A" w:rsidR="00DA4AA0" w:rsidRPr="00563285" w:rsidRDefault="00DA4AA0" w:rsidP="0026673C">
      <w:pPr>
        <w:pStyle w:val="a4"/>
        <w:jc w:val="both"/>
        <w:rPr>
          <w:rFonts w:ascii="Cambria" w:hAnsi="Cambria"/>
          <w:sz w:val="21"/>
          <w:szCs w:val="21"/>
          <w:lang w:val="ru-RU"/>
        </w:rPr>
        <w:spacing w:before="120" w:after="0" w:line="276" w:lineRule="auto"/>
      </w:pPr>
      <w:r>
        <w:rPr>
          <w:rFonts w:ascii="Cambria" w:hAnsi="Cambria"/>
          <w:sz w:val="22"/>
        </w:rPr>
        <w:t xml:space="preserve">Au cours de la privatisation – les salariés de MS, d'autres citoyens d'Ukraine ont obtenu la possibilité d'acquérir des actions de MS, ce dont ils ont profité. </w:t>
      </w:r>
    </w:p>
    <w:p w14:paraId="48CEDD29" w14:textId="1B0AADEB" w:rsidR="00DA4AA0" w:rsidRPr="00563285" w:rsidRDefault="00DA4AA0" w:rsidP="0026673C">
      <w:pPr>
        <w:pStyle w:val="a4"/>
        <w:jc w:val="both"/>
        <w:rPr>
          <w:rFonts w:ascii="Cambria" w:hAnsi="Cambria"/>
          <w:sz w:val="21"/>
          <w:szCs w:val="21"/>
          <w:lang w:val="ru-RU"/>
        </w:rPr>
        <w:spacing w:before="120" w:after="0" w:line="276" w:lineRule="auto"/>
      </w:pPr>
      <w:r>
        <w:rPr>
          <w:rFonts w:ascii="Cambria" w:hAnsi="Cambria"/>
          <w:sz w:val="22"/>
        </w:rPr>
        <w:t xml:space="preserve">Mais le niveau de culture financière de la population et l'absence d'argent liquide – ont été le motif de la revente ultérieure de ces actions à d'autres personnes. En particulier – à la direction de MS, y compris VAB. </w:t>
      </w:r>
    </w:p>
    <w:p w14:paraId="72403E85" w14:textId="3240DEC2" w:rsidR="00DA4AA0" w:rsidRPr="00563285" w:rsidRDefault="00DA4AA0" w:rsidP="0026673C">
      <w:pPr>
        <w:pStyle w:val="a4"/>
        <w:jc w:val="both"/>
        <w:rPr>
          <w:rFonts w:ascii="Cambria" w:hAnsi="Cambria"/>
          <w:sz w:val="21"/>
          <w:szCs w:val="21"/>
          <w:lang w:val="ru-RU"/>
        </w:rPr>
        <w:spacing w:before="120" w:after="0" w:line="276" w:lineRule="auto"/>
      </w:pPr>
      <w:r>
        <w:rPr>
          <w:rFonts w:ascii="Cambria" w:hAnsi="Cambria"/>
          <w:sz w:val="22"/>
        </w:rPr>
        <w:t xml:space="preserve">C'était la pratique standard et habituelle de toutes les entreprises qui avaient été privatisées. Les actions étaient rachetées par la direction des sociétés, d'autres personnes. </w:t>
      </w:r>
    </w:p>
    <w:p w14:paraId="1AA50087" w14:textId="6A18F263" w:rsidR="0026673C" w:rsidRPr="00563285" w:rsidRDefault="0026673C" w:rsidP="0026673C">
      <w:pPr>
        <w:pStyle w:val="a4"/>
        <w:jc w:val="both"/>
        <w:rPr>
          <w:rFonts w:ascii="Cambria" w:hAnsi="Cambria"/>
          <w:sz w:val="21"/>
          <w:szCs w:val="21"/>
          <w:lang w:val="ru-RU"/>
        </w:rPr>
        <w:spacing w:before="120" w:after="0" w:line="276" w:lineRule="auto"/>
      </w:pPr>
      <w:r>
        <w:rPr>
          <w:rFonts w:ascii="Cambria" w:hAnsi="Cambria"/>
          <w:sz w:val="22"/>
        </w:rPr>
        <w:t>L'achat d'actions de MS par VAB. et par des sociétés liées à AVB., correspondait pleinement aux exigences de la législation de l'époque sur les valeurs mobilières. Les opérations d'achat et vente d'actions de MS avaient un caractère légal et habituel, aucune violation de la législation n'a été commise.</w:t>
      </w:r>
    </w:p>
    <w:p w14:paraId="4711F6C3" w14:textId="77777777" w:rsidR="0026673C" w:rsidRPr="00563285" w:rsidRDefault="0026673C" w:rsidP="0026673C">
      <w:pPr>
        <w:jc w:val="both"/>
        <w:rPr>
          <w:sz w:val="21"/>
          <w:szCs w:val="21"/>
          <w:lang w:val="ru-RU"/>
        </w:rPr>
        <w:spacing w:before="120" w:after="0" w:line="276" w:lineRule="auto"/>
      </w:pPr>
      <w:r>
        <w:rPr>
          <w:rFonts w:ascii="Cambria" w:hAnsi="Cambria"/>
          <w:sz w:val="22"/>
        </w:rPr>
        <w:t>Ce qui précède est confirmé par ce qui suit :</w:t>
      </w:r>
    </w:p>
    <w:p w14:paraId="507D8446" w14:textId="232F9F5F"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Les actions de MS se sont par la suite trouvées en libre circulation, il n'y avait aucune restriction légale (loi, Statuts) à leur achat ou vente.</w:t>
      </w:r>
    </w:p>
    <w:p w14:paraId="7A484280" w14:textId="77777777"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Le rachat d'actions auprès des membres du collectif de travail – une pratique d'exploitation habituelle à l'issue de la privatisation.</w:t>
      </w:r>
    </w:p>
    <w:p w14:paraId="616115DC" w14:textId="58F224F0" w:rsidR="00DC00F8" w:rsidRPr="00563285" w:rsidRDefault="00DC00F8" w:rsidP="00DC00F8">
      <w:pPr>
        <w:pStyle w:val="a4"/>
        <w:jc w:val="both"/>
        <w:rPr>
          <w:rFonts w:ascii="Cambria" w:hAnsi="Cambria"/>
          <w:sz w:val="21"/>
          <w:szCs w:val="21"/>
          <w:lang w:val="ru-RU"/>
        </w:rPr>
        <w:ind w:left="567"/>
        <w:spacing w:before="120" w:after="0" w:line="276" w:lineRule="auto"/>
      </w:pPr>
      <w:r>
        <w:rPr>
          <w:rFonts w:ascii="Cambria" w:hAnsi="Cambria"/>
          <w:sz w:val="22"/>
        </w:rPr>
        <w:t xml:space="preserve">Dans toutes les sociétés privatisées, les actions des salariés ont été rachetées par la suite, y compris, par la direction des sociétés. C'était une nécessité de l'époque – l'entreprise ne pouvait pas fonctionner normalement sans un tel regroupement d'actions avec des dizaines de milliers d'actionnaires. </w:t>
      </w:r>
    </w:p>
    <w:p w14:paraId="412C16DF" w14:textId="470F19F6"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Selon la législation de l'Ukraine, les actions, à partir d'un certain moment, ne pouvaient être achetées que par des négociateurs professionnels en valeurs mobilières.</w:t>
      </w:r>
    </w:p>
    <w:p w14:paraId="537631EB" w14:textId="766FF8C5" w:rsidR="0026673C" w:rsidRPr="00563285" w:rsidRDefault="00DC00F8" w:rsidP="00DC00F8">
      <w:pPr>
        <w:pStyle w:val="a4"/>
        <w:jc w:val="both"/>
        <w:rPr>
          <w:rFonts w:ascii="Cambria" w:hAnsi="Cambria"/>
          <w:sz w:val="21"/>
          <w:szCs w:val="21"/>
          <w:lang w:val="ru-RU"/>
        </w:rPr>
        <w:ind w:left="567"/>
        <w:spacing w:before="120" w:after="0" w:line="276" w:lineRule="auto"/>
      </w:pPr>
      <w:r>
        <w:rPr>
          <w:rFonts w:ascii="Cambria" w:hAnsi="Cambria"/>
          <w:sz w:val="22"/>
        </w:rPr>
        <w:t>À partir de ce moment, l'achat d'actions s'effectuait avec la participation d'acteurs professionnels du marché des valeurs mobilières – SARL « Firma « Motor- Diler » » et SARL « Garant Invest » :</w:t>
      </w:r>
    </w:p>
    <w:p w14:paraId="7865D417" w14:textId="77777777" w:rsidR="0026673C" w:rsidRPr="00563285" w:rsidRDefault="0026673C" w:rsidP="00653927">
      <w:pPr>
        <w:pStyle w:val="a4"/>
        <w:numPr>
          <w:ilvl w:val="0"/>
          <w:numId w:val="39"/>
        </w:numPr>
        <w:jc w:val="both"/>
        <w:rPr>
          <w:rFonts w:ascii="Cambria" w:hAnsi="Cambria"/>
          <w:sz w:val="21"/>
          <w:szCs w:val="21"/>
          <w:lang w:val="ru-RU"/>
        </w:rPr>
        <w:ind w:left="1134" w:hanging="567"/>
        <w:spacing w:before="120" w:after="0" w:line="276" w:lineRule="auto"/>
      </w:pPr>
      <w:r>
        <w:rPr>
          <w:rFonts w:ascii="Cambria" w:hAnsi="Cambria"/>
          <w:sz w:val="22"/>
        </w:rPr>
        <w:t>exerçaient une activité entrepreneuriale réelle (y compris avec d'autres cocontractants) ;</w:t>
      </w:r>
    </w:p>
    <w:p w14:paraId="758680BF" w14:textId="7AB3559A" w:rsidR="0026673C" w:rsidRPr="00563285" w:rsidRDefault="0026673C" w:rsidP="00653927">
      <w:pPr>
        <w:pStyle w:val="a4"/>
        <w:numPr>
          <w:ilvl w:val="0"/>
          <w:numId w:val="39"/>
        </w:numPr>
        <w:jc w:val="both"/>
        <w:rPr>
          <w:rFonts w:ascii="Cambria" w:hAnsi="Cambria"/>
          <w:sz w:val="21"/>
          <w:szCs w:val="21"/>
          <w:lang w:val="ru-RU"/>
        </w:rPr>
        <w:ind w:left="1134" w:hanging="567"/>
        <w:spacing w:before="120" w:after="0" w:line="276" w:lineRule="auto"/>
      </w:pPr>
      <w:r>
        <w:rPr>
          <w:rFonts w:ascii="Cambria" w:hAnsi="Cambria"/>
          <w:sz w:val="22"/>
        </w:rPr>
        <w:t>ne s'occupaient pas seulement du rachat d'actions de MS ;</w:t>
      </w:r>
    </w:p>
    <w:p w14:paraId="44060C1C" w14:textId="63A3CA30" w:rsidR="0026673C" w:rsidRPr="00563285" w:rsidRDefault="0026673C" w:rsidP="00653927">
      <w:pPr>
        <w:pStyle w:val="a4"/>
        <w:numPr>
          <w:ilvl w:val="0"/>
          <w:numId w:val="39"/>
        </w:numPr>
        <w:jc w:val="both"/>
        <w:rPr>
          <w:rFonts w:ascii="Cambria" w:hAnsi="Cambria"/>
          <w:sz w:val="21"/>
          <w:szCs w:val="21"/>
          <w:lang w:val="ru-RU"/>
        </w:rPr>
        <w:ind w:left="1134" w:hanging="567"/>
        <w:spacing w:before="120" w:after="0" w:line="276" w:lineRule="auto"/>
      </w:pPr>
      <w:r>
        <w:rPr/>
        <w:t>ne vendaient pas les actions de MS seulement à des sociétés affiliées à VAB et AVB.</w:t>
      </w:r>
    </w:p>
    <w:p w14:paraId="370B573A" w14:textId="58D67912" w:rsidR="0026673C" w:rsidRPr="00563285" w:rsidRDefault="00DC00F8"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Les actions étaient vendues par les salariés de MS volontairement. Aucune pression sur les salariés lors du rachat des actions n'a été exercée :</w:t>
      </w:r>
    </w:p>
    <w:p w14:paraId="491E29BB" w14:textId="77777777" w:rsidR="0026673C" w:rsidRPr="00563285" w:rsidRDefault="0026673C" w:rsidP="00653927">
      <w:pPr>
        <w:pStyle w:val="a4"/>
        <w:numPr>
          <w:ilvl w:val="0"/>
          <w:numId w:val="40"/>
        </w:numPr>
        <w:jc w:val="both"/>
        <w:rPr>
          <w:rFonts w:ascii="Cambria" w:hAnsi="Cambria"/>
          <w:sz w:val="21"/>
          <w:szCs w:val="21"/>
          <w:lang w:val="ru-RU"/>
        </w:rPr>
        <w:ind w:left="1134" w:hanging="567"/>
        <w:spacing w:before="120" w:after="0" w:line="276" w:lineRule="auto"/>
      </w:pPr>
      <w:r>
        <w:rPr>
          <w:rFonts w:ascii="Cambria" w:hAnsi="Cambria"/>
          <w:sz w:val="22"/>
        </w:rPr>
        <w:t>Les salariés pouvaient librement choisir l'acheteur de leurs actions.</w:t>
      </w:r>
    </w:p>
    <w:p w14:paraId="2533C6B9" w14:textId="17836D4D" w:rsidR="0026673C" w:rsidRPr="00563285" w:rsidRDefault="0026673C" w:rsidP="00653927">
      <w:pPr>
        <w:pStyle w:val="a4"/>
        <w:numPr>
          <w:ilvl w:val="0"/>
          <w:numId w:val="40"/>
        </w:numPr>
        <w:jc w:val="both"/>
        <w:rPr>
          <w:rFonts w:ascii="Cambria" w:hAnsi="Cambria"/>
          <w:sz w:val="21"/>
          <w:szCs w:val="21"/>
          <w:lang w:val="ru-RU"/>
        </w:rPr>
        <w:ind w:left="1134" w:hanging="567"/>
        <w:spacing w:before="120" w:after="0" w:line="276" w:lineRule="auto"/>
      </w:pPr>
      <w:r>
        <w:rPr>
          <w:rFonts w:ascii="Cambria" w:hAnsi="Cambria"/>
          <w:sz w:val="22"/>
        </w:rPr>
        <w:t>Les salariés de MS vendaient également les actions à d'autres entités, pas seulement à la SARL « Firma « Motor- Diler » ».</w:t>
      </w:r>
    </w:p>
    <w:p w14:paraId="4E5B6E3D" w14:textId="77777777" w:rsidR="0026673C" w:rsidRPr="00563285" w:rsidRDefault="0026673C" w:rsidP="00653927">
      <w:pPr>
        <w:pStyle w:val="a4"/>
        <w:numPr>
          <w:ilvl w:val="0"/>
          <w:numId w:val="40"/>
        </w:numPr>
        <w:jc w:val="both"/>
        <w:rPr>
          <w:rFonts w:ascii="Cambria" w:hAnsi="Cambria"/>
          <w:sz w:val="21"/>
          <w:szCs w:val="21"/>
          <w:lang w:val="ru-RU"/>
        </w:rPr>
        <w:ind w:left="1134" w:hanging="567"/>
        <w:spacing w:before="120" w:after="0" w:line="276" w:lineRule="auto"/>
      </w:pPr>
      <w:r>
        <w:rPr>
          <w:rFonts w:ascii="Cambria" w:hAnsi="Cambria"/>
          <w:sz w:val="22"/>
        </w:rPr>
        <w:t>Aucune pression n'a été exercée sur les salariés qui n'ont pas vendu leurs actions.</w:t>
      </w:r>
    </w:p>
    <w:p w14:paraId="24A0FB7E" w14:textId="3F783A7E" w:rsidR="0026673C" w:rsidRPr="00563285" w:rsidRDefault="0026673C" w:rsidP="00653927">
      <w:pPr>
        <w:pStyle w:val="a4"/>
        <w:numPr>
          <w:ilvl w:val="0"/>
          <w:numId w:val="38"/>
        </w:numPr>
        <w:jc w:val="both"/>
        <w:rPr>
          <w:rFonts w:ascii="Cambria" w:hAnsi="Cambria"/>
          <w:sz w:val="21"/>
          <w:szCs w:val="21"/>
          <w:lang w:val="ru-RU"/>
        </w:rPr>
        <w:ind w:left="567" w:hanging="567"/>
        <w:spacing w:before="120" w:after="0" w:line="276" w:lineRule="auto"/>
      </w:pPr>
      <w:r>
        <w:rPr>
          <w:rFonts w:ascii="Cambria" w:hAnsi="Cambria"/>
          <w:sz w:val="22"/>
        </w:rPr>
        <w:t>L'information sur toutes les opérations sur les valeurs mobilières de MS a été transmise à l'État en la personne des organes habilités et aucune infraction n'a été constatée.</w:t>
      </w:r>
    </w:p>
    <w:p w14:paraId="4EDCE8BD" w14:textId="296E53B0" w:rsidR="0026673C" w:rsidRPr="00563285" w:rsidRDefault="0026673C" w:rsidP="0026673C">
      <w:pPr>
        <w:pStyle w:val="a4"/>
        <w:jc w:val="both"/>
        <w:rPr>
          <w:rFonts w:ascii="Cambria" w:hAnsi="Cambria"/>
          <w:sz w:val="21"/>
          <w:szCs w:val="21"/>
          <w:lang w:val="ru-RU"/>
        </w:rPr>
        <w:ind w:left="567"/>
        <w:spacing w:before="120" w:after="0" w:line="276" w:lineRule="auto"/>
      </w:pPr>
      <w:r>
        <w:rPr>
          <w:rFonts w:ascii="Cambria" w:hAnsi="Cambria"/>
          <w:sz w:val="22"/>
        </w:rPr>
        <w:t>Les organes étatiques de contrôle comprenaient le mode et le caractère de la circulation des actions de MS, disposaient d'informations sur tous les actionnaires de MS - cependant ils n'ont constaté aucune violation de la législation.</w:t>
      </w:r>
    </w:p>
    <w:p w14:paraId="6B4CBD59" w14:textId="77777777" w:rsidR="0026673C" w:rsidRPr="00563285" w:rsidRDefault="0026673C" w:rsidP="0026673C">
      <w:pPr>
        <w:pStyle w:val="a3"/>
        <w:contextualSpacing w:val="0"/>
        <w:jc w:val="both"/>
        <w:rPr>
          <w:b/>
          <w:bCs/>
          <w:sz w:val="21"/>
          <w:szCs w:val="21"/>
          <w:lang w:val="ru-RU"/>
        </w:rPr>
        <w:ind w:left="0"/>
        <w:spacing w:before="120" w:after="0" w:line="276" w:lineRule="auto"/>
      </w:pPr>
      <w:r>
        <w:rPr>
          <w:rFonts w:ascii="Cambria" w:hAnsi="Cambria" w:cs="Cambria"/>
          <w:sz w:val="22"/>
        </w:rPr>
      </w:r>
    </w:p>
    <w:p w14:paraId="7D897B5D" w14:textId="39E163DC" w:rsidR="000232D7" w:rsidRPr="00563285" w:rsidRDefault="000232D7"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Vente des actions de la SA “Motor Sich” et question de l'autorisation de l'AMKU ».</w:t>
      </w:r>
    </w:p>
    <w:p w14:paraId="1E4EA103" w14:textId="77777777" w:rsidR="000232D7" w:rsidRPr="00563285" w:rsidRDefault="000232D7" w:rsidP="00664BB0">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55B0647A" w14:textId="77777777" w:rsidR="0073056B" w:rsidRPr="00563285" w:rsidRDefault="001F500A" w:rsidP="0073056B">
      <w:pPr>
        <w:pStyle w:val="a3"/>
        <w:numPr>
          <w:ilvl w:val="1"/>
          <w:numId w:val="43"/>
        </w:numPr>
        <w:contextualSpacing w:val="0"/>
        <w:jc w:val="both"/>
        <w:rPr>
          <w:sz w:val="21"/>
          <w:szCs w:val="21"/>
          <w:lang w:val="ru-RU"/>
        </w:rPr>
        <w:ind w:left="567" w:hanging="567"/>
        <w:spacing w:before="120" w:after="0" w:line="276" w:lineRule="auto"/>
      </w:pPr>
      <w:r>
        <w:rPr>
          <w:rFonts w:ascii="Cambria" w:hAnsi="Cambria"/>
          <w:sz w:val="22"/>
        </w:rPr>
        <w:t>L'obligation d'obtenir l'autorisation de l'AMKU ne naissait pas.</w:t>
      </w:r>
    </w:p>
    <w:p w14:paraId="35F371BF" w14:textId="5D8F189F"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Au 30 mars 2015, les actions de MS se trouvaient dans plusieurs chaînes corporatives. Selon trois chaînes, AVB était le bénéficiaire effectif final :</w:t>
      </w:r>
    </w:p>
    <w:p w14:paraId="575F8FAA" w14:textId="08C9F8BD" w:rsidR="0073056B" w:rsidRPr="00563285" w:rsidRDefault="0073056B" w:rsidP="0073056B">
      <w:pPr>
        <w:pStyle w:val="a3"/>
        <w:numPr>
          <w:ilvl w:val="0"/>
          <w:numId w:val="44"/>
        </w:numPr>
        <w:contextualSpacing w:val="0"/>
        <w:jc w:val="both"/>
        <w:rPr>
          <w:sz w:val="21"/>
          <w:szCs w:val="21"/>
          <w:lang w:val="ru-RU"/>
        </w:rPr>
        <w:ind w:left="1134" w:hanging="425"/>
        <w:spacing w:before="120" w:after="0" w:line="276" w:lineRule="auto"/>
      </w:pPr>
      <w:r>
        <w:rPr>
          <w:rFonts w:ascii="Cambria" w:hAnsi="Cambria"/>
          <w:sz w:val="22"/>
        </w:rPr>
        <w:t>Laterson Management Group / Granum Corporation - 9,27 % des actions de MS ;</w:t>
      </w:r>
    </w:p>
    <w:p w14:paraId="08176073" w14:textId="1897ACC3" w:rsidR="0073056B" w:rsidRPr="00563285" w:rsidRDefault="0073056B" w:rsidP="0073056B">
      <w:pPr>
        <w:pStyle w:val="a3"/>
        <w:numPr>
          <w:ilvl w:val="0"/>
          <w:numId w:val="44"/>
        </w:numPr>
        <w:contextualSpacing w:val="0"/>
        <w:jc w:val="both"/>
        <w:rPr>
          <w:sz w:val="21"/>
          <w:szCs w:val="21"/>
          <w:lang w:val="ru-RU"/>
        </w:rPr>
        <w:ind w:left="1134" w:hanging="425"/>
        <w:spacing w:before="120" w:after="0" w:line="276" w:lineRule="auto"/>
      </w:pPr>
      <w:r>
        <w:rPr>
          <w:rFonts w:ascii="Cambria" w:hAnsi="Cambria"/>
          <w:sz w:val="22"/>
        </w:rPr>
        <w:t>Stamio Investment Ltd / Enfields Trade &amp; Capital Corp - 3,11 % des actions de MS ;</w:t>
      </w:r>
    </w:p>
    <w:p w14:paraId="2545A449" w14:textId="0921022A" w:rsidR="0073056B" w:rsidRPr="00563285" w:rsidRDefault="0073056B" w:rsidP="0073056B">
      <w:pPr>
        <w:pStyle w:val="a3"/>
        <w:numPr>
          <w:ilvl w:val="0"/>
          <w:numId w:val="44"/>
        </w:numPr>
        <w:contextualSpacing w:val="0"/>
        <w:jc w:val="both"/>
        <w:rPr>
          <w:sz w:val="21"/>
          <w:szCs w:val="21"/>
          <w:lang w:val="ru-RU"/>
        </w:rPr>
        <w:ind w:left="1134" w:hanging="425"/>
        <w:spacing w:before="120" w:after="0" w:line="276" w:lineRule="auto"/>
      </w:pPr>
      <w:r>
        <w:rPr>
          <w:rFonts w:ascii="Cambria" w:hAnsi="Cambria"/>
          <w:sz w:val="22"/>
        </w:rPr>
        <w:t>Calloway Finance Limited / SARL « Motor Intercoms » - 9,69 % des actions de MS.</w:t>
      </w:r>
    </w:p>
    <w:p w14:paraId="586EF799" w14:textId="2A3846D3"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Au total, ces trois chaînes représentaient environ 22 % des actions de MS.</w:t>
      </w:r>
    </w:p>
    <w:p w14:paraId="57E9328C" w14:textId="50022196"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Selon les trois autres chaînes, les bénéficiaires effectifs finals étaient d'autres personnes :</w:t>
      </w:r>
    </w:p>
    <w:p w14:paraId="2845194D" w14:textId="0B2ACAD2" w:rsidR="0073056B" w:rsidRPr="00563285" w:rsidRDefault="0073056B" w:rsidP="0073056B">
      <w:pPr>
        <w:pStyle w:val="a3"/>
        <w:numPr>
          <w:ilvl w:val="0"/>
          <w:numId w:val="45"/>
        </w:numPr>
        <w:contextualSpacing w:val="0"/>
        <w:jc w:val="both"/>
        <w:rPr>
          <w:sz w:val="21"/>
          <w:szCs w:val="21"/>
          <w:lang w:val="ru-RU"/>
        </w:rPr>
        <w:ind w:left="1134" w:hanging="425"/>
        <w:spacing w:before="120" w:after="0" w:line="276" w:lineRule="auto"/>
      </w:pPr>
      <w:r>
        <w:rPr>
          <w:rFonts w:ascii="Cambria" w:hAnsi="Cambria"/>
          <w:sz w:val="22"/>
        </w:rPr>
        <w:t>Trufanova L. - Taladin Limited / Waldo Trade - 1,3035 % des actions de MS ;</w:t>
      </w:r>
    </w:p>
    <w:p w14:paraId="7DE85CC9" w14:textId="18416E38" w:rsidR="0073056B" w:rsidRPr="00563285" w:rsidRDefault="0073056B" w:rsidP="0073056B">
      <w:pPr>
        <w:pStyle w:val="a3"/>
        <w:numPr>
          <w:ilvl w:val="0"/>
          <w:numId w:val="45"/>
        </w:numPr>
        <w:contextualSpacing w:val="0"/>
        <w:jc w:val="both"/>
        <w:rPr>
          <w:sz w:val="21"/>
          <w:szCs w:val="21"/>
          <w:lang w:val="ru-RU"/>
        </w:rPr>
        <w:ind w:left="1134" w:hanging="425"/>
        <w:spacing w:before="120" w:after="0" w:line="276" w:lineRule="auto"/>
      </w:pPr>
      <w:r>
        <w:rPr>
          <w:rFonts w:ascii="Cambria" w:hAnsi="Cambria"/>
          <w:sz w:val="22"/>
        </w:rPr>
        <w:t>Kononenko A. - Longwizard Corp. / Montagne Ltd / SA « TD “Olena” » - 9,29 % des actions de MS ;</w:t>
      </w:r>
    </w:p>
    <w:p w14:paraId="6ADE4513" w14:textId="6160C5BE" w:rsidR="0073056B" w:rsidRPr="00563285" w:rsidRDefault="0073056B" w:rsidP="0073056B">
      <w:pPr>
        <w:pStyle w:val="a3"/>
        <w:numPr>
          <w:ilvl w:val="0"/>
          <w:numId w:val="45"/>
        </w:numPr>
        <w:contextualSpacing w:val="0"/>
        <w:jc w:val="both"/>
        <w:rPr>
          <w:sz w:val="21"/>
          <w:szCs w:val="21"/>
          <w:lang w:val="ru-RU"/>
        </w:rPr>
        <w:ind w:left="1134" w:hanging="425"/>
        <w:spacing w:before="120" w:after="0" w:line="276" w:lineRule="auto"/>
      </w:pPr>
      <w:r>
        <w:rPr>
          <w:rFonts w:ascii="Cambria" w:hAnsi="Cambria"/>
          <w:sz w:val="22"/>
        </w:rPr>
        <w:t>Vnukov E. - Katran Limited / Business House Helena - 17,3113 % des actions de MS.</w:t>
      </w:r>
    </w:p>
    <w:p w14:paraId="61EEAE8A" w14:textId="01E9788D" w:rsidR="0073056B" w:rsidRPr="00563285" w:rsidRDefault="0073056B" w:rsidP="0073056B">
      <w:pPr>
        <w:pStyle w:val="a3"/>
        <w:contextualSpacing w:val="0"/>
        <w:jc w:val="both"/>
        <w:rPr>
          <w:sz w:val="21"/>
          <w:szCs w:val="21"/>
          <w:lang w:val="ru-RU"/>
        </w:rPr>
        <w:ind w:left="567"/>
        <w:spacing w:before="120" w:after="0" w:line="276" w:lineRule="auto"/>
      </w:pPr>
      <w:r>
        <w:rPr>
          <w:rFonts w:ascii="Cambria" w:hAnsi="Cambria"/>
          <w:sz w:val="22"/>
        </w:rPr>
        <w:t>En même temps, AVB était le bénéficiaire économique effectif au titre de ces sociétés, mais n'était pas leur fondateur, associé, dirigeant.</w:t>
      </w:r>
    </w:p>
    <w:p w14:paraId="78498DC7" w14:textId="3601363B"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VAB et AVB n'exerçaient pas de contrôle conjoint sur les actions de MS.</w:t>
      </w:r>
    </w:p>
    <w:p w14:paraId="46317EC7" w14:textId="0B2A2B4E" w:rsidR="001F500A" w:rsidRPr="00563285" w:rsidRDefault="001F500A" w:rsidP="001F500A">
      <w:pPr>
        <w:pStyle w:val="a3"/>
        <w:contextualSpacing w:val="0"/>
        <w:jc w:val="both"/>
        <w:rPr>
          <w:sz w:val="21"/>
          <w:szCs w:val="21"/>
          <w:lang w:val="ru-RU"/>
        </w:rPr>
        <w:ind w:left="567"/>
        <w:spacing w:before="120" w:after="0" w:line="276" w:lineRule="auto"/>
      </w:pPr>
      <w:r>
        <w:rPr>
          <w:rFonts w:ascii="Cambria" w:hAnsi="Cambria"/>
          <w:sz w:val="22"/>
        </w:rPr>
        <w:t>VAB n'a pas acquis le contrôle sur les sociétés d'AVB et n'a pas exercé avec lui de contrôle conjoint. Les liens de parenté entre VAB et AVB ne créent pas en eux-mêmes d'entité économique unique et ne permettent pas de cumuler automatiquement leurs paquets d'actions.</w:t>
      </w:r>
    </w:p>
    <w:p w14:paraId="73D9793F" w14:textId="678A40A9"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VAB et AVB n'étaient pas tenus de s'adresser à l'AMKU pour obtenir l'autorisation de concentration.</w:t>
      </w:r>
    </w:p>
    <w:p w14:paraId="134BC7CD" w14:textId="77777777" w:rsidR="001F500A" w:rsidRPr="00563285" w:rsidRDefault="001F500A" w:rsidP="001F500A">
      <w:pPr>
        <w:pStyle w:val="a3"/>
        <w:contextualSpacing w:val="0"/>
        <w:jc w:val="both"/>
        <w:rPr>
          <w:sz w:val="21"/>
          <w:szCs w:val="21"/>
          <w:lang w:val="ru-RU"/>
        </w:rPr>
        <w:ind w:left="567"/>
        <w:spacing w:before="120" w:after="0" w:line="276" w:lineRule="auto"/>
      </w:pPr>
      <w:r>
        <w:rPr/>
        <w:t>L'obligation de s'adresser pour obtenir l'autorisation de l'AMKU naît chez les participants à la concentration, avant tout chez les personnes qui acquièrent des droits corporatifs ou le contrôle.</w:t>
      </w:r>
    </w:p>
    <w:p w14:paraId="12518F43" w14:textId="29433B6F" w:rsidR="001F500A" w:rsidRPr="00563285" w:rsidRDefault="001F500A" w:rsidP="001F500A">
      <w:pPr>
        <w:pStyle w:val="a3"/>
        <w:contextualSpacing w:val="0"/>
        <w:jc w:val="both"/>
        <w:rPr>
          <w:sz w:val="21"/>
          <w:szCs w:val="21"/>
          <w:lang w:val="ru-RU"/>
        </w:rPr>
        <w:ind w:left="567"/>
        <w:spacing w:before="120" w:after="0" w:line="276" w:lineRule="auto"/>
      </w:pPr>
      <w:r>
        <w:rPr>
          <w:rFonts w:ascii="Cambria" w:hAnsi="Cambria"/>
          <w:sz w:val="22"/>
        </w:rPr>
        <w:t>Dans les opérations considérées, VAB et AVB n'agissaient pas comme acquéreurs du contrôle, c'est pourquoi l'obligation de déposer une demande auprès de l'AMKU ne naissait pas chez eux.</w:t>
      </w:r>
    </w:p>
    <w:p w14:paraId="5DF1A979" w14:textId="3DDF7B52" w:rsidR="001F500A" w:rsidRPr="00563285" w:rsidRDefault="001F500A" w:rsidP="00563285">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L'absence de décisions et de sanctions de l'AMKU confirme l'absence d'infraction constatée à la législation sur la concurrence.</w:t>
      </w:r>
    </w:p>
    <w:p w14:paraId="1876ECE4" w14:textId="5C582FBA" w:rsidR="00844C6F" w:rsidRPr="00563285" w:rsidRDefault="00844C6F" w:rsidP="00563285">
      <w:pPr>
        <w:pStyle w:val="a3"/>
        <w:contextualSpacing w:val="0"/>
        <w:jc w:val="both"/>
        <w:rPr>
          <w:sz w:val="21"/>
          <w:szCs w:val="21"/>
          <w:lang w:val="ru-RU"/>
        </w:rPr>
        <w:ind w:left="567"/>
        <w:spacing w:before="120" w:after="0" w:line="276" w:lineRule="auto"/>
      </w:pPr>
      <w:r>
        <w:rPr>
          <w:rFonts w:ascii="Cambria" w:hAnsi="Cambria"/>
          <w:sz w:val="22"/>
        </w:rPr>
        <w:t>La première saisine sur la question de la concentration a été déposée par Skyrizon Aircraft Holdings Limited et MS auprès de l'AMKU le 9 juin 2017, c'est-à-dire déjà après la conclusion de la transaction.</w:t>
      </w:r>
    </w:p>
    <w:p w14:paraId="6AE16435" w14:textId="16897FBC"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Cependant, l'AMKU n'a pas ouvert de dossier, n'a pas pris de décision sur la réalisation d'une concentration sans autorisation et n'a pas appliqué de sanctions à l'égard des opérations correspondantes.</w:t>
      </w:r>
    </w:p>
    <w:p w14:paraId="4D8478DD" w14:textId="4FB07CBD"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Par conséquent, la violation de la législation sur la concurrence n'a pas été constatée par l'organe compétent selon la procédure prévue par la loi.</w:t>
      </w:r>
    </w:p>
    <w:p w14:paraId="7877E420" w14:textId="76258B73" w:rsidR="00563285" w:rsidRPr="00563285" w:rsidRDefault="00563285"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Le délai de prescription pour engager la responsabilité pour une concentration sans autorisation a expiré.</w:t>
      </w:r>
    </w:p>
    <w:p w14:paraId="20067802" w14:textId="4318A61E"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Selon la 1re partie de l'art. 42 de la Loi de l'Ukraine « Sur la protection de la concurrence économique », le délai de prescription pour engager la responsabilité pour une telle infraction est de 5 ans à compter du jour de la commission de l'infraction, et en cas d'infraction continue - à compter du jour de l'achèvement de sa commission</w:t>
      </w:r>
    </w:p>
    <w:p w14:paraId="3B9FD2AA" w14:textId="3E4D7D0A" w:rsidR="00563285" w:rsidRPr="00563285" w:rsidRDefault="00563285" w:rsidP="00563285">
      <w:pPr>
        <w:pStyle w:val="a3"/>
        <w:contextualSpacing w:val="0"/>
        <w:jc w:val="both"/>
        <w:rPr>
          <w:sz w:val="21"/>
          <w:szCs w:val="21"/>
          <w:lang w:val="ru-RU"/>
        </w:rPr>
        <w:ind w:left="567"/>
        <w:spacing w:before="120" w:after="0" w:line="276" w:lineRule="auto"/>
      </w:pPr>
      <w:r>
        <w:rPr>
          <w:rFonts w:ascii="Cambria" w:hAnsi="Cambria"/>
          <w:sz w:val="22"/>
        </w:rPr>
        <w:t>Puisque l'AMKU n'a pas ouvert de dossier, n'a pas pris de décision relative à l'infraction et n'a pas appliqué de sanctions, la question d'une éventuelle concentration sans autorisation ne peut pas être utilisée comme une infraction établie à la législation sur la concurrence.</w:t>
      </w:r>
    </w:p>
    <w:p w14:paraId="709C47C9" w14:textId="40AE441D"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Même une violation hypothétique des règles de concentration ne constitue pas les éléments constitutifs d'une infraction pénale.</w:t>
      </w:r>
    </w:p>
    <w:p w14:paraId="5BDE85A9" w14:textId="6AC6DE21" w:rsidR="001F500A" w:rsidRPr="00563285" w:rsidRDefault="001F500A" w:rsidP="00653927">
      <w:pPr>
        <w:pStyle w:val="a3"/>
        <w:contextualSpacing w:val="0"/>
        <w:jc w:val="both"/>
        <w:rPr>
          <w:sz w:val="21"/>
          <w:szCs w:val="21"/>
          <w:lang w:val="ru-RU"/>
        </w:rPr>
        <w:ind w:left="567"/>
        <w:spacing w:before="120" w:after="0" w:line="276" w:lineRule="auto"/>
      </w:pPr>
      <w:r>
        <w:rPr>
          <w:rFonts w:ascii="Cambria" w:hAnsi="Cambria"/>
          <w:sz w:val="22"/>
        </w:rPr>
        <w:t>La responsabilité pour violation de la législation sur la protection de la concurrence économique est de nature économique et juridique.</w:t>
      </w:r>
    </w:p>
    <w:p w14:paraId="02BA8D86" w14:textId="0560606F"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La violation des règles de concentration n'est pas un fondement autonome de nullité de la transaction.</w:t>
      </w:r>
    </w:p>
    <w:p w14:paraId="645457AE" w14:textId="532BE25D" w:rsidR="001F500A" w:rsidRPr="00563285" w:rsidRDefault="001F500A" w:rsidP="001F500A">
      <w:pPr>
        <w:pStyle w:val="a3"/>
        <w:contextualSpacing w:val="0"/>
        <w:jc w:val="both"/>
        <w:rPr>
          <w:sz w:val="21"/>
          <w:szCs w:val="21"/>
          <w:lang w:val="ru-RU"/>
        </w:rPr>
        <w:ind w:left="567"/>
        <w:spacing w:before="120" w:after="0" w:line="276" w:lineRule="auto"/>
      </w:pPr>
      <w:r>
        <w:rPr>
          <w:rFonts w:ascii="Cambria" w:hAnsi="Cambria"/>
          <w:sz w:val="22"/>
        </w:rPr>
        <w:t>Même si la question de l'autorisation de l'AMKU se posait, cela ne signifierait pas la nullité automatique des contrats de vente des actions de MS et ne confirmerait pas l'origine criminelle des fonds reçus.</w:t>
      </w:r>
    </w:p>
    <w:p w14:paraId="2FC5F430" w14:textId="77777777" w:rsidR="001F500A" w:rsidRPr="00563285" w:rsidRDefault="001F500A" w:rsidP="00653927">
      <w:pPr>
        <w:pStyle w:val="a3"/>
        <w:numPr>
          <w:ilvl w:val="0"/>
          <w:numId w:val="43"/>
        </w:numPr>
        <w:contextualSpacing w:val="0"/>
        <w:jc w:val="both"/>
        <w:rPr>
          <w:sz w:val="21"/>
          <w:szCs w:val="21"/>
          <w:lang w:val="ru-RU"/>
        </w:rPr>
        <w:ind w:left="567" w:hanging="567"/>
        <w:spacing w:before="120" w:after="0" w:line="276" w:lineRule="auto"/>
      </w:pPr>
      <w:r>
        <w:rPr>
          <w:rFonts w:ascii="Cambria" w:hAnsi="Cambria"/>
          <w:sz w:val="22"/>
        </w:rPr>
        <w:t>Les sujets de responsabilité pour la violation des règles de concentration sont les participants à la concentration, et non automatiquement les vendeurs d'actions.</w:t>
      </w:r>
    </w:p>
    <w:p w14:paraId="3FCC334C" w14:textId="6A4478B8" w:rsidR="001F500A" w:rsidRPr="00563285" w:rsidRDefault="001F500A" w:rsidP="001F500A">
      <w:pPr>
        <w:pStyle w:val="a3"/>
        <w:contextualSpacing w:val="0"/>
        <w:jc w:val="both"/>
        <w:rPr>
          <w:sz w:val="21"/>
          <w:szCs w:val="21"/>
          <w:lang w:val="ru-RU"/>
        </w:rPr>
        <w:ind w:left="567"/>
        <w:spacing w:before="120" w:after="0" w:line="276" w:lineRule="auto"/>
      </w:pPr>
      <w:r>
        <w:rPr/>
        <w:t>Dans la pratique de l'AMKU, les sanctions sont, en règle générale, appliquées aux acquéreurs du contrôle ou à l'émetteur, et non aux vendeurs.</w:t>
      </w:r>
    </w:p>
    <w:bookmarkEnd w:id="2"/>
    <w:p w14:paraId="45BB3679" w14:textId="77777777" w:rsidR="005D0005" w:rsidRPr="00563285" w:rsidRDefault="005D0005" w:rsidP="000232D7">
      <w:pPr>
        <w:jc w:val="both"/>
        <w:rPr>
          <w:b/>
          <w:bCs/>
          <w:sz w:val="21"/>
          <w:szCs w:val="21"/>
          <w:lang w:val="en-US"/>
        </w:rPr>
        <w:spacing w:before="120" w:after="0" w:line="276" w:lineRule="auto"/>
      </w:pPr>
      <w:r>
        <w:rPr>
          <w:rFonts w:ascii="Cambria" w:hAnsi="Cambria" w:cs="Cambria"/>
          <w:sz w:val="22"/>
        </w:rPr>
      </w:r>
    </w:p>
    <w:p w14:paraId="4D67BE2E" w14:textId="3A9F4F62" w:rsidR="009147B2" w:rsidRPr="00563285" w:rsidRDefault="009147B2"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Résidence fiscale, revenus et déclaration ».</w:t>
      </w:r>
    </w:p>
    <w:p w14:paraId="1785B6B4" w14:textId="1AB2F58B" w:rsidR="00664BB0" w:rsidRPr="00563285" w:rsidRDefault="009147B2" w:rsidP="00166571">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2CD27B68" w14:textId="77777777" w:rsidR="001F500A" w:rsidRPr="00563285" w:rsidRDefault="001F500A" w:rsidP="00653927">
      <w:pPr>
        <w:pStyle w:val="a3"/>
        <w:numPr>
          <w:ilvl w:val="0"/>
          <w:numId w:val="42"/>
        </w:numPr>
        <w:contextualSpacing w:val="0"/>
        <w:jc w:val="both"/>
        <w:rPr>
          <w:rFonts w:eastAsia="Calibri" w:cs="Arial"/>
          <w:b/>
          <w:bCs/>
          <w:sz w:val="21"/>
          <w:szCs w:val="21"/>
          <w:lang w:val="ru-RU"/>
        </w:rPr>
        <w:ind w:left="567" w:hanging="501"/>
        <w:spacing w:before="120" w:after="0" w:line="276" w:lineRule="auto"/>
      </w:pPr>
      <w:r>
        <w:rPr>
          <w:rFonts w:ascii="Cambria" w:hAnsi="Cambria"/>
          <w:sz w:val="22"/>
        </w:rPr>
        <w:t>AVB a effectivement transféré le centre de ses intérêts vitaux de l'Ukraine à Monaco</w:t>
      </w:r>
    </w:p>
    <w:p w14:paraId="21D51628"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AVB résidait en Ukraine et était résident fiscal de l'Ukraine jusqu'en 2014 inclus. En lien avec la perspective de la transaction et en vertu de nombreuses autres raisons, en particulier :</w:t>
      </w:r>
    </w:p>
    <w:p w14:paraId="06BFBA0D" w14:textId="287945F1"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les actions militaires qui ont commencé en 2014 dans les régions de Lougansk et de Donetsk en Ukraine. La région de Donetsk est limitrophe de la région de Zaporijia, et AVB avec sa famille résidait dans la ville de Zaporijia ;</w:t>
      </w:r>
    </w:p>
    <w:p w14:paraId="04513D13" w14:textId="77777777"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l'instabilité politique dans le pays ;</w:t>
      </w:r>
    </w:p>
    <w:p w14:paraId="3BA0A5CB" w14:textId="77777777"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des considérations de sécurité personnelle ;</w:t>
      </w:r>
    </w:p>
    <w:p w14:paraId="1D0536D0" w14:textId="77777777" w:rsidR="001F500A" w:rsidRPr="00563285" w:rsidRDefault="001F500A" w:rsidP="00653927">
      <w:pPr>
        <w:pStyle w:val="a3"/>
        <w:numPr>
          <w:ilvl w:val="0"/>
          <w:numId w:val="29"/>
        </w:numPr>
        <w:contextualSpacing w:val="0"/>
        <w:jc w:val="both"/>
        <w:rPr>
          <w:rFonts w:eastAsia="Calibri" w:cs="Arial"/>
          <w:sz w:val="21"/>
          <w:szCs w:val="21"/>
          <w:lang w:val="ru-RU"/>
        </w:rPr>
        <w:ind w:left="1134" w:hanging="567"/>
        <w:spacing w:before="120" w:after="0" w:line="276" w:lineRule="auto"/>
      </w:pPr>
      <w:r>
        <w:rPr>
          <w:rFonts w:ascii="Cambria" w:hAnsi="Cambria"/>
          <w:sz w:val="22"/>
        </w:rPr>
        <w:t>la planification fiscale</w:t>
      </w:r>
    </w:p>
    <w:p w14:paraId="6C1489C6" w14:textId="77777777" w:rsidR="001F500A" w:rsidRPr="00563285" w:rsidRDefault="001F500A" w:rsidP="001F500A">
      <w:pPr>
        <w:jc w:val="both"/>
        <w:rPr>
          <w:rFonts w:eastAsia="Calibri" w:cs="Arial"/>
          <w:sz w:val="21"/>
          <w:szCs w:val="21"/>
          <w:lang w:val="ru-RU"/>
        </w:rPr>
        <w:ind w:left="567"/>
        <w:spacing w:before="120" w:after="0" w:line="276" w:lineRule="auto"/>
      </w:pPr>
      <w:r>
        <w:rPr>
          <w:rFonts w:ascii="Cambria" w:hAnsi="Cambria"/>
          <w:sz w:val="22"/>
        </w:rPr>
        <w:t>Au printemps 2015, AVB a conclu un contrat de location d'appartement à Monaco et a commencé la procédure d'obtention d'un visa de long séjour de type D. Sur le fondement de ce visa, le 15 octobre 2015, il a obtenu un premier titre de séjour à Monaco. Les années suivantes, AVB a successivement renouvelé son titre de séjour.</w:t>
      </w:r>
    </w:p>
    <w:p w14:paraId="39F9540C" w14:textId="554FAC68" w:rsidR="00563285" w:rsidRPr="00563285" w:rsidRDefault="00563285" w:rsidP="001F500A">
      <w:pPr>
        <w:jc w:val="both"/>
        <w:rPr>
          <w:rFonts w:eastAsia="Calibri" w:cs="Arial"/>
          <w:sz w:val="21"/>
          <w:szCs w:val="21"/>
          <w:lang w:val="ru-RU"/>
        </w:rPr>
        <w:ind w:left="567"/>
        <w:spacing w:before="120" w:after="0" w:line="276" w:lineRule="auto"/>
      </w:pPr>
      <w:r>
        <w:rPr>
          <w:rFonts w:ascii="Cambria" w:hAnsi="Cambria"/>
          <w:sz w:val="22"/>
        </w:rPr>
        <w:t>En 2016, AVB disposait également d'un certificat confirmant sa résidence à Monaco. Ce document confirme le lien administratif et factuel d'AVB avec Monaco durant la période de réception des fonds au titre de la « Grande transaction » et doit être apprécié séparément du certificat de résidence fiscale des UAE.</w:t>
      </w:r>
    </w:p>
    <w:p w14:paraId="6AF66451" w14:textId="77777777" w:rsidR="001F500A" w:rsidRPr="00563285" w:rsidRDefault="001F500A" w:rsidP="001F500A">
      <w:pPr>
        <w:jc w:val="both"/>
        <w:rPr>
          <w:rFonts w:eastAsia="Calibri" w:cs="Arial"/>
          <w:sz w:val="21"/>
          <w:szCs w:val="21"/>
          <w:lang w:val="ru-RU"/>
        </w:rPr>
        <w:ind w:left="567"/>
        <w:spacing w:before="120" w:after="0" w:line="276" w:lineRule="auto"/>
      </w:pPr>
      <w:r>
        <w:rPr>
          <w:rFonts w:ascii="Cambria" w:hAnsi="Cambria"/>
          <w:sz w:val="22"/>
        </w:rPr>
        <w:t>AVB a créé à Monaco des sociétés par l'intermédiaire desquelles il a investi dans l'immobilier à Monaco et en France : SCI Kozak, SCP Monacuiros, SCI Carré d’Or Quadruplex, SCP Monacourch et SCP Galinette.</w:t>
      </w:r>
    </w:p>
    <w:p w14:paraId="09736D24" w14:textId="77777777" w:rsidR="001F500A" w:rsidRPr="00563285" w:rsidRDefault="001F500A" w:rsidP="001F500A">
      <w:pPr>
        <w:jc w:val="both"/>
        <w:rPr>
          <w:rFonts w:eastAsia="Calibri" w:cs="Arial"/>
          <w:sz w:val="21"/>
          <w:szCs w:val="21"/>
          <w:lang w:val="ru-RU"/>
        </w:rPr>
        <w:ind w:left="567"/>
        <w:spacing w:before="120" w:after="0" w:line="276" w:lineRule="auto"/>
      </w:pPr>
      <w:r>
        <w:rPr>
          <w:rFonts w:ascii="Cambria" w:hAnsi="Cambria"/>
          <w:sz w:val="22"/>
        </w:rPr>
        <w:t>La sélection des biens immobiliers, les négociations avec les vendeurs et les banques créancières exigeaient une présence permanente à Monaco. C'est pourquoi, en 2015–2021, AVB ne s'est rendu en Ukraine que pour de courtes périodes.</w:t>
      </w:r>
    </w:p>
    <w:p w14:paraId="2C2EBF58" w14:textId="77777777" w:rsidR="001F500A" w:rsidRPr="00563285" w:rsidRDefault="001F500A" w:rsidP="00653927">
      <w:pPr>
        <w:pStyle w:val="a3"/>
        <w:numPr>
          <w:ilvl w:val="0"/>
          <w:numId w:val="42"/>
        </w:numPr>
        <w:tabs>
          <w:tab w:val="left" w:pos="0"/>
        </w:tabs>
        <w:contextualSpacing w:val="0"/>
        <w:jc w:val="both"/>
        <w:rPr>
          <w:rFonts w:eastAsia="Calibri" w:cs="Arial"/>
          <w:b/>
          <w:bCs/>
          <w:sz w:val="21"/>
          <w:szCs w:val="21"/>
          <w:lang w:val="ru-RU"/>
        </w:rPr>
        <w:ind w:left="567" w:hanging="567"/>
        <w:spacing w:before="120" w:after="0" w:line="276" w:lineRule="auto"/>
      </w:pPr>
      <w:r>
        <w:rPr>
          <w:rFonts w:ascii="Cambria" w:hAnsi="Cambria"/>
          <w:sz w:val="22"/>
        </w:rPr>
        <w:t>Les circonstances familiales et personnelles confirment également le lien d'AVB avec Monaco</w:t>
      </w:r>
    </w:p>
    <w:p w14:paraId="186F4E77" w14:textId="77777777" w:rsidR="001F500A" w:rsidRPr="00563285" w:rsidRDefault="001F500A" w:rsidP="001F500A">
      <w:pPr>
        <w:pStyle w:val="a3"/>
        <w:tabs>
          <w:tab w:val="left" w:pos="0"/>
        </w:tabs>
        <w:contextualSpacing w:val="0"/>
        <w:jc w:val="both"/>
        <w:rPr>
          <w:rFonts w:eastAsia="Calibri" w:cs="Arial"/>
          <w:sz w:val="21"/>
          <w:szCs w:val="21"/>
          <w:lang w:val="ru-RU"/>
        </w:rPr>
        <w:ind w:left="567"/>
        <w:spacing w:before="120" w:after="0" w:line="276" w:lineRule="auto"/>
      </w:pPr>
      <w:r>
        <w:rPr>
          <w:rFonts w:ascii="Cambria" w:hAnsi="Cambria"/>
          <w:sz w:val="22"/>
        </w:rPr>
        <w:t>Le déménagement d'AVB à Monaco a influencé ses relations familiales. Son épouse n'a pas soutenu cette décision, en raison de quoi un conflit est apparu et le mariage s'est de facto désintégré. Depuis le printemps 2015, les époux ne résidaient plus ensemble.</w:t>
      </w:r>
    </w:p>
    <w:p w14:paraId="0121E741" w14:textId="77777777" w:rsidR="001F500A" w:rsidRPr="00563285" w:rsidRDefault="001F500A" w:rsidP="001F500A">
      <w:pPr>
        <w:pStyle w:val="a3"/>
        <w:tabs>
          <w:tab w:val="left" w:pos="0"/>
        </w:tabs>
        <w:contextualSpacing w:val="0"/>
        <w:jc w:val="both"/>
        <w:rPr>
          <w:rFonts w:eastAsia="Calibri" w:cs="Arial"/>
          <w:sz w:val="21"/>
          <w:szCs w:val="21"/>
          <w:lang w:val="ru-RU"/>
        </w:rPr>
        <w:ind w:left="567"/>
        <w:spacing w:before="120" w:after="0" w:line="276" w:lineRule="auto"/>
      </w:pPr>
      <w:r>
        <w:rPr>
          <w:rFonts w:ascii="Cambria" w:hAnsi="Cambria"/>
          <w:sz w:val="22"/>
        </w:rPr>
        <w:t>En 2016, un tribunal ukrainien a rendu une décision de divorce et a fixé le lieu de résidence des quatre enfants mineurs auprès de leur mère.</w:t>
      </w:r>
    </w:p>
    <w:p w14:paraId="0CB148B0" w14:textId="77777777" w:rsidR="001F500A" w:rsidRPr="00563285" w:rsidRDefault="001F500A" w:rsidP="001F500A">
      <w:pPr>
        <w:pStyle w:val="a3"/>
        <w:tabs>
          <w:tab w:val="left" w:pos="0"/>
        </w:tabs>
        <w:contextualSpacing w:val="0"/>
        <w:jc w:val="both"/>
        <w:rPr>
          <w:rFonts w:eastAsia="Calibri" w:cs="Arial"/>
          <w:sz w:val="21"/>
          <w:szCs w:val="21"/>
          <w:lang w:val="ru-RU"/>
        </w:rPr>
        <w:ind w:left="567"/>
        <w:spacing w:before="120" w:after="0" w:line="276" w:lineRule="auto"/>
      </w:pPr>
      <w:r>
        <w:rPr>
          <w:rFonts w:ascii="Cambria" w:hAnsi="Cambria"/>
          <w:sz w:val="22"/>
        </w:rPr>
        <w:t>Par la suite, les relations d'AVB avec son ex-épouse se sont améliorées. En 2018, le fils aîné Viatcheslav a emménagé auprès d'AVB à Monaco. En 2019, toute la famille a déménagé à Monaco, y compris l'ex-épouse et les trois enfants cadets. Depuis 2019, la famille résidait à Monaco, et en 2023, les époux ont de nouveau contracté mariage à Monaco.</w:t>
      </w:r>
    </w:p>
    <w:p w14:paraId="0E815039" w14:textId="77777777" w:rsidR="00563285" w:rsidRPr="00563285" w:rsidRDefault="00563285" w:rsidP="001F500A">
      <w:pPr>
        <w:pStyle w:val="a3"/>
        <w:tabs>
          <w:tab w:val="left" w:pos="0"/>
        </w:tabs>
        <w:contextualSpacing w:val="0"/>
        <w:jc w:val="both"/>
        <w:rPr>
          <w:sz w:val="21"/>
          <w:szCs w:val="21"/>
          <w:lang w:val="ru-KZ"/>
        </w:rPr>
        <w:ind w:left="567"/>
        <w:spacing w:before="120" w:after="0" w:line="276" w:lineRule="auto"/>
      </w:pPr>
      <w:r>
        <w:rPr>
          <w:rFonts w:ascii="Cambria" w:hAnsi="Cambria"/>
          <w:sz w:val="22"/>
        </w:rPr>
        <w:t>De plus, le 22 novembre 2017, le Président de l'Ukraine a pris le décret n° 384/2017 portant cessation de la citoyenneté ukrainienne d'AVB en raison de l'acquisition volontaire de la citoyenneté de la Grenade.</w:t>
      </w:r>
    </w:p>
    <w:p w14:paraId="24609535" w14:textId="77777777" w:rsidR="00563285" w:rsidRPr="00563285" w:rsidRDefault="00563285" w:rsidP="001F500A">
      <w:pPr>
        <w:pStyle w:val="a3"/>
        <w:tabs>
          <w:tab w:val="left" w:pos="0"/>
        </w:tabs>
        <w:contextualSpacing w:val="0"/>
        <w:jc w:val="both"/>
        <w:rPr>
          <w:sz w:val="21"/>
          <w:szCs w:val="21"/>
          <w:lang w:val="ru-KZ"/>
        </w:rPr>
        <w:ind w:left="567"/>
        <w:spacing w:before="120" w:after="0" w:line="276" w:lineRule="auto"/>
      </w:pPr>
      <w:r>
        <w:rPr>
          <w:rFonts w:ascii="Cambria" w:hAnsi="Cambria"/>
          <w:sz w:val="22"/>
        </w:rPr>
        <w:t>La procédure a été initiée par l'État, et l'information sur la cessation de la citoyenneté n'a pas été portée à la connaissance d'AVB selon la procédure établie.</w:t>
      </w:r>
    </w:p>
    <w:p w14:paraId="50826D27" w14:textId="11EF4CC3" w:rsidR="00563285" w:rsidRPr="00563285" w:rsidRDefault="00563285" w:rsidP="001F500A">
      <w:pPr>
        <w:pStyle w:val="a3"/>
        <w:tabs>
          <w:tab w:val="left" w:pos="0"/>
        </w:tabs>
        <w:contextualSpacing w:val="0"/>
        <w:jc w:val="both"/>
        <w:rPr>
          <w:sz w:val="21"/>
          <w:szCs w:val="21"/>
          <w:lang w:val="ru-KZ"/>
        </w:rPr>
        <w:ind w:left="567"/>
        <w:spacing w:before="120" w:after="0" w:line="276" w:lineRule="auto"/>
      </w:pPr>
      <w:r>
        <w:rPr/>
        <w:t>Ces circonstances confirment en outre la modification de son lien personnel et juridique avec l'Ukraine après son déménagement à Monaco.</w:t>
      </w:r>
    </w:p>
    <w:p w14:paraId="0B0186AB" w14:textId="232F0A2B" w:rsidR="00563285" w:rsidRPr="00563285" w:rsidRDefault="00563285" w:rsidP="001F500A">
      <w:pPr>
        <w:pStyle w:val="a3"/>
        <w:tabs>
          <w:tab w:val="left" w:pos="0"/>
        </w:tabs>
        <w:contextualSpacing w:val="0"/>
        <w:jc w:val="both"/>
        <w:rPr>
          <w:rFonts w:eastAsia="Calibri" w:cs="Arial"/>
          <w:sz w:val="21"/>
          <w:szCs w:val="21"/>
          <w:lang w:val="ru-KZ"/>
        </w:rPr>
        <w:ind w:left="567"/>
        <w:spacing w:before="120" w:after="0" w:line="276" w:lineRule="auto"/>
      </w:pPr>
      <w:r>
        <w:rPr>
          <w:rFonts w:ascii="Cambria" w:hAnsi="Cambria"/>
          <w:sz w:val="22"/>
        </w:rPr>
        <w:t>Ainsi, au cours des années 2015–2025, AVB résidait à Monaco, se considérait comme résident fiscal de Monaco et l'était du point de vue de la législation de Monaco, de la législation de l'Ukraine et des conventions internationales pertinentes</w:t>
      </w:r>
    </w:p>
    <w:p w14:paraId="54FEBFC0" w14:textId="77777777" w:rsidR="001F500A" w:rsidRPr="00563285" w:rsidRDefault="001F500A" w:rsidP="00844C6F">
      <w:pPr>
        <w:pStyle w:val="a3"/>
        <w:numPr>
          <w:ilvl w:val="0"/>
          <w:numId w:val="42"/>
        </w:numPr>
        <w:contextualSpacing w:val="0"/>
        <w:jc w:val="both"/>
        <w:rPr>
          <w:rFonts w:eastAsia="Calibri" w:cs="Arial"/>
          <w:b/>
          <w:bCs/>
          <w:sz w:val="21"/>
          <w:szCs w:val="21"/>
          <w:lang w:val="ru-RU"/>
        </w:rPr>
        <w:ind w:left="567" w:hanging="567"/>
        <w:spacing w:before="120" w:after="0" w:line="276" w:lineRule="auto"/>
      </w:pPr>
      <w:r>
        <w:rPr>
          <w:rFonts w:ascii="Cambria" w:hAnsi="Cambria"/>
          <w:sz w:val="22"/>
        </w:rPr>
        <w:t>Le droit ukrainien ne confirme pas l'existence d'une infraction fiscale sous-jacente</w:t>
      </w:r>
    </w:p>
    <w:p w14:paraId="4C0F17AE"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Dans la procédure française, le volet fiscal est examiné comme l'une des infractions sous-jacentes possibles pour le blanchiment de capitaux.</w:t>
      </w:r>
    </w:p>
    <w:p w14:paraId="7A0C5828"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Cependant, selon le droit de l'Ukraine, le fait d'une infraction fiscale ne peut pas être établi par des conclusions analytiques, des comparaisons financières.</w:t>
      </w:r>
    </w:p>
    <w:p w14:paraId="469EF097"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L'infraction fiscale en Ukraine est établie uniquement par l'organe de contrôle sur les résultats du contrôle fiscal, d'un acte de contrôle et d'une décision de notification fiscale. Sans une telle procédure, l'infraction fiscale est considérée comme juridiquement non établie.</w:t>
      </w:r>
    </w:p>
    <w:p w14:paraId="48E55283"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Le fait de la fraude fiscale en tant que crime est établi selon la procédure pénale.</w:t>
      </w:r>
    </w:p>
    <w:p w14:paraId="5A80A6A6" w14:textId="7239B52F"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Dans la procédure pénale ukrainienne, aucune notification de soupçon n'a été remise à AVB, et les circonstances de la fraude fiscale ne sont pas formulées comme un épisode de soupçon distinct.</w:t>
      </w:r>
    </w:p>
    <w:p w14:paraId="14860753"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La discordance en soi entre les revenus déclarés et le volume des actifs ne prouve pas une infraction fiscale et ne confirme pas l'origine criminelle d'un bien concret.</w:t>
      </w:r>
    </w:p>
    <w:p w14:paraId="74D3A688"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Pour cela, il est nécessaire de prouver séparément le fait d'une infraction fiscale, l'origine criminelle du bien concret et le lien de ce bien avec l'acte correspondant.</w:t>
      </w:r>
    </w:p>
    <w:p w14:paraId="76A8B620" w14:textId="77777777" w:rsidR="001F500A" w:rsidRPr="00563285" w:rsidRDefault="001F500A" w:rsidP="00844C6F">
      <w:pPr>
        <w:pStyle w:val="a3"/>
        <w:numPr>
          <w:ilvl w:val="0"/>
          <w:numId w:val="42"/>
        </w:numPr>
        <w:contextualSpacing w:val="0"/>
        <w:jc w:val="both"/>
        <w:rPr>
          <w:rFonts w:eastAsia="Calibri" w:cs="Arial"/>
          <w:b/>
          <w:bCs/>
          <w:sz w:val="21"/>
          <w:szCs w:val="21"/>
          <w:lang w:val="ru-RU"/>
        </w:rPr>
        <w:ind w:left="567" w:hanging="567"/>
        <w:spacing w:before="120" w:after="0" w:line="276" w:lineRule="auto"/>
      </w:pPr>
      <w:r>
        <w:rPr>
          <w:rFonts w:ascii="Cambria" w:hAnsi="Cambria"/>
          <w:sz w:val="22"/>
        </w:rPr>
        <w:t>Le certificat de résidence fiscale des UAE ne réfute pas la résidence fiscale de Monaco</w:t>
      </w:r>
    </w:p>
    <w:p w14:paraId="415FDA3E" w14:textId="77777777" w:rsidR="001F500A" w:rsidRPr="00563285" w:rsidRDefault="001F500A" w:rsidP="001F500A">
      <w:pPr>
        <w:pStyle w:val="a3"/>
        <w:contextualSpacing w:val="0"/>
        <w:jc w:val="both"/>
        <w:rPr>
          <w:rFonts w:eastAsia="Calibri" w:cs="Arial"/>
          <w:sz w:val="21"/>
          <w:szCs w:val="21"/>
          <w:lang w:val="ru-RU"/>
        </w:rPr>
        <w:ind w:left="567"/>
        <w:spacing w:before="120" w:after="0" w:line="276" w:lineRule="auto"/>
      </w:pPr>
      <w:r>
        <w:rPr>
          <w:rFonts w:ascii="Cambria" w:hAnsi="Cambria"/>
          <w:sz w:val="22"/>
        </w:rPr>
        <w:t>Le titre de séjour dans les UAE a été obtenu par AVB dans un but uniquement pratique : la simplification du passage de la frontière avec les UAE, l'ouverture de comptes, l'acquisition de biens immobiliers et d'actifs financiers dans les UAE.</w:t>
      </w:r>
    </w:p>
    <w:p w14:paraId="1567090A" w14:textId="5E9B3BCB" w:rsidR="001F500A" w:rsidRPr="00563285" w:rsidRDefault="001F500A" w:rsidP="001F500A">
      <w:pPr>
        <w:pStyle w:val="a3"/>
        <w:contextualSpacing w:val="0"/>
        <w:jc w:val="both"/>
        <w:rPr>
          <w:rFonts w:eastAsia="Calibri" w:cs="Arial"/>
          <w:b/>
          <w:bCs/>
          <w:sz w:val="21"/>
          <w:szCs w:val="21"/>
          <w:lang w:val="ru-RU"/>
        </w:rPr>
        <w:ind w:left="567"/>
        <w:spacing w:before="120" w:after="0" w:line="276" w:lineRule="auto"/>
      </w:pPr>
      <w:r>
        <w:rPr>
          <w:rFonts w:ascii="Cambria" w:hAnsi="Cambria"/>
          <w:sz w:val="22"/>
        </w:rPr>
        <w:t>AVB n'était pas résident fiscal des UAE. Le certificat de résidence fiscale des UAE a été obtenu pour présentation à la banque, cependant par erreur a été commandé un certificat non pas pour usage interne aux UAE, mais pour usage international.</w:t>
      </w:r>
    </w:p>
    <w:p w14:paraId="0C70EBBB" w14:textId="2ED42158" w:rsidR="009147B2" w:rsidRPr="00563285" w:rsidRDefault="009147B2" w:rsidP="00664BB0">
      <w:pPr>
        <w:pStyle w:val="a3"/>
        <w:contextualSpacing w:val="0"/>
        <w:jc w:val="both"/>
        <w:rPr>
          <w:sz w:val="21"/>
          <w:szCs w:val="21"/>
          <w:u w:val="single"/>
          <w:lang w:val="ru-RU"/>
        </w:rPr>
        <w:ind w:left="0"/>
        <w:spacing w:before="120" w:after="0" w:line="276" w:lineRule="auto"/>
      </w:pPr>
      <w:r>
        <w:rPr>
          <w:rFonts w:ascii="Cambria" w:hAnsi="Cambria"/>
          <w:sz w:val="22"/>
        </w:rPr>
        <w:t>Questions problématiques / à débattre.</w:t>
      </w:r>
    </w:p>
    <w:p w14:paraId="7CCCF712" w14:textId="49D501BD" w:rsidR="009147B2" w:rsidRPr="00563285" w:rsidRDefault="009147B2"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AVB a déposé une déclaration fiscale en Ukraine pour 2015, bien que la défense parte de son déménagement effectif à Monaco en 2015.</w:t>
      </w:r>
    </w:p>
    <w:p w14:paraId="67496F51" w14:textId="77777777" w:rsidR="006F6634" w:rsidRPr="00563285" w:rsidRDefault="006F6634"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Les certificats de résidence fiscale de Monaco pour certaines périodes font défaut, en particulier pour 2016.</w:t>
      </w:r>
    </w:p>
    <w:p w14:paraId="702992BF" w14:textId="77777777" w:rsidR="006F6634" w:rsidRPr="00563285" w:rsidRDefault="006F6634"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Le certificat de résidence fiscale des EAU pour 2016 crée un risque pour la position relative à Monaco en tant que centre des intérêts vitaux.</w:t>
      </w:r>
    </w:p>
    <w:p w14:paraId="4E134D33" w14:textId="1AC0C3F0" w:rsidR="009147B2" w:rsidRPr="00563285" w:rsidRDefault="009147B2" w:rsidP="00653927">
      <w:pPr>
        <w:pStyle w:val="a3"/>
        <w:numPr>
          <w:ilvl w:val="1"/>
          <w:numId w:val="9"/>
        </w:numPr>
        <w:contextualSpacing w:val="0"/>
        <w:jc w:val="both"/>
        <w:rPr>
          <w:sz w:val="21"/>
          <w:szCs w:val="21"/>
          <w:lang w:val="ru-RU"/>
        </w:rPr>
        <w:ind w:left="567" w:hanging="567"/>
        <w:spacing w:before="120" w:after="0" w:line="276" w:lineRule="auto"/>
      </w:pPr>
      <w:r>
        <w:rPr>
          <w:rFonts w:ascii="Cambria" w:hAnsi="Cambria"/>
          <w:sz w:val="22"/>
        </w:rPr>
        <w:t>Les revenus officiels d'AVB en Ukraine sont faibles par rapport au volume des actifs, des réceptions bancaires et de la transaction de vente des actions.</w:t>
      </w:r>
    </w:p>
    <w:p w14:paraId="2146BC6E" w14:textId="77777777" w:rsidR="009147B2" w:rsidRPr="00563285" w:rsidRDefault="009147B2"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38E90F2D" w14:textId="1DB2FC96" w:rsidR="003837FA" w:rsidRPr="00563285" w:rsidRDefault="009147B2"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Sociétés étrangères et structures corporatives »</w:t>
      </w:r>
    </w:p>
    <w:p w14:paraId="1FB3BD61" w14:textId="7BA7EDC8" w:rsidR="003837FA" w:rsidRPr="00563285" w:rsidRDefault="003837FA" w:rsidP="005121D0">
      <w:pPr>
        <w:pStyle w:val="a3"/>
        <w:contextualSpacing w:val="0"/>
        <w:jc w:val="both"/>
        <w:rPr>
          <w:sz w:val="21"/>
          <w:szCs w:val="21"/>
          <w:u w:val="single"/>
          <w:lang w:val="ru-RU"/>
        </w:rPr>
        <w:ind w:left="0"/>
        <w:spacing w:before="120" w:after="0" w:line="276" w:lineRule="auto"/>
      </w:pPr>
      <w:r>
        <w:rPr>
          <w:rFonts w:ascii="Cambria" w:hAnsi="Cambria"/>
          <w:sz w:val="22"/>
        </w:rPr>
        <w:t>Position de la défense.</w:t>
      </w:r>
    </w:p>
    <w:p w14:paraId="1D603852" w14:textId="77777777" w:rsidR="003837FA" w:rsidRPr="00563285" w:rsidRDefault="003837FA" w:rsidP="005121D0">
      <w:pPr>
        <w:jc w:val="both"/>
        <w:rPr>
          <w:sz w:val="21"/>
          <w:szCs w:val="21"/>
          <w:lang w:val="ru-RU"/>
        </w:rPr>
        <w:spacing w:before="120" w:after="0" w:line="276" w:lineRule="auto"/>
      </w:pPr>
      <w:r>
        <w:rPr>
          <w:rFonts w:ascii="Cambria" w:hAnsi="Cambria"/>
          <w:sz w:val="22"/>
        </w:rPr>
        <w:t>AVB ne conteste pas le lien avec la plupart des sociétés étrangères mentionnées dans les pièces.</w:t>
      </w:r>
    </w:p>
    <w:p w14:paraId="4D16F2C2" w14:textId="046BDE90" w:rsidR="005121D0" w:rsidRPr="00563285" w:rsidRDefault="005121D0" w:rsidP="005121D0">
      <w:pPr>
        <w:jc w:val="both"/>
        <w:rPr>
          <w:sz w:val="21"/>
          <w:szCs w:val="21"/>
          <w:lang w:val="ru-RU"/>
        </w:rPr>
        <w:spacing w:before="120" w:after="0" w:line="276" w:lineRule="auto"/>
      </w:pPr>
      <w:r>
        <w:rPr>
          <w:rFonts w:ascii="Cambria" w:hAnsi="Cambria"/>
          <w:sz w:val="22"/>
        </w:rPr>
        <w:t>Il était le bénéficiaire effectif final :</w:t>
      </w:r>
    </w:p>
    <w:p w14:paraId="76379EED" w14:textId="6C918205" w:rsidR="005121D0" w:rsidRPr="00563285" w:rsidRDefault="005121D0" w:rsidP="00653927">
      <w:pPr>
        <w:pStyle w:val="a3"/>
        <w:numPr>
          <w:ilvl w:val="0"/>
          <w:numId w:val="31"/>
        </w:numPr>
        <w:contextualSpacing w:val="0"/>
        <w:jc w:val="both"/>
        <w:rPr>
          <w:sz w:val="21"/>
          <w:szCs w:val="21"/>
          <w:lang w:val="ru-RU"/>
        </w:rPr>
        <w:ind w:left="567" w:hanging="425"/>
        <w:spacing w:before="120" w:after="0" w:line="276" w:lineRule="auto"/>
      </w:pPr>
      <w:r>
        <w:rPr>
          <w:rFonts w:ascii="Cambria" w:hAnsi="Cambria"/>
          <w:sz w:val="22"/>
        </w:rPr>
        <w:t>des sociétés venderesses dans la transaction : Calloway Finance Limited, Katran Limited, Stamio Investment Limited, Longwizard Corp., Taladin Limited, Laterson Management Group Ltd.,</w:t>
      </w:r>
    </w:p>
    <w:p w14:paraId="50D18EA7" w14:textId="3CBB3D9E" w:rsidR="005121D0" w:rsidRPr="00563285" w:rsidRDefault="005121D0" w:rsidP="00653927">
      <w:pPr>
        <w:pStyle w:val="a3"/>
        <w:numPr>
          <w:ilvl w:val="0"/>
          <w:numId w:val="31"/>
        </w:numPr>
        <w:contextualSpacing w:val="0"/>
        <w:jc w:val="both"/>
        <w:rPr>
          <w:sz w:val="21"/>
          <w:szCs w:val="21"/>
          <w:lang w:val="ru-RU"/>
        </w:rPr>
        <w:ind w:left="567" w:hanging="425"/>
        <w:spacing w:before="120" w:after="0" w:line="276" w:lineRule="auto"/>
      </w:pPr>
      <w:r>
        <w:rPr>
          <w:rFonts w:ascii="Cambria" w:hAnsi="Cambria"/>
          <w:sz w:val="22"/>
        </w:rPr>
        <w:t>des sociétés cibles : Business House Helena A.G., Enfields Trade and Capital Corporation, Waldo Trade Ltd, Croftdale Investment Limited et Montagne Ltd.</w:t>
      </w:r>
    </w:p>
    <w:p w14:paraId="6D2C828D" w14:textId="77777777" w:rsidR="005121D0" w:rsidRPr="00563285" w:rsidRDefault="005121D0" w:rsidP="005121D0">
      <w:pPr>
        <w:jc w:val="both"/>
        <w:rPr>
          <w:sz w:val="21"/>
          <w:szCs w:val="21"/>
          <w:lang w:val="ru-RU"/>
        </w:rPr>
        <w:spacing w:before="120" w:after="0" w:line="276" w:lineRule="auto"/>
      </w:pPr>
      <w:r>
        <w:rPr>
          <w:rFonts w:ascii="Cambria" w:hAnsi="Cambria"/>
          <w:sz w:val="22"/>
        </w:rPr>
        <w:t>AVB ne conteste pas que les sociétés venderesses aient été créées peu de temps avant et dans le seul but de la conclusion de la transaction.</w:t>
      </w:r>
    </w:p>
    <w:p w14:paraId="645BA7E0" w14:textId="5F995488" w:rsidR="005121D0" w:rsidRPr="00563285" w:rsidRDefault="005121D0" w:rsidP="005121D0">
      <w:pPr>
        <w:jc w:val="both"/>
        <w:rPr>
          <w:sz w:val="21"/>
          <w:szCs w:val="21"/>
          <w:lang w:val="ru-RU"/>
        </w:rPr>
        <w:spacing w:before="120" w:after="0" w:line="276" w:lineRule="auto"/>
      </w:pPr>
      <w:r>
        <w:rPr>
          <w:rFonts w:ascii="Cambria" w:hAnsi="Cambria"/>
          <w:sz w:val="22"/>
        </w:rPr>
        <w:t>C'était le souhait de l'acheteur et le conseil de ses consultants - la transaction devait être régie par le droit anglais avec le lieu de règlement des litiges à la LCIA (Cour d'arbitrage international de Londres).</w:t>
      </w:r>
    </w:p>
    <w:p w14:paraId="4C9090A9" w14:textId="6BB26D5D" w:rsidR="005121D0" w:rsidRPr="00563285" w:rsidRDefault="005121D0" w:rsidP="005121D0">
      <w:pPr>
        <w:jc w:val="both"/>
        <w:rPr>
          <w:sz w:val="21"/>
          <w:szCs w:val="21"/>
          <w:lang w:val="ru-RU"/>
        </w:rPr>
        <w:spacing w:before="120" w:after="0" w:line="276" w:lineRule="auto"/>
      </w:pPr>
      <w:r>
        <w:rPr>
          <w:rFonts w:ascii="Cambria" w:hAnsi="Cambria"/>
          <w:sz w:val="22"/>
        </w:rPr>
        <w:t>Cela signifiait à son tour que les parties à la transaction – tout comme son objet – devaient être enregistrées dans des pays de common law aux fins du règlement éventuel des litiges potentiels au titre de la transaction conformément au droit anglais et aux procédures de la LCIA, ainsi que de l'exécution ultérieure des décisions judiciaires.</w:t>
      </w:r>
    </w:p>
    <w:p w14:paraId="03872D42" w14:textId="716BB877" w:rsidR="005121D0" w:rsidRPr="00563285" w:rsidRDefault="005121D0" w:rsidP="005121D0">
      <w:pPr>
        <w:jc w:val="both"/>
        <w:rPr>
          <w:sz w:val="21"/>
          <w:szCs w:val="21"/>
          <w:lang w:val="ru-RU"/>
        </w:rPr>
        <w:spacing w:before="120" w:after="0" w:line="276" w:lineRule="auto"/>
      </w:pPr>
      <w:r>
        <w:rPr>
          <w:rFonts w:ascii="Cambria" w:hAnsi="Cambria"/>
          <w:sz w:val="22"/>
        </w:rPr>
        <w:t>C'était une pratique normale pour ce genre de transactions en Ukraine. Les cabinets d'avocats desservant de telles transactions tentaient par tous les moyens d'exclure les possibilités d'extension de la juridiction ukrainienne aux litiges potentiels entre les parties pour plusieurs raisons :</w:t>
      </w:r>
    </w:p>
    <w:p w14:paraId="73DFEAE8" w14:textId="5A8ACD61" w:rsidR="005121D0" w:rsidRPr="00563285" w:rsidRDefault="005121D0" w:rsidP="00653927">
      <w:pPr>
        <w:pStyle w:val="a3"/>
        <w:numPr>
          <w:ilvl w:val="0"/>
          <w:numId w:val="30"/>
        </w:numPr>
        <w:contextualSpacing w:val="0"/>
        <w:jc w:val="both"/>
        <w:rPr>
          <w:sz w:val="21"/>
          <w:szCs w:val="21"/>
          <w:lang w:val="ru-RU"/>
        </w:rPr>
        <w:ind w:left="567" w:hanging="425"/>
        <w:spacing w:before="120" w:after="0" w:line="276" w:lineRule="auto"/>
      </w:pPr>
      <w:r>
        <w:rPr>
          <w:rFonts w:ascii="Cambria" w:hAnsi="Cambria"/>
          <w:sz w:val="22"/>
        </w:rPr>
        <w:t>la corruption du système judiciaire de l'Ukraine ;</w:t>
      </w:r>
    </w:p>
    <w:p w14:paraId="7043AD61" w14:textId="0B8C7476" w:rsidR="005121D0" w:rsidRPr="00563285" w:rsidRDefault="005121D0" w:rsidP="00653927">
      <w:pPr>
        <w:pStyle w:val="a3"/>
        <w:numPr>
          <w:ilvl w:val="0"/>
          <w:numId w:val="30"/>
        </w:numPr>
        <w:contextualSpacing w:val="0"/>
        <w:jc w:val="both"/>
        <w:rPr>
          <w:sz w:val="21"/>
          <w:szCs w:val="21"/>
          <w:lang w:val="ru-RU"/>
        </w:rPr>
        <w:ind w:left="567" w:hanging="425"/>
        <w:spacing w:before="120" w:after="0" w:line="276" w:lineRule="auto"/>
      </w:pPr>
      <w:r>
        <w:rPr>
          <w:rFonts w:ascii="Cambria" w:hAnsi="Cambria"/>
          <w:sz w:val="22"/>
        </w:rPr>
        <w:t>la volatilité politique dans le pays et dans la région ;</w:t>
      </w:r>
    </w:p>
    <w:p w14:paraId="38F45EF0" w14:textId="15E9926D" w:rsidR="005121D0" w:rsidRPr="00563285" w:rsidRDefault="005121D0" w:rsidP="00653927">
      <w:pPr>
        <w:pStyle w:val="a3"/>
        <w:numPr>
          <w:ilvl w:val="0"/>
          <w:numId w:val="30"/>
        </w:numPr>
        <w:contextualSpacing w:val="0"/>
        <w:jc w:val="both"/>
        <w:rPr>
          <w:sz w:val="21"/>
          <w:szCs w:val="21"/>
          <w:lang w:val="ru-RU"/>
        </w:rPr>
        <w:ind w:left="567" w:hanging="425"/>
        <w:spacing w:before="120" w:after="0" w:line="276" w:lineRule="auto"/>
      </w:pPr>
      <w:r>
        <w:rPr>
          <w:rFonts w:ascii="Cambria" w:hAnsi="Cambria"/>
          <w:sz w:val="22"/>
        </w:rPr>
        <w:t>l'Ukraine est un pays de civil law, dans lesquels la liberté contractuelle et son interprétation sont considérablement limitées par les normes de la législation par rapport aux pays de common law.</w:t>
      </w:r>
    </w:p>
    <w:p w14:paraId="7F93934C" w14:textId="2535ED35" w:rsidR="005121D0" w:rsidRPr="00563285" w:rsidRDefault="005121D0" w:rsidP="005121D0">
      <w:pPr>
        <w:jc w:val="both"/>
        <w:rPr>
          <w:sz w:val="21"/>
          <w:szCs w:val="21"/>
          <w:lang w:val="ru-RU"/>
        </w:rPr>
        <w:spacing w:before="120" w:after="0" w:line="276" w:lineRule="auto"/>
      </w:pPr>
      <w:r>
        <w:rPr>
          <w:rFonts w:ascii="Cambria" w:hAnsi="Cambria"/>
          <w:sz w:val="22"/>
        </w:rPr>
        <w:t>AVB ne conteste pas non plus son lien avec d'autres sociétés étrangères non impliquées dans la transaction, mais qui ont été utilisées par lui pour mener une activité d'agence : Fraser Corporation, Geoford LLP, Aldon Business Inc., Duncan Promotions Ltd., Anicic Holdings Ltd., Tabernus Corp.</w:t>
      </w:r>
    </w:p>
    <w:p w14:paraId="6DAABF65" w14:textId="13DDF532" w:rsidR="005121D0" w:rsidRPr="00563285" w:rsidRDefault="005121D0" w:rsidP="005121D0">
      <w:pPr>
        <w:jc w:val="both"/>
        <w:rPr>
          <w:sz w:val="21"/>
          <w:szCs w:val="21"/>
          <w:lang w:val="ru-RU"/>
        </w:rPr>
        <w:spacing w:before="120" w:after="0" w:line="276" w:lineRule="auto"/>
      </w:pPr>
      <w:r>
        <w:rPr>
          <w:rFonts w:ascii="Cambria" w:hAnsi="Cambria"/>
          <w:sz w:val="22"/>
        </w:rPr>
        <w:t>Leur activité économique, y compris pour la vente de services d'agence directement à MS et ME, était tout à fait normale et légale.</w:t>
      </w:r>
    </w:p>
    <w:p w14:paraId="6E3E7B5D" w14:textId="10224A6E" w:rsidR="00032ED6" w:rsidRPr="00563285" w:rsidRDefault="00032ED6" w:rsidP="00166571">
      <w:pPr>
        <w:pStyle w:val="a3"/>
        <w:contextualSpacing w:val="0"/>
        <w:jc w:val="both"/>
        <w:rPr>
          <w:sz w:val="21"/>
          <w:szCs w:val="21"/>
          <w:u w:val="single"/>
          <w:lang w:val="ru-RU"/>
        </w:rPr>
        <w:ind w:left="0"/>
        <w:spacing w:before="120" w:after="0" w:line="276" w:lineRule="auto"/>
      </w:pPr>
      <w:r>
        <w:rPr>
          <w:rFonts w:ascii="Cambria" w:hAnsi="Cambria"/>
          <w:sz w:val="22"/>
        </w:rPr>
        <w:t>Questions problématiques / à débattre.</w:t>
      </w:r>
    </w:p>
    <w:p w14:paraId="6E0F93BF" w14:textId="1248CD0E" w:rsidR="00032ED6" w:rsidRPr="00563285" w:rsidRDefault="00032ED6" w:rsidP="00653927">
      <w:pPr>
        <w:pStyle w:val="a3"/>
        <w:numPr>
          <w:ilvl w:val="0"/>
          <w:numId w:val="11"/>
        </w:numPr>
        <w:contextualSpacing w:val="0"/>
        <w:jc w:val="both"/>
        <w:rPr>
          <w:sz w:val="21"/>
          <w:szCs w:val="21"/>
          <w:lang w:val="ru-RU"/>
        </w:rPr>
        <w:ind w:left="567" w:hanging="567"/>
        <w:spacing w:before="120" w:after="0" w:line="276" w:lineRule="auto"/>
      </w:pPr>
      <w:r>
        <w:rPr>
          <w:rFonts w:ascii="Cambria" w:hAnsi="Cambria"/>
          <w:sz w:val="22"/>
        </w:rPr>
        <w:t>Il faut expliquer quand et comment AVB a obtenu le contrôle sur certaines sociétés.</w:t>
      </w:r>
    </w:p>
    <w:p w14:paraId="46A1A6D6" w14:textId="1F2B803C" w:rsidR="003837FA" w:rsidRPr="00563285" w:rsidRDefault="00032ED6" w:rsidP="00653927">
      <w:pPr>
        <w:pStyle w:val="a3"/>
        <w:numPr>
          <w:ilvl w:val="0"/>
          <w:numId w:val="11"/>
        </w:numPr>
        <w:contextualSpacing w:val="0"/>
        <w:jc w:val="both"/>
        <w:rPr>
          <w:sz w:val="21"/>
          <w:szCs w:val="21"/>
          <w:lang w:val="ru-RU"/>
        </w:rPr>
        <w:ind w:left="567" w:hanging="567"/>
        <w:spacing w:before="120" w:after="0" w:line="276" w:lineRule="auto"/>
      </w:pPr>
      <w:r>
        <w:rPr>
          <w:rFonts w:ascii="Cambria" w:hAnsi="Cambria"/>
          <w:sz w:val="22"/>
        </w:rPr>
        <w:t>Il faut expliquer le mouvement des fonds entre les sociétés étrangères, les comptes personnels d'AVB et les structures par l'intermédiaire desquelles les actifs ont été acquis.</w:t>
      </w:r>
    </w:p>
    <w:p w14:paraId="6F28BAED" w14:textId="77777777" w:rsidR="00032ED6" w:rsidRPr="00563285" w:rsidRDefault="00032ED6"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636054AF" w14:textId="30D6060D" w:rsidR="000232D7" w:rsidRPr="00563285" w:rsidRDefault="000232D7"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Immobilier et autres actifs en France et à Monaco »</w:t>
      </w:r>
    </w:p>
    <w:p w14:paraId="019D9AA4" w14:textId="77777777" w:rsidR="000232D7" w:rsidRPr="00563285" w:rsidRDefault="000232D7" w:rsidP="009128D5">
      <w:pPr>
        <w:pStyle w:val="a3"/>
        <w:contextualSpacing w:val="0"/>
        <w:jc w:val="both"/>
        <w:rPr>
          <w:b/>
          <w:bCs/>
          <w:sz w:val="21"/>
          <w:szCs w:val="21"/>
          <w:lang w:val="ru-RU"/>
        </w:rPr>
        <w:ind w:left="0"/>
        <w:spacing w:before="120" w:after="0" w:line="276" w:lineRule="auto"/>
      </w:pPr>
      <w:r>
        <w:rPr>
          <w:rFonts w:ascii="Cambria" w:hAnsi="Cambria"/>
          <w:sz w:val="22"/>
        </w:rPr>
        <w:t>Position de la défense.</w:t>
      </w:r>
    </w:p>
    <w:p w14:paraId="1642299F" w14:textId="77777777" w:rsidR="000232D7" w:rsidRPr="00563285" w:rsidRDefault="000232D7" w:rsidP="009128D5">
      <w:pPr>
        <w:jc w:val="both"/>
        <w:rPr>
          <w:sz w:val="21"/>
          <w:szCs w:val="21"/>
          <w:lang w:val="ru-RU"/>
        </w:rPr>
        <w:spacing w:before="120" w:after="0" w:line="276" w:lineRule="auto"/>
      </w:pPr>
      <w:r>
        <w:rPr/>
        <w:t>L'acquisition de biens immobiliers en France et à Monaco a des sources concrètes de financement. Ces sources doivent être appréciées séparément pour chaque bien.</w:t>
      </w:r>
    </w:p>
    <w:p w14:paraId="2108308B" w14:textId="6E0D2466" w:rsidR="00166571" w:rsidRPr="00563285" w:rsidRDefault="000232D7" w:rsidP="009128D5">
      <w:pPr>
        <w:jc w:val="both"/>
        <w:rPr>
          <w:sz w:val="21"/>
          <w:szCs w:val="21"/>
          <w:lang w:val="ru-RU"/>
        </w:rPr>
        <w:spacing w:before="120" w:after="0" w:line="276" w:lineRule="auto"/>
      </w:pPr>
      <w:r>
        <w:rPr>
          <w:rFonts w:ascii="Cambria" w:hAnsi="Cambria"/>
          <w:sz w:val="22"/>
        </w:rPr>
        <w:t>Avant 2015, les acquisitions par AVB – par l'intermédiaire des SCI françaises sous son contrôle – étaient effectuées au moyen de fonds d'emprunt – en particulier, de prêts accordés par</w:t>
      </w:r>
    </w:p>
    <w:p w14:paraId="13AF4790" w14:textId="77777777" w:rsidR="00166571" w:rsidRPr="00563285" w:rsidRDefault="00166571" w:rsidP="00653927">
      <w:pPr>
        <w:pStyle w:val="a3"/>
        <w:numPr>
          <w:ilvl w:val="0"/>
          <w:numId w:val="32"/>
        </w:numPr>
        <w:contextualSpacing w:val="0"/>
        <w:jc w:val="both"/>
        <w:rPr>
          <w:sz w:val="21"/>
          <w:szCs w:val="21"/>
          <w:lang w:val="ru-RU"/>
        </w:rPr>
        <w:ind w:left="567" w:hanging="425"/>
        <w:spacing w:before="120" w:after="0" w:line="276" w:lineRule="auto"/>
      </w:pPr>
      <w:r>
        <w:rPr>
          <w:rFonts w:ascii="Cambria" w:hAnsi="Cambria"/>
          <w:sz w:val="22"/>
        </w:rPr>
        <w:t xml:space="preserve">CMB Bank – 1,32 million d'euros, </w:t>
      </w:r>
    </w:p>
    <w:p w14:paraId="1E57E751" w14:textId="77777777" w:rsidR="00166571" w:rsidRPr="00563285" w:rsidRDefault="00166571" w:rsidP="00653927">
      <w:pPr>
        <w:pStyle w:val="a3"/>
        <w:numPr>
          <w:ilvl w:val="0"/>
          <w:numId w:val="32"/>
        </w:numPr>
        <w:contextualSpacing w:val="0"/>
        <w:jc w:val="both"/>
        <w:rPr>
          <w:sz w:val="21"/>
          <w:szCs w:val="21"/>
          <w:lang w:val="ru-RU"/>
        </w:rPr>
        <w:ind w:left="567" w:hanging="425"/>
        <w:spacing w:before="120" w:after="0" w:line="276" w:lineRule="auto"/>
      </w:pPr>
      <w:r>
        <w:rPr>
          <w:rFonts w:ascii="Cambria" w:hAnsi="Cambria"/>
          <w:sz w:val="22"/>
        </w:rPr>
        <w:t xml:space="preserve">Fraser Corporation – 1,62 million d'euros, qui les a reçus, à son tour, de son activité entrepreneuriale ordinaire courante, </w:t>
      </w:r>
    </w:p>
    <w:p w14:paraId="2F2ED850" w14:textId="09B474FE" w:rsidR="00166571" w:rsidRPr="00563285" w:rsidRDefault="00166571" w:rsidP="00653927">
      <w:pPr>
        <w:pStyle w:val="a3"/>
        <w:numPr>
          <w:ilvl w:val="0"/>
          <w:numId w:val="32"/>
        </w:numPr>
        <w:contextualSpacing w:val="0"/>
        <w:jc w:val="both"/>
        <w:rPr>
          <w:sz w:val="21"/>
          <w:szCs w:val="21"/>
          <w:lang w:val="ru-RU"/>
        </w:rPr>
        <w:ind w:left="567" w:hanging="425"/>
        <w:spacing w:before="120" w:after="0" w:line="276" w:lineRule="auto"/>
      </w:pPr>
      <w:r>
        <w:rPr>
          <w:rFonts w:ascii="Cambria" w:hAnsi="Cambria"/>
          <w:sz w:val="22"/>
        </w:rPr>
        <w:t>d'autres sociétés sous son contrôle – environ 3 millions d'euros, qui ont également reçu ces fonds de leur activité entrepreneuriale ordinaire.</w:t>
      </w:r>
    </w:p>
    <w:p w14:paraId="4EBB84E4" w14:textId="4BC60B4F" w:rsidR="000232D7" w:rsidRPr="00563285" w:rsidRDefault="000232D7" w:rsidP="009128D5">
      <w:pPr>
        <w:jc w:val="both"/>
        <w:rPr>
          <w:sz w:val="21"/>
          <w:szCs w:val="21"/>
          <w:lang w:val="ru-RU"/>
        </w:rPr>
        <w:spacing w:before="120" w:after="0" w:line="276" w:lineRule="auto"/>
      </w:pPr>
      <w:r>
        <w:rPr>
          <w:rFonts w:ascii="Cambria" w:hAnsi="Cambria"/>
          <w:sz w:val="22"/>
        </w:rPr>
        <w:t>Après 2015, l'acquisition d'actifs est liée aux réceptions issues de la vente des actions de MS.</w:t>
      </w:r>
    </w:p>
    <w:p w14:paraId="70D35D6E" w14:textId="207ABD04" w:rsidR="00166571" w:rsidRPr="00563285" w:rsidRDefault="00166571" w:rsidP="009128D5">
      <w:pPr>
        <w:jc w:val="both"/>
        <w:rPr>
          <w:sz w:val="21"/>
          <w:szCs w:val="21"/>
          <w:lang w:val="ru-RU"/>
        </w:rPr>
        <w:spacing w:before="120" w:after="0" w:line="276" w:lineRule="auto"/>
      </w:pPr>
      <w:r>
        <w:rPr>
          <w:rFonts w:ascii="Cambria" w:hAnsi="Cambria"/>
          <w:sz w:val="22"/>
        </w:rPr>
        <w:t>À partir d'avril 2015 – lorsque les premiers 25 millions de dollars ont été reçus par la société Laterson Management Group Ltd en raison de la libération des fonds selon la convention d'entiercement (escrow agreement) du 19 décembre 2014 conclue entre Laterson et Skyrizon Aircraft Holdings Limited – AVB a commencé à investir des fonds dans l'achat de biens immobiliers en France et à Monaco.</w:t>
      </w:r>
    </w:p>
    <w:p w14:paraId="2F9BB79E" w14:textId="224CA143" w:rsidR="00166571" w:rsidRPr="00563285" w:rsidRDefault="00166571" w:rsidP="009128D5">
      <w:pPr>
        <w:jc w:val="both"/>
        <w:rPr>
          <w:sz w:val="21"/>
          <w:szCs w:val="21"/>
          <w:lang w:val="ru-RU"/>
        </w:rPr>
        <w:spacing w:before="120" w:after="0" w:line="276" w:lineRule="auto"/>
      </w:pPr>
      <w:r>
        <w:rPr>
          <w:rFonts w:ascii="Cambria" w:hAnsi="Cambria"/>
          <w:sz w:val="22"/>
        </w:rPr>
        <w:t>Ces investissements ont été réalisés tant directement par la société Laterson que par l'intermédiaire des sociétés nouvellement créées par AB à Monaco – SCI Kozak, SCI Carre D’Or Quadruplex, SCI Monacourch, SCP Monacuiros et SCP Galinette.</w:t>
      </w:r>
    </w:p>
    <w:p w14:paraId="6BE5BFD1"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La Petite Afrique</w:t>
      </w:r>
    </w:p>
    <w:p w14:paraId="268DF0A6" w14:textId="0E374D65" w:rsidR="009128D5" w:rsidRPr="00563285" w:rsidRDefault="009128D5" w:rsidP="009128D5">
      <w:pPr>
        <w:pStyle w:val="a3"/>
        <w:contextualSpacing w:val="0"/>
        <w:jc w:val="both"/>
        <w:rPr>
          <w:sz w:val="21"/>
          <w:szCs w:val="21"/>
          <w:lang w:val="ru-RU"/>
        </w:rPr>
        <w:ind w:left="567"/>
        <w:spacing w:before="120" w:after="0" w:line="276" w:lineRule="auto"/>
      </w:pPr>
      <w:r>
        <w:rPr>
          <w:rFonts w:ascii="Cambria" w:hAnsi="Cambria"/>
          <w:sz w:val="22"/>
        </w:rPr>
        <w:t>Laterson a acquis le 24 juin 2015 le bien La Petite Afrique au moyen des fonds reçus de la vente de 100 % des actions de Granum Corporation selon la convention d'entiercement (escrow agreement) du 19 décembre 2014 et le contrat de vente d'actions du 22 février 2016.</w:t>
      </w:r>
    </w:p>
    <w:p w14:paraId="65897C75" w14:textId="6439FA24"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18 décembre 2020 a été prise la décision de liquidation de Laterson avec transfert de tous les actifs à l'actionnaire unique - AVB. Le 23 février 2021 a été signé l'acte notarié de transfert du droit de propriété sur La Petite Afrique au profit d'AVB en tant que personne physique.</w:t>
      </w:r>
    </w:p>
    <w:p w14:paraId="0C181CE0"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Le Clair Logis</w:t>
      </w:r>
    </w:p>
    <w:p w14:paraId="4996FEBE" w14:textId="0807496F"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SCI Kozak a acquis le 27 mars 2017 le bien Le Clair Logis pour 10,65 millions d'euros. L'achat a été financé par UBP Bank et garanti par les fonds sur les comptes personnels d'AVB chez UBP Bank.</w:t>
      </w:r>
    </w:p>
    <w:p w14:paraId="1BD0C18A" w14:textId="1A98E12C"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Par la suite, le prêt envers UBP Bank a été remboursé au moyen des fonds sur les comptes personnels d'AVB, après quoi AB a acquis les droits de créance envers SCI Kozak pour le montant correspondant du prêt.</w:t>
      </w:r>
    </w:p>
    <w:p w14:paraId="08B9D3CF"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26 Carré d’Or</w:t>
      </w:r>
    </w:p>
    <w:p w14:paraId="6168943E" w14:textId="4CA0D907"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12 juin 2019, SCI Carré d’Or Quadruplex a signé un contrat pour la construction du bien 26 Carré d’Or à Monaco pour un montant de 135 millions d'euros avec SCI One Princess.</w:t>
      </w:r>
    </w:p>
    <w:p w14:paraId="15B36806" w14:textId="51C864E4"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47 millions d'euros ont été financés par UBP Bank et garantis par les fonds sur les comptes personnels d'AVB chez UBP Bank. Par la suite, le prêt a été remboursé sur les fonds personnels d'AVB, après quoi il a acquis les droits de créance envers SCI Carré d’Or Quadruplex pour le montant correspondant du prêt.</w:t>
      </w:r>
    </w:p>
    <w:p w14:paraId="6FB9FD2D" w14:textId="0FD36D33"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Les 88 millions d'euros restants ont été payés sur les fonds des comptes personnels d'AVB chez UBP Bank.</w:t>
      </w:r>
    </w:p>
    <w:p w14:paraId="38EDC4C3"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Chalet du Petit Vah</w:t>
      </w:r>
    </w:p>
    <w:p w14:paraId="465CC985" w14:textId="6332667F"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SCI Monacourch a acquis le 14 octobre 2019 le bien Chalet du Petit Vah pour 4,25 millions d'euros. L'achat a été effectué sur les fonds des comptes personnels d'AB chez UBP Bank.</w:t>
      </w:r>
    </w:p>
    <w:p w14:paraId="2BDFFCEF"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La Villa Lucia</w:t>
      </w:r>
    </w:p>
    <w:p w14:paraId="5F4A0C88" w14:textId="50AF34F3"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21 décembre 2020 a été signé entre AVB et SCI Lumar un contrat de réservation en lien avec la construction du futur immeuble La Villa Lucia à Monaco et l'acquisition par AVB d'un penthouse sur les quatre derniers étages de l'immeuble, d'un spa privé et d'emplacements de stationnement.</w:t>
      </w:r>
    </w:p>
    <w:p w14:paraId="522DF73E" w14:textId="77777777"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Le montant total du contrat s'élevait à 140 millions d'euros. Cependant, le bien se trouve toujours au stade de la construction, et sur cette somme AB a payé 35 millions d'euros.</w:t>
      </w:r>
    </w:p>
    <w:p w14:paraId="526CAA31" w14:textId="6C8F23B2"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22,5 millions d'euros ont été financés par Julius Baer et garantis par les fonds sur les comptes personnels d'AB chez Julius Baer. Encore 14 millions d'euros ont été payés depuis le compte personnel d'AVB chez Edmond de Rothschild.</w:t>
      </w:r>
    </w:p>
    <w:p w14:paraId="6DFCC1FF"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Domaine de Cuiros</w:t>
      </w:r>
    </w:p>
    <w:p w14:paraId="3A74710F" w14:textId="2A21D4A3"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SCP Monacuiros a acquis le 21 juillet 2021 le bien Domaine de Cuiros pour 22 millions d'euros. L'achat a été financé par UBP Bank et garanti par les fonds sur les comptes personnels d'AB chez UBP Bank.</w:t>
      </w:r>
    </w:p>
    <w:p w14:paraId="5F0B8146" w14:textId="6EE738EB"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Par la suite, le prêt envers UBP Bank a été remboursé sur les fonds personnels d'AB, après quoi AVB a acquis les droits de créance envers SCP Monacuiros pour le montant correspondant du prêt.</w:t>
      </w:r>
    </w:p>
    <w:p w14:paraId="3E96169E" w14:textId="77777777" w:rsidR="009128D5" w:rsidRPr="00563285" w:rsidRDefault="009128D5" w:rsidP="00653927">
      <w:pPr>
        <w:pStyle w:val="a3"/>
        <w:numPr>
          <w:ilvl w:val="0"/>
          <w:numId w:val="34"/>
        </w:numPr>
        <w:contextualSpacing w:val="0"/>
        <w:jc w:val="both"/>
        <w:rPr>
          <w:b/>
          <w:bCs/>
          <w:sz w:val="21"/>
          <w:szCs w:val="21"/>
          <w:lang w:val="ru-RU"/>
        </w:rPr>
        <w:ind w:left="567" w:hanging="567"/>
        <w:spacing w:before="120" w:after="0" w:line="276" w:lineRule="auto"/>
      </w:pPr>
      <w:r>
        <w:rPr>
          <w:rFonts w:ascii="Cambria" w:hAnsi="Cambria"/>
          <w:sz w:val="22"/>
        </w:rPr>
        <w:t>Villa Mitsouko, Serre Paradis, Villa Maria</w:t>
      </w:r>
    </w:p>
    <w:p w14:paraId="4873C445" w14:textId="6B873F58" w:rsidR="009128D5" w:rsidRPr="00563285" w:rsidRDefault="009128D5" w:rsidP="009128D5">
      <w:pPr>
        <w:pStyle w:val="a3"/>
        <w:contextualSpacing w:val="0"/>
        <w:jc w:val="both"/>
        <w:rPr>
          <w:b/>
          <w:bCs/>
          <w:sz w:val="21"/>
          <w:szCs w:val="21"/>
          <w:lang w:val="ru-RU"/>
        </w:rPr>
        <w:ind w:left="567"/>
        <w:spacing w:before="120" w:after="0" w:line="276" w:lineRule="auto"/>
      </w:pPr>
      <w:r>
        <w:rPr>
          <w:rFonts w:ascii="Cambria" w:hAnsi="Cambria"/>
          <w:sz w:val="22"/>
        </w:rPr>
        <w:t>SCP Galinette a acquis :</w:t>
      </w:r>
    </w:p>
    <w:p w14:paraId="1C3D5EC4" w14:textId="3BFDB742" w:rsidR="009128D5" w:rsidRPr="00563285" w:rsidRDefault="009128D5" w:rsidP="00653927">
      <w:pPr>
        <w:numPr>
          <w:ilvl w:val="0"/>
          <w:numId w:val="33"/>
        </w:numPr>
        <w:tabs>
          <w:tab w:val="clear" w:pos="720"/>
          <w:tab w:val="num" w:pos="426"/>
        </w:tabs>
        <w:jc w:val="both"/>
        <w:rPr>
          <w:sz w:val="21"/>
          <w:szCs w:val="21"/>
          <w:lang w:val="ru-RU"/>
        </w:rPr>
        <w:ind w:left="1134" w:hanging="425"/>
        <w:spacing w:before="120" w:after="0" w:line="276" w:lineRule="auto"/>
      </w:pPr>
      <w:r>
        <w:rPr>
          <w:rFonts w:ascii="Cambria" w:hAnsi="Cambria"/>
          <w:sz w:val="22"/>
        </w:rPr>
        <w:t>10 février 2022 - Villa Mitsouko pour 6 millions d'euros ;</w:t>
      </w:r>
    </w:p>
    <w:p w14:paraId="7969348E" w14:textId="46F1AE68" w:rsidR="009128D5" w:rsidRPr="00563285" w:rsidRDefault="009128D5" w:rsidP="00653927">
      <w:pPr>
        <w:numPr>
          <w:ilvl w:val="0"/>
          <w:numId w:val="33"/>
        </w:numPr>
        <w:tabs>
          <w:tab w:val="clear" w:pos="720"/>
          <w:tab w:val="num" w:pos="426"/>
        </w:tabs>
        <w:jc w:val="both"/>
        <w:rPr>
          <w:sz w:val="21"/>
          <w:szCs w:val="21"/>
          <w:lang w:val="ru-RU"/>
        </w:rPr>
        <w:ind w:left="1134" w:hanging="425"/>
        <w:spacing w:before="120" w:after="0" w:line="276" w:lineRule="auto"/>
      </w:pPr>
      <w:r>
        <w:rPr>
          <w:rFonts w:ascii="Cambria" w:hAnsi="Cambria"/>
          <w:sz w:val="22"/>
        </w:rPr>
        <w:t>2 mai 2022 - Serre Paradis pour 2,6 millions d'euros ;</w:t>
      </w:r>
    </w:p>
    <w:p w14:paraId="541223FF" w14:textId="2058945E" w:rsidR="009128D5" w:rsidRPr="00563285" w:rsidRDefault="009128D5" w:rsidP="00653927">
      <w:pPr>
        <w:numPr>
          <w:ilvl w:val="0"/>
          <w:numId w:val="33"/>
        </w:numPr>
        <w:tabs>
          <w:tab w:val="clear" w:pos="720"/>
          <w:tab w:val="num" w:pos="426"/>
        </w:tabs>
        <w:jc w:val="both"/>
        <w:rPr>
          <w:sz w:val="21"/>
          <w:szCs w:val="21"/>
          <w:lang w:val="ru-RU"/>
        </w:rPr>
        <w:ind w:left="1134" w:hanging="425"/>
        <w:spacing w:before="120" w:after="0" w:line="276" w:lineRule="auto"/>
      </w:pPr>
      <w:r>
        <w:rPr>
          <w:rFonts w:ascii="Cambria" w:hAnsi="Cambria"/>
          <w:sz w:val="22"/>
        </w:rPr>
        <w:t>5 mai 2022 - Villa Maria pour 2,95 millions d'euros.</w:t>
      </w:r>
    </w:p>
    <w:p w14:paraId="56FBC394" w14:textId="4CA60796" w:rsidR="009128D5" w:rsidRPr="00563285" w:rsidRDefault="009128D5" w:rsidP="009128D5">
      <w:pPr>
        <w:jc w:val="both"/>
        <w:rPr>
          <w:sz w:val="21"/>
          <w:szCs w:val="21"/>
          <w:lang w:val="ru-RU"/>
        </w:rPr>
        <w:spacing w:before="120" w:after="0" w:line="276" w:lineRule="auto"/>
      </w:pPr>
      <w:r>
        <w:rPr>
          <w:rFonts w:ascii="Cambria" w:hAnsi="Cambria"/>
          <w:sz w:val="22"/>
        </w:rPr>
        <w:t>Tous les achats ont été financés par Julius Baer et garantis par les fonds sur les comptes personnels d'AVB chez Julius Baer.</w:t>
      </w:r>
    </w:p>
    <w:p w14:paraId="5381BB59" w14:textId="187DD73E" w:rsidR="009128D5" w:rsidRPr="00563285" w:rsidRDefault="009128D5" w:rsidP="009128D5">
      <w:pPr>
        <w:jc w:val="both"/>
        <w:rPr>
          <w:sz w:val="21"/>
          <w:szCs w:val="21"/>
          <w:lang w:val="ru-RU"/>
        </w:rPr>
        <w:spacing w:before="120" w:after="0" w:line="276" w:lineRule="auto"/>
      </w:pPr>
      <w:r>
        <w:rPr>
          <w:rFonts w:ascii="Cambria" w:hAnsi="Cambria"/>
          <w:sz w:val="22"/>
        </w:rPr>
        <w:t>Les fonds utilisés pour l'acquisition desdits actifs provenaient de versements assimilés à des dividendes et de prêts reçus par AVB en tant que bénéficiaire effectif final auprès des sociétés venderesses.</w:t>
      </w:r>
    </w:p>
    <w:p w14:paraId="32FD2671" w14:textId="77777777" w:rsidR="009128D5" w:rsidRPr="00563285" w:rsidRDefault="009128D5" w:rsidP="009128D5">
      <w:pPr>
        <w:jc w:val="both"/>
        <w:rPr>
          <w:sz w:val="21"/>
          <w:szCs w:val="21"/>
          <w:lang w:val="ru-RU"/>
        </w:rPr>
        <w:spacing w:before="120" w:after="0" w:line="276" w:lineRule="auto"/>
      </w:pPr>
      <w:r>
        <w:rPr>
          <w:rFonts w:ascii="Cambria" w:hAnsi="Cambria"/>
          <w:sz w:val="22"/>
        </w:rPr>
        <w:t>Ces fonds étaient liés aux transactions d'achat et de vente d'actions de Business House Helena A.G., Enfields Trade and Capital Corporation, Waldo Trade Ltd, Croftdale Investment Limited et Montagne Ltd.</w:t>
      </w:r>
    </w:p>
    <w:p w14:paraId="0EA8E886" w14:textId="6A43ACCB" w:rsidR="009128D5" w:rsidRPr="00563285" w:rsidRDefault="009128D5" w:rsidP="009128D5">
      <w:pPr>
        <w:jc w:val="both"/>
        <w:rPr>
          <w:sz w:val="21"/>
          <w:szCs w:val="21"/>
          <w:lang w:val="ru-RU"/>
        </w:rPr>
        <w:spacing w:before="120" w:after="0" w:line="276" w:lineRule="auto"/>
      </w:pPr>
      <w:r>
        <w:rPr>
          <w:rFonts w:ascii="Cambria" w:hAnsi="Cambria"/>
          <w:sz w:val="22"/>
        </w:rPr>
        <w:t>L'achat des actifs et l'origine des fonds pour chaque transaction sont décrits en détail dans le rapport Accuracy.</w:t>
      </w:r>
    </w:p>
    <w:p w14:paraId="77777E0D" w14:textId="77777777" w:rsidR="000232D7" w:rsidRPr="00563285" w:rsidRDefault="000232D7" w:rsidP="00166571">
      <w:pPr>
        <w:pStyle w:val="a3"/>
        <w:contextualSpacing w:val="0"/>
        <w:jc w:val="both"/>
        <w:rPr>
          <w:sz w:val="21"/>
          <w:szCs w:val="21"/>
          <w:u w:val="single"/>
          <w:lang w:val="ru-RU"/>
        </w:rPr>
        <w:ind w:left="0"/>
        <w:spacing w:before="120" w:after="0" w:line="276" w:lineRule="auto"/>
      </w:pPr>
      <w:r>
        <w:rPr>
          <w:rFonts w:ascii="Cambria" w:hAnsi="Cambria"/>
          <w:sz w:val="22"/>
        </w:rPr>
        <w:t>Questions problématiques / à débattre.</w:t>
      </w:r>
    </w:p>
    <w:p w14:paraId="3E2BAAFD" w14:textId="77777777" w:rsidR="000232D7" w:rsidRPr="00563285" w:rsidRDefault="000232D7" w:rsidP="00653927">
      <w:pPr>
        <w:pStyle w:val="a3"/>
        <w:numPr>
          <w:ilvl w:val="0"/>
          <w:numId w:val="7"/>
        </w:numPr>
        <w:contextualSpacing w:val="0"/>
        <w:jc w:val="both"/>
        <w:rPr>
          <w:sz w:val="21"/>
          <w:szCs w:val="21"/>
          <w:lang w:val="ru-RU"/>
        </w:rPr>
        <w:ind w:left="567" w:hanging="567"/>
        <w:spacing w:before="120" w:after="0" w:line="276" w:lineRule="auto"/>
      </w:pPr>
      <w:r>
        <w:rPr>
          <w:rFonts w:ascii="Cambria" w:hAnsi="Cambria"/>
          <w:sz w:val="22"/>
        </w:rPr>
        <w:t>Concernant les achats de biens immobiliers avant 2015 – l'absence de contrats de prêt entre AVB et les sociétés étrangères qui lui transféraient des fonds.</w:t>
      </w:r>
    </w:p>
    <w:p w14:paraId="6C44DB3D" w14:textId="1BBCBC98" w:rsidR="006F6634" w:rsidRPr="00563285" w:rsidRDefault="000232D7" w:rsidP="00653927">
      <w:pPr>
        <w:pStyle w:val="a3"/>
        <w:numPr>
          <w:ilvl w:val="0"/>
          <w:numId w:val="7"/>
        </w:numPr>
        <w:contextualSpacing w:val="0"/>
        <w:jc w:val="both"/>
        <w:rPr>
          <w:sz w:val="21"/>
          <w:szCs w:val="21"/>
          <w:lang w:val="ru-RU"/>
        </w:rPr>
        <w:ind w:left="567" w:hanging="567"/>
        <w:spacing w:before="120" w:after="0" w:line="276" w:lineRule="auto"/>
      </w:pPr>
      <w:r>
        <w:rPr>
          <w:rFonts w:ascii="Cambria" w:hAnsi="Cambria"/>
          <w:sz w:val="22"/>
        </w:rPr>
        <w:t>Concernant les achats de biens immobiliers après 2015 – toutes les questions problématiques pour chacune des transactions sont décrites dans le rapport Accuracy.</w:t>
      </w:r>
    </w:p>
    <w:p w14:paraId="46A4BE17" w14:textId="77777777" w:rsidR="001A21C9" w:rsidRPr="00563285" w:rsidRDefault="001A21C9"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7FC1C536" w14:textId="34575CED" w:rsidR="00397250" w:rsidRPr="00563285" w:rsidRDefault="00397250" w:rsidP="00653927">
      <w:pPr>
        <w:pStyle w:val="a3"/>
        <w:numPr>
          <w:ilvl w:val="1"/>
          <w:numId w:val="3"/>
        </w:numPr>
        <w:contextualSpacing w:val="0"/>
        <w:jc w:val="both"/>
        <w:rPr>
          <w:b/>
          <w:bCs/>
          <w:sz w:val="21"/>
          <w:szCs w:val="21"/>
          <w:lang w:val="ru-RU"/>
        </w:rPr>
        <w:ind w:left="0" w:hanging="567"/>
        <w:spacing w:before="120" w:after="0" w:line="276" w:lineRule="auto"/>
      </w:pPr>
      <w:r>
        <w:rPr>
          <w:rFonts w:ascii="Cambria" w:hAnsi="Cambria"/>
          <w:sz w:val="22"/>
        </w:rPr>
        <w:t>Volet « Nationalisation de la SA “Motor Sich” et arbitrage »</w:t>
      </w:r>
    </w:p>
    <w:p w14:paraId="2C34BF8E" w14:textId="2E7C9C36" w:rsidR="00397250" w:rsidRPr="00563285" w:rsidRDefault="00397250" w:rsidP="009A11C7">
      <w:pPr>
        <w:jc w:val="both"/>
        <w:rPr>
          <w:sz w:val="21"/>
          <w:szCs w:val="21"/>
          <w:lang w:val="ru-RU"/>
        </w:rPr>
        <w:spacing w:before="120" w:after="0" w:line="276" w:lineRule="auto"/>
      </w:pPr>
      <w:r>
        <w:rPr>
          <w:rFonts w:ascii="Cambria" w:hAnsi="Cambria"/>
          <w:sz w:val="22"/>
        </w:rPr>
        <w:t>La nationalisation de MS et l'arbitrage des actionnaires chinois contre l'Ukraine ne prouvent pas l'origine criminelle des fonds d'AVB.</w:t>
      </w:r>
    </w:p>
    <w:p w14:paraId="6B904F1C" w14:textId="4724CFAC" w:rsidR="00397250" w:rsidRPr="00563285" w:rsidRDefault="00397250" w:rsidP="009A11C7">
      <w:pPr>
        <w:jc w:val="both"/>
        <w:rPr>
          <w:sz w:val="21"/>
          <w:szCs w:val="21"/>
          <w:lang w:val="ru-RU"/>
        </w:rPr>
        <w:spacing w:before="120" w:after="0" w:line="276" w:lineRule="auto"/>
      </w:pPr>
      <w:r>
        <w:rPr>
          <w:rFonts w:ascii="Cambria" w:hAnsi="Cambria"/>
          <w:sz w:val="22"/>
        </w:rPr>
        <w:t>Ces circonstances confirment l'existence d'un conflit politico-économique autonome autour du contrôle sur l'entreprise stratégique.</w:t>
      </w:r>
    </w:p>
    <w:p w14:paraId="4242E496" w14:textId="77777777" w:rsidR="00BA70CF" w:rsidRPr="00563285" w:rsidRDefault="00397250" w:rsidP="009A11C7">
      <w:pPr>
        <w:pStyle w:val="a3"/>
        <w:contextualSpacing w:val="0"/>
        <w:jc w:val="both"/>
        <w:rPr>
          <w:sz w:val="21"/>
          <w:szCs w:val="21"/>
          <w:lang w:val="ru-RU"/>
        </w:rPr>
        <w:ind w:left="0"/>
        <w:spacing w:before="120" w:after="0" w:line="276" w:lineRule="auto"/>
      </w:pPr>
      <w:r>
        <w:rPr>
          <w:rFonts w:ascii="Cambria" w:hAnsi="Cambria"/>
          <w:sz w:val="22"/>
        </w:rPr>
        <w:t>Il est particulièrement important que les pièces des procédures française et monégasque aient été demandées par l'Ukraine pour la préparation de la position de l'État dans l'arbitrage avec les actionnaires chinois.</w:t>
      </w:r>
    </w:p>
    <w:p w14:paraId="042567A0" w14:textId="4EAC4794" w:rsidR="00397250" w:rsidRPr="00563285" w:rsidRDefault="00397250" w:rsidP="009A11C7">
      <w:pPr>
        <w:pStyle w:val="a3"/>
        <w:contextualSpacing w:val="0"/>
        <w:jc w:val="both"/>
        <w:rPr>
          <w:sz w:val="21"/>
          <w:szCs w:val="21"/>
          <w:lang w:val="ru-RU"/>
        </w:rPr>
        <w:ind w:left="0"/>
        <w:spacing w:before="120" w:after="0" w:line="276" w:lineRule="auto"/>
      </w:pPr>
      <w:r>
        <w:rPr/>
        <w:t>Cela confirme la présence chez l'Ukraine d'un intérêt patrimonial et stratégique propre dans les pièces du dossier.</w:t>
      </w:r>
    </w:p>
    <w:p w14:paraId="5303569C" w14:textId="77777777" w:rsidR="001366FA" w:rsidRPr="00563285" w:rsidRDefault="001366FA" w:rsidP="009A11C7">
      <w:pPr>
        <w:pStyle w:val="a3"/>
        <w:contextualSpacing w:val="0"/>
        <w:jc w:val="both"/>
        <w:rPr>
          <w:b/>
          <w:bCs/>
          <w:sz w:val="21"/>
          <w:szCs w:val="21"/>
          <w:lang w:val="ru-RU"/>
        </w:rPr>
        <w:ind w:left="0"/>
        <w:spacing w:before="120" w:after="0" w:line="276" w:lineRule="auto"/>
      </w:pPr>
      <w:r>
        <w:rPr>
          <w:rFonts w:ascii="Cambria" w:hAnsi="Cambria" w:cs="Cambria"/>
          <w:sz w:val="22"/>
        </w:rPr>
      </w:r>
    </w:p>
    <w:p w14:paraId="24BA4CE2" w14:textId="1E49CFE1" w:rsidR="00576355" w:rsidRPr="00563285" w:rsidRDefault="00576355" w:rsidP="001366FA">
      <w:pPr>
        <w:pStyle w:val="a3"/>
        <w:jc w:val="both"/>
        <w:rPr>
          <w:b/>
          <w:bCs/>
          <w:sz w:val="21"/>
          <w:szCs w:val="21"/>
          <w:lang w:val="ru-RU"/>
        </w:rPr>
        <w:ind w:left="0"/>
        <w:spacing w:before="120" w:after="0" w:line="276" w:lineRule="auto"/>
      </w:pPr>
      <w:r>
        <w:rPr>
          <w:rFonts w:ascii="Cambria" w:hAnsi="Cambria" w:cs="Cambria"/>
          <w:sz w:val="22"/>
        </w:rPr>
      </w:r>
    </w:p>
    <w:sectPr w:rsidR="00576355" w:rsidRPr="00563285" w:rsidSect="000232D7">
      <w:footerReference w:type="default" r:id="rId8"/>
      <w:headerReference w:type="default" r:id="rId11"/>
      <w:pgSz w:w="11906" w:h="16838"/>
      <w:pgMar w:top="1134" w:right="1134" w:bottom="1134" w:left="212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A652F" w14:textId="77777777" w:rsidR="002C10E4" w:rsidRDefault="002C10E4" w:rsidP="00804C9F">
      <w:pPr>
        <w:spacing w:before="0"/>
      </w:pPr>
      <w:r>
        <w:separator/>
      </w:r>
    </w:p>
  </w:endnote>
  <w:endnote w:type="continuationSeparator" w:id="0">
    <w:p w14:paraId="5F0379C5" w14:textId="77777777" w:rsidR="002C10E4" w:rsidRDefault="002C10E4" w:rsidP="00804C9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7581245"/>
      <w:docPartObj>
        <w:docPartGallery w:val="Page Numbers (Bottom of Page)"/>
        <w:docPartUnique/>
      </w:docPartObj>
    </w:sdtPr>
    <w:sdtEndPr/>
    <w:sdtContent>
      <w:p w14:paraId="1E93A75F" w14:textId="2DD83CE0" w:rsidR="00804C9F" w:rsidRDefault="00804C9F">
        <w:pPr>
          <w:pStyle w:val="a7"/>
          <w:jc w:val="right"/>
        </w:pPr>
        <w:r>
          <w:fldChar w:fldCharType="begin"/>
        </w:r>
        <w:r>
          <w:instrText>PAGE   \* MERGEFORMAT</w:instrText>
        </w:r>
        <w:r>
          <w:fldChar w:fldCharType="separate"/>
        </w:r>
        <w:r>
          <w:t>2</w:t>
        </w:r>
        <w:r>
          <w:fldChar w:fldCharType="end"/>
        </w:r>
      </w:p>
    </w:sdtContent>
  </w:sdt>
  <w:p w14:paraId="081F6F64" w14:textId="77777777" w:rsidR="00804C9F" w:rsidRDefault="00804C9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9D507" w14:textId="77777777" w:rsidR="002C10E4" w:rsidRDefault="002C10E4" w:rsidP="00804C9F">
      <w:pPr>
        <w:spacing w:before="0"/>
      </w:pPr>
      <w:r>
        <w:separator/>
      </w:r>
    </w:p>
  </w:footnote>
  <w:footnote w:type="continuationSeparator" w:id="0">
    <w:p w14:paraId="0027694E" w14:textId="77777777" w:rsidR="002C10E4" w:rsidRDefault="002C10E4" w:rsidP="00804C9F">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2CE0"/>
    <w:multiLevelType w:val="hybridMultilevel"/>
    <w:tmpl w:val="A0E286F2"/>
    <w:lvl w:ilvl="0" w:tplc="1F8C897E">
      <w:start w:val="1"/>
      <w:numFmt w:val="decimal"/>
      <w:lvlText w:val="(%1)"/>
      <w:lvlJc w:val="left"/>
      <w:pPr>
        <w:ind w:left="144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 w15:restartNumberingAfterBreak="0">
    <w:nsid w:val="03E0619C"/>
    <w:multiLevelType w:val="hybridMultilevel"/>
    <w:tmpl w:val="2528E7F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6870B65"/>
    <w:multiLevelType w:val="hybridMultilevel"/>
    <w:tmpl w:val="6E2E57B0"/>
    <w:lvl w:ilvl="0" w:tplc="397C95B2">
      <w:start w:val="1"/>
      <w:numFmt w:val="lowerLetter"/>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3" w15:restartNumberingAfterBreak="0">
    <w:nsid w:val="09594D92"/>
    <w:multiLevelType w:val="hybridMultilevel"/>
    <w:tmpl w:val="1938F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D6D489F"/>
    <w:multiLevelType w:val="hybridMultilevel"/>
    <w:tmpl w:val="6838AF6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E045A79"/>
    <w:multiLevelType w:val="hybridMultilevel"/>
    <w:tmpl w:val="5C9EB35A"/>
    <w:lvl w:ilvl="0" w:tplc="2DB4D9C0">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0FE859B7"/>
    <w:multiLevelType w:val="hybridMultilevel"/>
    <w:tmpl w:val="3F889A06"/>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8B87916"/>
    <w:multiLevelType w:val="hybridMultilevel"/>
    <w:tmpl w:val="BBE859E4"/>
    <w:lvl w:ilvl="0" w:tplc="1F8C897E">
      <w:start w:val="1"/>
      <w:numFmt w:val="decimal"/>
      <w:lvlText w:val="(%1)"/>
      <w:lvlJc w:val="left"/>
      <w:pPr>
        <w:ind w:left="720" w:hanging="360"/>
      </w:pPr>
      <w:rPr>
        <w:rFonts w:hint="default"/>
      </w:rPr>
    </w:lvl>
    <w:lvl w:ilvl="1" w:tplc="EB8C00F8">
      <w:start w:val="1"/>
      <w:numFmt w:val="decimal"/>
      <w:lvlText w:val="(%2)"/>
      <w:lvlJc w:val="left"/>
      <w:pPr>
        <w:ind w:left="1536" w:hanging="456"/>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1A2A00A1"/>
    <w:multiLevelType w:val="multilevel"/>
    <w:tmpl w:val="2E28F8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373DF4"/>
    <w:multiLevelType w:val="hybridMultilevel"/>
    <w:tmpl w:val="EA3C94B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4091878"/>
    <w:multiLevelType w:val="hybridMultilevel"/>
    <w:tmpl w:val="D25CD20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28284A70"/>
    <w:multiLevelType w:val="hybridMultilevel"/>
    <w:tmpl w:val="FA5ADF9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282F51F2"/>
    <w:multiLevelType w:val="hybridMultilevel"/>
    <w:tmpl w:val="CCAEDC2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924776C"/>
    <w:multiLevelType w:val="hybridMultilevel"/>
    <w:tmpl w:val="94120772"/>
    <w:lvl w:ilvl="0" w:tplc="0FA6AE7C">
      <w:start w:val="1"/>
      <w:numFmt w:val="bullet"/>
      <w:lvlText w:val="-"/>
      <w:lvlJc w:val="left"/>
      <w:pPr>
        <w:ind w:left="1287" w:hanging="360"/>
      </w:pPr>
      <w:rPr>
        <w:rFonts w:ascii="Cambria" w:eastAsiaTheme="minorHAnsi" w:hAnsi="Cambria" w:cstheme="minorHAnsi"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2A703EBF"/>
    <w:multiLevelType w:val="hybridMultilevel"/>
    <w:tmpl w:val="C180D54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2DA1409A"/>
    <w:multiLevelType w:val="hybridMultilevel"/>
    <w:tmpl w:val="E6DE92B8"/>
    <w:lvl w:ilvl="0" w:tplc="1F8C897E">
      <w:start w:val="1"/>
      <w:numFmt w:val="decimal"/>
      <w:lvlText w:val="(%1)"/>
      <w:lvlJc w:val="left"/>
      <w:pPr>
        <w:ind w:left="144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6" w15:restartNumberingAfterBreak="0">
    <w:nsid w:val="31541157"/>
    <w:multiLevelType w:val="hybridMultilevel"/>
    <w:tmpl w:val="B262D400"/>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17" w15:restartNumberingAfterBreak="0">
    <w:nsid w:val="34A903B6"/>
    <w:multiLevelType w:val="multilevel"/>
    <w:tmpl w:val="3B6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0389C"/>
    <w:multiLevelType w:val="hybridMultilevel"/>
    <w:tmpl w:val="107005C6"/>
    <w:lvl w:ilvl="0" w:tplc="5A46AFB4">
      <w:start w:val="1"/>
      <w:numFmt w:val="decimal"/>
      <w:lvlText w:val="(%1)"/>
      <w:lvlJc w:val="left"/>
      <w:pPr>
        <w:ind w:left="720" w:hanging="360"/>
      </w:pPr>
      <w:rPr>
        <w:rFonts w:ascii="Cambria" w:eastAsiaTheme="minorHAnsi" w:hAnsi="Cambria" w:cstheme="minorBidi"/>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21E3DBC"/>
    <w:multiLevelType w:val="hybridMultilevel"/>
    <w:tmpl w:val="D6729562"/>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423B2240"/>
    <w:multiLevelType w:val="hybridMultilevel"/>
    <w:tmpl w:val="6562F95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2527359"/>
    <w:multiLevelType w:val="hybridMultilevel"/>
    <w:tmpl w:val="913AEFA2"/>
    <w:lvl w:ilvl="0" w:tplc="528C3F4E">
      <w:numFmt w:val="bullet"/>
      <w:lvlText w:val="-"/>
      <w:lvlJc w:val="left"/>
      <w:pPr>
        <w:ind w:left="720" w:hanging="360"/>
      </w:pPr>
      <w:rPr>
        <w:rFonts w:ascii="Cambria" w:eastAsiaTheme="majorEastAsia" w:hAnsi="Cambria" w:cstheme="maj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2AD3239"/>
    <w:multiLevelType w:val="hybridMultilevel"/>
    <w:tmpl w:val="25162626"/>
    <w:lvl w:ilvl="0" w:tplc="967A6A8E">
      <w:start w:val="1"/>
      <w:numFmt w:val="bullet"/>
      <w:lvlText w:val="-"/>
      <w:lvlJc w:val="left"/>
      <w:pPr>
        <w:ind w:left="927" w:hanging="360"/>
      </w:pPr>
      <w:rPr>
        <w:rFonts w:ascii="Cambria" w:eastAsiaTheme="minorHAnsi" w:hAnsi="Cambria" w:cstheme="minorBidi"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3" w15:restartNumberingAfterBreak="0">
    <w:nsid w:val="4B30309E"/>
    <w:multiLevelType w:val="hybridMultilevel"/>
    <w:tmpl w:val="D38C5916"/>
    <w:lvl w:ilvl="0" w:tplc="1F8C897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4" w15:restartNumberingAfterBreak="0">
    <w:nsid w:val="4DD47292"/>
    <w:multiLevelType w:val="hybridMultilevel"/>
    <w:tmpl w:val="80EC4C2C"/>
    <w:lvl w:ilvl="0" w:tplc="1F8C897E">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50E779D3"/>
    <w:multiLevelType w:val="multilevel"/>
    <w:tmpl w:val="A75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432E1"/>
    <w:multiLevelType w:val="hybridMultilevel"/>
    <w:tmpl w:val="33942B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9363081"/>
    <w:multiLevelType w:val="hybridMultilevel"/>
    <w:tmpl w:val="EF88C938"/>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28" w15:restartNumberingAfterBreak="0">
    <w:nsid w:val="599E414C"/>
    <w:multiLevelType w:val="hybridMultilevel"/>
    <w:tmpl w:val="A372F36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5A3900BB"/>
    <w:multiLevelType w:val="hybridMultilevel"/>
    <w:tmpl w:val="761EFA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C6979FC"/>
    <w:multiLevelType w:val="hybridMultilevel"/>
    <w:tmpl w:val="F5D6981E"/>
    <w:lvl w:ilvl="0" w:tplc="0FA6AE7C">
      <w:start w:val="1"/>
      <w:numFmt w:val="bullet"/>
      <w:lvlText w:val="-"/>
      <w:lvlJc w:val="left"/>
      <w:pPr>
        <w:ind w:left="1440" w:hanging="360"/>
      </w:pPr>
      <w:rPr>
        <w:rFonts w:ascii="Cambria" w:eastAsiaTheme="minorHAnsi" w:hAnsi="Cambria" w:cstheme="minorHAnsi"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31" w15:restartNumberingAfterBreak="0">
    <w:nsid w:val="5D154483"/>
    <w:multiLevelType w:val="hybridMultilevel"/>
    <w:tmpl w:val="BC2C944C"/>
    <w:lvl w:ilvl="0" w:tplc="02827572">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2" w15:restartNumberingAfterBreak="0">
    <w:nsid w:val="60446994"/>
    <w:multiLevelType w:val="hybridMultilevel"/>
    <w:tmpl w:val="B3B83198"/>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58B44C9"/>
    <w:multiLevelType w:val="hybridMultilevel"/>
    <w:tmpl w:val="726AAEAE"/>
    <w:lvl w:ilvl="0" w:tplc="E96A1E62">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71993926"/>
    <w:multiLevelType w:val="multilevel"/>
    <w:tmpl w:val="2840888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BF3153"/>
    <w:multiLevelType w:val="hybridMultilevel"/>
    <w:tmpl w:val="E684028C"/>
    <w:lvl w:ilvl="0" w:tplc="04220001">
      <w:start w:val="1"/>
      <w:numFmt w:val="bullet"/>
      <w:lvlText w:val=""/>
      <w:lvlJc w:val="left"/>
      <w:pPr>
        <w:ind w:left="768" w:hanging="360"/>
      </w:pPr>
      <w:rPr>
        <w:rFonts w:ascii="Symbol" w:hAnsi="Symbol" w:hint="default"/>
      </w:rPr>
    </w:lvl>
    <w:lvl w:ilvl="1" w:tplc="04220003" w:tentative="1">
      <w:start w:val="1"/>
      <w:numFmt w:val="bullet"/>
      <w:lvlText w:val="o"/>
      <w:lvlJc w:val="left"/>
      <w:pPr>
        <w:ind w:left="1488" w:hanging="360"/>
      </w:pPr>
      <w:rPr>
        <w:rFonts w:ascii="Courier New" w:hAnsi="Courier New" w:cs="Courier New" w:hint="default"/>
      </w:rPr>
    </w:lvl>
    <w:lvl w:ilvl="2" w:tplc="04220005" w:tentative="1">
      <w:start w:val="1"/>
      <w:numFmt w:val="bullet"/>
      <w:lvlText w:val=""/>
      <w:lvlJc w:val="left"/>
      <w:pPr>
        <w:ind w:left="2208" w:hanging="360"/>
      </w:pPr>
      <w:rPr>
        <w:rFonts w:ascii="Wingdings" w:hAnsi="Wingdings" w:hint="default"/>
      </w:rPr>
    </w:lvl>
    <w:lvl w:ilvl="3" w:tplc="04220001" w:tentative="1">
      <w:start w:val="1"/>
      <w:numFmt w:val="bullet"/>
      <w:lvlText w:val=""/>
      <w:lvlJc w:val="left"/>
      <w:pPr>
        <w:ind w:left="2928" w:hanging="360"/>
      </w:pPr>
      <w:rPr>
        <w:rFonts w:ascii="Symbol" w:hAnsi="Symbol" w:hint="default"/>
      </w:rPr>
    </w:lvl>
    <w:lvl w:ilvl="4" w:tplc="04220003" w:tentative="1">
      <w:start w:val="1"/>
      <w:numFmt w:val="bullet"/>
      <w:lvlText w:val="o"/>
      <w:lvlJc w:val="left"/>
      <w:pPr>
        <w:ind w:left="3648" w:hanging="360"/>
      </w:pPr>
      <w:rPr>
        <w:rFonts w:ascii="Courier New" w:hAnsi="Courier New" w:cs="Courier New" w:hint="default"/>
      </w:rPr>
    </w:lvl>
    <w:lvl w:ilvl="5" w:tplc="04220005" w:tentative="1">
      <w:start w:val="1"/>
      <w:numFmt w:val="bullet"/>
      <w:lvlText w:val=""/>
      <w:lvlJc w:val="left"/>
      <w:pPr>
        <w:ind w:left="4368" w:hanging="360"/>
      </w:pPr>
      <w:rPr>
        <w:rFonts w:ascii="Wingdings" w:hAnsi="Wingdings" w:hint="default"/>
      </w:rPr>
    </w:lvl>
    <w:lvl w:ilvl="6" w:tplc="04220001" w:tentative="1">
      <w:start w:val="1"/>
      <w:numFmt w:val="bullet"/>
      <w:lvlText w:val=""/>
      <w:lvlJc w:val="left"/>
      <w:pPr>
        <w:ind w:left="5088" w:hanging="360"/>
      </w:pPr>
      <w:rPr>
        <w:rFonts w:ascii="Symbol" w:hAnsi="Symbol" w:hint="default"/>
      </w:rPr>
    </w:lvl>
    <w:lvl w:ilvl="7" w:tplc="04220003" w:tentative="1">
      <w:start w:val="1"/>
      <w:numFmt w:val="bullet"/>
      <w:lvlText w:val="o"/>
      <w:lvlJc w:val="left"/>
      <w:pPr>
        <w:ind w:left="5808" w:hanging="360"/>
      </w:pPr>
      <w:rPr>
        <w:rFonts w:ascii="Courier New" w:hAnsi="Courier New" w:cs="Courier New" w:hint="default"/>
      </w:rPr>
    </w:lvl>
    <w:lvl w:ilvl="8" w:tplc="04220005" w:tentative="1">
      <w:start w:val="1"/>
      <w:numFmt w:val="bullet"/>
      <w:lvlText w:val=""/>
      <w:lvlJc w:val="left"/>
      <w:pPr>
        <w:ind w:left="6528" w:hanging="360"/>
      </w:pPr>
      <w:rPr>
        <w:rFonts w:ascii="Wingdings" w:hAnsi="Wingdings" w:hint="default"/>
      </w:rPr>
    </w:lvl>
  </w:abstractNum>
  <w:abstractNum w:abstractNumId="36" w15:restartNumberingAfterBreak="0">
    <w:nsid w:val="747C13FB"/>
    <w:multiLevelType w:val="multilevel"/>
    <w:tmpl w:val="852ECA8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val="0"/>
        <w:bCs w:val="0"/>
        <w:u w:val="none"/>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8B917EB"/>
    <w:multiLevelType w:val="hybridMultilevel"/>
    <w:tmpl w:val="CE88C9F8"/>
    <w:lvl w:ilvl="0" w:tplc="1F8C897E">
      <w:start w:val="1"/>
      <w:numFmt w:val="decimal"/>
      <w:lvlText w:val="(%1)"/>
      <w:lvlJc w:val="left"/>
      <w:pPr>
        <w:ind w:left="720" w:hanging="360"/>
      </w:pPr>
      <w:rPr>
        <w:rFonts w:hint="default"/>
      </w:rPr>
    </w:lvl>
    <w:lvl w:ilvl="1" w:tplc="DBE2060A">
      <w:numFmt w:val="bullet"/>
      <w:lvlText w:val="•"/>
      <w:lvlJc w:val="left"/>
      <w:pPr>
        <w:ind w:left="1440" w:hanging="360"/>
      </w:pPr>
      <w:rPr>
        <w:rFonts w:ascii="Cambria" w:eastAsiaTheme="minorHAnsi" w:hAnsi="Cambria" w:cstheme="minorBidi"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906366D"/>
    <w:multiLevelType w:val="hybridMultilevel"/>
    <w:tmpl w:val="AFEA179E"/>
    <w:lvl w:ilvl="0" w:tplc="1F8C897E">
      <w:start w:val="1"/>
      <w:numFmt w:val="decimal"/>
      <w:lvlText w:val="(%1)"/>
      <w:lvlJc w:val="left"/>
      <w:pPr>
        <w:ind w:left="720" w:hanging="360"/>
      </w:pPr>
      <w:rPr>
        <w:rFonts w:hint="default"/>
      </w:rPr>
    </w:lvl>
    <w:lvl w:ilvl="1" w:tplc="1F8C897E">
      <w:start w:val="1"/>
      <w:numFmt w:val="decimal"/>
      <w:lvlText w:val="(%2)"/>
      <w:lvlJc w:val="left"/>
      <w:pPr>
        <w:ind w:left="72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9" w15:restartNumberingAfterBreak="0">
    <w:nsid w:val="7A8F1166"/>
    <w:multiLevelType w:val="hybridMultilevel"/>
    <w:tmpl w:val="6CAEA9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BA41542"/>
    <w:multiLevelType w:val="hybridMultilevel"/>
    <w:tmpl w:val="53EC1C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1" w15:restartNumberingAfterBreak="0">
    <w:nsid w:val="7BD60210"/>
    <w:multiLevelType w:val="hybridMultilevel"/>
    <w:tmpl w:val="7DD4A5B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7D3F1D48"/>
    <w:multiLevelType w:val="hybridMultilevel"/>
    <w:tmpl w:val="EF122DD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7DA27447"/>
    <w:multiLevelType w:val="hybridMultilevel"/>
    <w:tmpl w:val="C8BEB816"/>
    <w:lvl w:ilvl="0" w:tplc="82D477EA">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4" w15:restartNumberingAfterBreak="0">
    <w:nsid w:val="7DAD182F"/>
    <w:multiLevelType w:val="hybridMultilevel"/>
    <w:tmpl w:val="FF749C64"/>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num w:numId="1" w16cid:durableId="938829111">
    <w:abstractNumId w:val="8"/>
  </w:num>
  <w:num w:numId="2" w16cid:durableId="1809592521">
    <w:abstractNumId w:val="34"/>
  </w:num>
  <w:num w:numId="3" w16cid:durableId="496503122">
    <w:abstractNumId w:val="36"/>
  </w:num>
  <w:num w:numId="4" w16cid:durableId="353771491">
    <w:abstractNumId w:val="37"/>
  </w:num>
  <w:num w:numId="5" w16cid:durableId="1198737090">
    <w:abstractNumId w:val="24"/>
  </w:num>
  <w:num w:numId="6" w16cid:durableId="593050314">
    <w:abstractNumId w:val="7"/>
  </w:num>
  <w:num w:numId="7" w16cid:durableId="219708919">
    <w:abstractNumId w:val="20"/>
  </w:num>
  <w:num w:numId="8" w16cid:durableId="1188982937">
    <w:abstractNumId w:val="38"/>
  </w:num>
  <w:num w:numId="9" w16cid:durableId="1595475907">
    <w:abstractNumId w:val="1"/>
  </w:num>
  <w:num w:numId="10" w16cid:durableId="1284969561">
    <w:abstractNumId w:val="19"/>
  </w:num>
  <w:num w:numId="11" w16cid:durableId="301616866">
    <w:abstractNumId w:val="41"/>
  </w:num>
  <w:num w:numId="12" w16cid:durableId="1372925389">
    <w:abstractNumId w:val="32"/>
  </w:num>
  <w:num w:numId="13" w16cid:durableId="940530242">
    <w:abstractNumId w:val="33"/>
  </w:num>
  <w:num w:numId="14" w16cid:durableId="970092308">
    <w:abstractNumId w:val="15"/>
  </w:num>
  <w:num w:numId="15" w16cid:durableId="1516379377">
    <w:abstractNumId w:val="42"/>
  </w:num>
  <w:num w:numId="16" w16cid:durableId="1228227196">
    <w:abstractNumId w:val="23"/>
  </w:num>
  <w:num w:numId="17" w16cid:durableId="2704969">
    <w:abstractNumId w:val="6"/>
  </w:num>
  <w:num w:numId="18" w16cid:durableId="1778984698">
    <w:abstractNumId w:val="44"/>
  </w:num>
  <w:num w:numId="19" w16cid:durableId="1494758207">
    <w:abstractNumId w:val="12"/>
  </w:num>
  <w:num w:numId="20" w16cid:durableId="738938631">
    <w:abstractNumId w:val="39"/>
  </w:num>
  <w:num w:numId="21" w16cid:durableId="697848938">
    <w:abstractNumId w:val="16"/>
  </w:num>
  <w:num w:numId="22" w16cid:durableId="1166166730">
    <w:abstractNumId w:val="27"/>
  </w:num>
  <w:num w:numId="23" w16cid:durableId="1061292638">
    <w:abstractNumId w:val="29"/>
  </w:num>
  <w:num w:numId="24" w16cid:durableId="1137915966">
    <w:abstractNumId w:val="17"/>
  </w:num>
  <w:num w:numId="25" w16cid:durableId="523324521">
    <w:abstractNumId w:val="9"/>
  </w:num>
  <w:num w:numId="26" w16cid:durableId="2048407238">
    <w:abstractNumId w:val="4"/>
  </w:num>
  <w:num w:numId="27" w16cid:durableId="654190081">
    <w:abstractNumId w:val="11"/>
  </w:num>
  <w:num w:numId="28" w16cid:durableId="1580020549">
    <w:abstractNumId w:val="14"/>
  </w:num>
  <w:num w:numId="29" w16cid:durableId="436829492">
    <w:abstractNumId w:val="3"/>
  </w:num>
  <w:num w:numId="30" w16cid:durableId="993948157">
    <w:abstractNumId w:val="26"/>
  </w:num>
  <w:num w:numId="31" w16cid:durableId="54285043">
    <w:abstractNumId w:val="40"/>
  </w:num>
  <w:num w:numId="32" w16cid:durableId="1881629788">
    <w:abstractNumId w:val="35"/>
  </w:num>
  <w:num w:numId="33" w16cid:durableId="1571692269">
    <w:abstractNumId w:val="25"/>
  </w:num>
  <w:num w:numId="34" w16cid:durableId="1691175300">
    <w:abstractNumId w:val="5"/>
  </w:num>
  <w:num w:numId="35" w16cid:durableId="1367754357">
    <w:abstractNumId w:val="22"/>
  </w:num>
  <w:num w:numId="36" w16cid:durableId="1407335636">
    <w:abstractNumId w:val="43"/>
  </w:num>
  <w:num w:numId="37" w16cid:durableId="1229340202">
    <w:abstractNumId w:val="2"/>
  </w:num>
  <w:num w:numId="38" w16cid:durableId="2035033074">
    <w:abstractNumId w:val="18"/>
  </w:num>
  <w:num w:numId="39" w16cid:durableId="1685981275">
    <w:abstractNumId w:val="13"/>
  </w:num>
  <w:num w:numId="40" w16cid:durableId="1010445870">
    <w:abstractNumId w:val="30"/>
  </w:num>
  <w:num w:numId="41" w16cid:durableId="1920745818">
    <w:abstractNumId w:val="21"/>
  </w:num>
  <w:num w:numId="42" w16cid:durableId="1064373547">
    <w:abstractNumId w:val="31"/>
  </w:num>
  <w:num w:numId="43" w16cid:durableId="1272133051">
    <w:abstractNumId w:val="0"/>
  </w:num>
  <w:num w:numId="44" w16cid:durableId="2053067918">
    <w:abstractNumId w:val="10"/>
  </w:num>
  <w:num w:numId="45" w16cid:durableId="1435008650">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015"/>
    <w:rsid w:val="000232D7"/>
    <w:rsid w:val="00032ED6"/>
    <w:rsid w:val="00041275"/>
    <w:rsid w:val="001247E2"/>
    <w:rsid w:val="001366FA"/>
    <w:rsid w:val="00166571"/>
    <w:rsid w:val="001A21C9"/>
    <w:rsid w:val="001B6A48"/>
    <w:rsid w:val="001F500A"/>
    <w:rsid w:val="0020154B"/>
    <w:rsid w:val="00234D97"/>
    <w:rsid w:val="0026673C"/>
    <w:rsid w:val="002C10E4"/>
    <w:rsid w:val="003837FA"/>
    <w:rsid w:val="00397250"/>
    <w:rsid w:val="00401DE3"/>
    <w:rsid w:val="00462EA1"/>
    <w:rsid w:val="00481C48"/>
    <w:rsid w:val="005121D0"/>
    <w:rsid w:val="00563285"/>
    <w:rsid w:val="00576355"/>
    <w:rsid w:val="005909F9"/>
    <w:rsid w:val="00592EBD"/>
    <w:rsid w:val="005C2D05"/>
    <w:rsid w:val="005D0005"/>
    <w:rsid w:val="0061350C"/>
    <w:rsid w:val="006252D6"/>
    <w:rsid w:val="00644430"/>
    <w:rsid w:val="00653927"/>
    <w:rsid w:val="00664BB0"/>
    <w:rsid w:val="00664EF9"/>
    <w:rsid w:val="00693480"/>
    <w:rsid w:val="006C66C9"/>
    <w:rsid w:val="006F6634"/>
    <w:rsid w:val="0073056B"/>
    <w:rsid w:val="00752D71"/>
    <w:rsid w:val="00761640"/>
    <w:rsid w:val="00761CCD"/>
    <w:rsid w:val="00780BEC"/>
    <w:rsid w:val="007E70FD"/>
    <w:rsid w:val="00804350"/>
    <w:rsid w:val="00804C9F"/>
    <w:rsid w:val="00822D7C"/>
    <w:rsid w:val="00844C6F"/>
    <w:rsid w:val="00862087"/>
    <w:rsid w:val="00862E00"/>
    <w:rsid w:val="008B5C35"/>
    <w:rsid w:val="008E3015"/>
    <w:rsid w:val="009128D5"/>
    <w:rsid w:val="009147B2"/>
    <w:rsid w:val="00975EB2"/>
    <w:rsid w:val="00993A35"/>
    <w:rsid w:val="009A11C7"/>
    <w:rsid w:val="00A57046"/>
    <w:rsid w:val="00A86613"/>
    <w:rsid w:val="00AA3021"/>
    <w:rsid w:val="00B01DA0"/>
    <w:rsid w:val="00B52CDD"/>
    <w:rsid w:val="00B62F19"/>
    <w:rsid w:val="00B636C2"/>
    <w:rsid w:val="00B75D64"/>
    <w:rsid w:val="00BA70CF"/>
    <w:rsid w:val="00BD4036"/>
    <w:rsid w:val="00C434E4"/>
    <w:rsid w:val="00CA42D1"/>
    <w:rsid w:val="00CD27FC"/>
    <w:rsid w:val="00D9088E"/>
    <w:rsid w:val="00DA4AA0"/>
    <w:rsid w:val="00DC00F8"/>
    <w:rsid w:val="00E755DA"/>
    <w:rsid w:val="00EC19B3"/>
    <w:rsid w:val="00EF4A39"/>
    <w:rsid w:val="00F01CA2"/>
    <w:rsid w:val="00F42D01"/>
    <w:rsid w:val="00FB02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4E94"/>
  <w15:chartTrackingRefBased/>
  <w15:docId w15:val="{4FB01BBA-BEF5-4345-92C6-545622A2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1247E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8E3015"/>
    <w:pPr>
      <w:ind w:left="720"/>
      <w:contextualSpacing/>
      <w:spacing w:before="120" w:after="0" w:line="276" w:lineRule="auto"/>
    </w:pPr>
    <w:rPr>
      <w:rFonts w:ascii="Cambria" w:hAnsi="Cambria"/>
      <w:sz w:val="22"/>
    </w:rPr>
  </w:style>
  <w:style w:type="character" w:customStyle="1" w:styleId="30">
    <w:name w:val="Заголовок 3 Знак"/>
    <w:basedOn w:val="a0"/>
    <w:link w:val="3"/>
    <w:uiPriority w:val="9"/>
    <w:semiHidden/>
    <w:rsid w:val="001247E2"/>
    <w:rPr>
      <w:rFonts w:asciiTheme="majorHAnsi" w:eastAsiaTheme="majorEastAsia" w:hAnsiTheme="majorHAnsi" w:cstheme="majorBidi"/>
      <w:color w:val="1F3763" w:themeColor="accent1" w:themeShade="7F"/>
      <w:sz w:val="24"/>
      <w:szCs w:val="24"/>
      <w:lang w:val="uk-UA"/>
    </w:rPr>
  </w:style>
  <w:style w:type="paragraph" w:styleId="a4">
    <w:name w:val="Normal (Web)"/>
    <w:basedOn w:val="a"/>
    <w:uiPriority w:val="99"/>
    <w:unhideWhenUsed/>
    <w:rsid w:val="00BD4036"/>
    <w:pPr>
      <w:spacing w:before="100" w:beforeAutospacing="1" w:after="100" w:afterAutospacing="1"/>
    </w:pPr>
    <w:rPr>
      <w:rFonts w:ascii="Times New Roman" w:eastAsia="Times New Roman" w:hAnsi="Times New Roman" w:cs="Times New Roman"/>
      <w:sz w:val="24"/>
      <w:szCs w:val="24"/>
      <w:lang w:eastAsia="uk-UA"/>
    </w:rPr>
  </w:style>
  <w:style w:type="paragraph" w:styleId="a5">
    <w:name w:val="header"/>
    <w:basedOn w:val="a"/>
    <w:link w:val="a6"/>
    <w:uiPriority w:val="99"/>
    <w:unhideWhenUsed/>
    <w:rsid w:val="00804C9F"/>
    <w:pPr>
      <w:tabs>
        <w:tab w:val="center" w:pos="4819"/>
        <w:tab w:val="right" w:pos="9639"/>
      </w:tabs>
      <w:spacing w:before="0"/>
    </w:pPr>
  </w:style>
  <w:style w:type="character" w:customStyle="1" w:styleId="a6">
    <w:name w:val="Верхній колонтитул Знак"/>
    <w:basedOn w:val="a0"/>
    <w:link w:val="a5"/>
    <w:uiPriority w:val="99"/>
    <w:rsid w:val="00804C9F"/>
    <w:rPr>
      <w:rFonts w:ascii="Cambria" w:hAnsi="Cambria"/>
      <w:lang w:val="uk-UA"/>
    </w:rPr>
  </w:style>
  <w:style w:type="paragraph" w:styleId="a7">
    <w:name w:val="footer"/>
    <w:basedOn w:val="a"/>
    <w:link w:val="a8"/>
    <w:uiPriority w:val="99"/>
    <w:unhideWhenUsed/>
    <w:rsid w:val="00804C9F"/>
    <w:pPr>
      <w:tabs>
        <w:tab w:val="center" w:pos="4819"/>
        <w:tab w:val="right" w:pos="9639"/>
      </w:tabs>
      <w:spacing w:before="0"/>
    </w:pPr>
  </w:style>
  <w:style w:type="character" w:customStyle="1" w:styleId="a8">
    <w:name w:val="Нижній колонтитул Знак"/>
    <w:basedOn w:val="a0"/>
    <w:link w:val="a7"/>
    <w:uiPriority w:val="99"/>
    <w:rsid w:val="00804C9F"/>
    <w:rPr>
      <w:rFonts w:ascii="Cambria" w:hAnsi="Cambria"/>
      <w:lang w:val="uk-UA"/>
    </w:rPr>
  </w:style>
  <w:style w:type="character" w:styleId="a9">
    <w:name w:val="Strong"/>
    <w:basedOn w:val="a0"/>
    <w:uiPriority w:val="22"/>
    <w:qFormat/>
    <w:rsid w:val="00FB02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50631">
      <w:bodyDiv w:val="1"/>
      <w:marLeft w:val="0"/>
      <w:marRight w:val="0"/>
      <w:marTop w:val="0"/>
      <w:marBottom w:val="0"/>
      <w:divBdr>
        <w:top w:val="none" w:sz="0" w:space="0" w:color="auto"/>
        <w:left w:val="none" w:sz="0" w:space="0" w:color="auto"/>
        <w:bottom w:val="none" w:sz="0" w:space="0" w:color="auto"/>
        <w:right w:val="none" w:sz="0" w:space="0" w:color="auto"/>
      </w:divBdr>
    </w:div>
    <w:div w:id="48497633">
      <w:bodyDiv w:val="1"/>
      <w:marLeft w:val="0"/>
      <w:marRight w:val="0"/>
      <w:marTop w:val="0"/>
      <w:marBottom w:val="0"/>
      <w:divBdr>
        <w:top w:val="none" w:sz="0" w:space="0" w:color="auto"/>
        <w:left w:val="none" w:sz="0" w:space="0" w:color="auto"/>
        <w:bottom w:val="none" w:sz="0" w:space="0" w:color="auto"/>
        <w:right w:val="none" w:sz="0" w:space="0" w:color="auto"/>
      </w:divBdr>
    </w:div>
    <w:div w:id="120736651">
      <w:bodyDiv w:val="1"/>
      <w:marLeft w:val="0"/>
      <w:marRight w:val="0"/>
      <w:marTop w:val="0"/>
      <w:marBottom w:val="0"/>
      <w:divBdr>
        <w:top w:val="none" w:sz="0" w:space="0" w:color="auto"/>
        <w:left w:val="none" w:sz="0" w:space="0" w:color="auto"/>
        <w:bottom w:val="none" w:sz="0" w:space="0" w:color="auto"/>
        <w:right w:val="none" w:sz="0" w:space="0" w:color="auto"/>
      </w:divBdr>
    </w:div>
    <w:div w:id="134489414">
      <w:bodyDiv w:val="1"/>
      <w:marLeft w:val="0"/>
      <w:marRight w:val="0"/>
      <w:marTop w:val="0"/>
      <w:marBottom w:val="0"/>
      <w:divBdr>
        <w:top w:val="none" w:sz="0" w:space="0" w:color="auto"/>
        <w:left w:val="none" w:sz="0" w:space="0" w:color="auto"/>
        <w:bottom w:val="none" w:sz="0" w:space="0" w:color="auto"/>
        <w:right w:val="none" w:sz="0" w:space="0" w:color="auto"/>
      </w:divBdr>
    </w:div>
    <w:div w:id="191652106">
      <w:bodyDiv w:val="1"/>
      <w:marLeft w:val="0"/>
      <w:marRight w:val="0"/>
      <w:marTop w:val="0"/>
      <w:marBottom w:val="0"/>
      <w:divBdr>
        <w:top w:val="none" w:sz="0" w:space="0" w:color="auto"/>
        <w:left w:val="none" w:sz="0" w:space="0" w:color="auto"/>
        <w:bottom w:val="none" w:sz="0" w:space="0" w:color="auto"/>
        <w:right w:val="none" w:sz="0" w:space="0" w:color="auto"/>
      </w:divBdr>
    </w:div>
    <w:div w:id="243416798">
      <w:bodyDiv w:val="1"/>
      <w:marLeft w:val="0"/>
      <w:marRight w:val="0"/>
      <w:marTop w:val="0"/>
      <w:marBottom w:val="0"/>
      <w:divBdr>
        <w:top w:val="none" w:sz="0" w:space="0" w:color="auto"/>
        <w:left w:val="none" w:sz="0" w:space="0" w:color="auto"/>
        <w:bottom w:val="none" w:sz="0" w:space="0" w:color="auto"/>
        <w:right w:val="none" w:sz="0" w:space="0" w:color="auto"/>
      </w:divBdr>
    </w:div>
    <w:div w:id="262616250">
      <w:bodyDiv w:val="1"/>
      <w:marLeft w:val="0"/>
      <w:marRight w:val="0"/>
      <w:marTop w:val="0"/>
      <w:marBottom w:val="0"/>
      <w:divBdr>
        <w:top w:val="none" w:sz="0" w:space="0" w:color="auto"/>
        <w:left w:val="none" w:sz="0" w:space="0" w:color="auto"/>
        <w:bottom w:val="none" w:sz="0" w:space="0" w:color="auto"/>
        <w:right w:val="none" w:sz="0" w:space="0" w:color="auto"/>
      </w:divBdr>
    </w:div>
    <w:div w:id="301426013">
      <w:bodyDiv w:val="1"/>
      <w:marLeft w:val="0"/>
      <w:marRight w:val="0"/>
      <w:marTop w:val="0"/>
      <w:marBottom w:val="0"/>
      <w:divBdr>
        <w:top w:val="none" w:sz="0" w:space="0" w:color="auto"/>
        <w:left w:val="none" w:sz="0" w:space="0" w:color="auto"/>
        <w:bottom w:val="none" w:sz="0" w:space="0" w:color="auto"/>
        <w:right w:val="none" w:sz="0" w:space="0" w:color="auto"/>
      </w:divBdr>
    </w:div>
    <w:div w:id="308898889">
      <w:bodyDiv w:val="1"/>
      <w:marLeft w:val="0"/>
      <w:marRight w:val="0"/>
      <w:marTop w:val="0"/>
      <w:marBottom w:val="0"/>
      <w:divBdr>
        <w:top w:val="none" w:sz="0" w:space="0" w:color="auto"/>
        <w:left w:val="none" w:sz="0" w:space="0" w:color="auto"/>
        <w:bottom w:val="none" w:sz="0" w:space="0" w:color="auto"/>
        <w:right w:val="none" w:sz="0" w:space="0" w:color="auto"/>
      </w:divBdr>
    </w:div>
    <w:div w:id="347563647">
      <w:bodyDiv w:val="1"/>
      <w:marLeft w:val="0"/>
      <w:marRight w:val="0"/>
      <w:marTop w:val="0"/>
      <w:marBottom w:val="0"/>
      <w:divBdr>
        <w:top w:val="none" w:sz="0" w:space="0" w:color="auto"/>
        <w:left w:val="none" w:sz="0" w:space="0" w:color="auto"/>
        <w:bottom w:val="none" w:sz="0" w:space="0" w:color="auto"/>
        <w:right w:val="none" w:sz="0" w:space="0" w:color="auto"/>
      </w:divBdr>
    </w:div>
    <w:div w:id="370421981">
      <w:bodyDiv w:val="1"/>
      <w:marLeft w:val="0"/>
      <w:marRight w:val="0"/>
      <w:marTop w:val="0"/>
      <w:marBottom w:val="0"/>
      <w:divBdr>
        <w:top w:val="none" w:sz="0" w:space="0" w:color="auto"/>
        <w:left w:val="none" w:sz="0" w:space="0" w:color="auto"/>
        <w:bottom w:val="none" w:sz="0" w:space="0" w:color="auto"/>
        <w:right w:val="none" w:sz="0" w:space="0" w:color="auto"/>
      </w:divBdr>
    </w:div>
    <w:div w:id="412747871">
      <w:bodyDiv w:val="1"/>
      <w:marLeft w:val="0"/>
      <w:marRight w:val="0"/>
      <w:marTop w:val="0"/>
      <w:marBottom w:val="0"/>
      <w:divBdr>
        <w:top w:val="none" w:sz="0" w:space="0" w:color="auto"/>
        <w:left w:val="none" w:sz="0" w:space="0" w:color="auto"/>
        <w:bottom w:val="none" w:sz="0" w:space="0" w:color="auto"/>
        <w:right w:val="none" w:sz="0" w:space="0" w:color="auto"/>
      </w:divBdr>
    </w:div>
    <w:div w:id="413939771">
      <w:bodyDiv w:val="1"/>
      <w:marLeft w:val="0"/>
      <w:marRight w:val="0"/>
      <w:marTop w:val="0"/>
      <w:marBottom w:val="0"/>
      <w:divBdr>
        <w:top w:val="none" w:sz="0" w:space="0" w:color="auto"/>
        <w:left w:val="none" w:sz="0" w:space="0" w:color="auto"/>
        <w:bottom w:val="none" w:sz="0" w:space="0" w:color="auto"/>
        <w:right w:val="none" w:sz="0" w:space="0" w:color="auto"/>
      </w:divBdr>
    </w:div>
    <w:div w:id="422648764">
      <w:bodyDiv w:val="1"/>
      <w:marLeft w:val="0"/>
      <w:marRight w:val="0"/>
      <w:marTop w:val="0"/>
      <w:marBottom w:val="0"/>
      <w:divBdr>
        <w:top w:val="none" w:sz="0" w:space="0" w:color="auto"/>
        <w:left w:val="none" w:sz="0" w:space="0" w:color="auto"/>
        <w:bottom w:val="none" w:sz="0" w:space="0" w:color="auto"/>
        <w:right w:val="none" w:sz="0" w:space="0" w:color="auto"/>
      </w:divBdr>
    </w:div>
    <w:div w:id="440145223">
      <w:bodyDiv w:val="1"/>
      <w:marLeft w:val="0"/>
      <w:marRight w:val="0"/>
      <w:marTop w:val="0"/>
      <w:marBottom w:val="0"/>
      <w:divBdr>
        <w:top w:val="none" w:sz="0" w:space="0" w:color="auto"/>
        <w:left w:val="none" w:sz="0" w:space="0" w:color="auto"/>
        <w:bottom w:val="none" w:sz="0" w:space="0" w:color="auto"/>
        <w:right w:val="none" w:sz="0" w:space="0" w:color="auto"/>
      </w:divBdr>
    </w:div>
    <w:div w:id="475028238">
      <w:bodyDiv w:val="1"/>
      <w:marLeft w:val="0"/>
      <w:marRight w:val="0"/>
      <w:marTop w:val="0"/>
      <w:marBottom w:val="0"/>
      <w:divBdr>
        <w:top w:val="none" w:sz="0" w:space="0" w:color="auto"/>
        <w:left w:val="none" w:sz="0" w:space="0" w:color="auto"/>
        <w:bottom w:val="none" w:sz="0" w:space="0" w:color="auto"/>
        <w:right w:val="none" w:sz="0" w:space="0" w:color="auto"/>
      </w:divBdr>
    </w:div>
    <w:div w:id="515728391">
      <w:bodyDiv w:val="1"/>
      <w:marLeft w:val="0"/>
      <w:marRight w:val="0"/>
      <w:marTop w:val="0"/>
      <w:marBottom w:val="0"/>
      <w:divBdr>
        <w:top w:val="none" w:sz="0" w:space="0" w:color="auto"/>
        <w:left w:val="none" w:sz="0" w:space="0" w:color="auto"/>
        <w:bottom w:val="none" w:sz="0" w:space="0" w:color="auto"/>
        <w:right w:val="none" w:sz="0" w:space="0" w:color="auto"/>
      </w:divBdr>
    </w:div>
    <w:div w:id="531262015">
      <w:bodyDiv w:val="1"/>
      <w:marLeft w:val="0"/>
      <w:marRight w:val="0"/>
      <w:marTop w:val="0"/>
      <w:marBottom w:val="0"/>
      <w:divBdr>
        <w:top w:val="none" w:sz="0" w:space="0" w:color="auto"/>
        <w:left w:val="none" w:sz="0" w:space="0" w:color="auto"/>
        <w:bottom w:val="none" w:sz="0" w:space="0" w:color="auto"/>
        <w:right w:val="none" w:sz="0" w:space="0" w:color="auto"/>
      </w:divBdr>
    </w:div>
    <w:div w:id="550699888">
      <w:bodyDiv w:val="1"/>
      <w:marLeft w:val="0"/>
      <w:marRight w:val="0"/>
      <w:marTop w:val="0"/>
      <w:marBottom w:val="0"/>
      <w:divBdr>
        <w:top w:val="none" w:sz="0" w:space="0" w:color="auto"/>
        <w:left w:val="none" w:sz="0" w:space="0" w:color="auto"/>
        <w:bottom w:val="none" w:sz="0" w:space="0" w:color="auto"/>
        <w:right w:val="none" w:sz="0" w:space="0" w:color="auto"/>
      </w:divBdr>
    </w:div>
    <w:div w:id="574554520">
      <w:bodyDiv w:val="1"/>
      <w:marLeft w:val="0"/>
      <w:marRight w:val="0"/>
      <w:marTop w:val="0"/>
      <w:marBottom w:val="0"/>
      <w:divBdr>
        <w:top w:val="none" w:sz="0" w:space="0" w:color="auto"/>
        <w:left w:val="none" w:sz="0" w:space="0" w:color="auto"/>
        <w:bottom w:val="none" w:sz="0" w:space="0" w:color="auto"/>
        <w:right w:val="none" w:sz="0" w:space="0" w:color="auto"/>
      </w:divBdr>
    </w:div>
    <w:div w:id="588738887">
      <w:bodyDiv w:val="1"/>
      <w:marLeft w:val="0"/>
      <w:marRight w:val="0"/>
      <w:marTop w:val="0"/>
      <w:marBottom w:val="0"/>
      <w:divBdr>
        <w:top w:val="none" w:sz="0" w:space="0" w:color="auto"/>
        <w:left w:val="none" w:sz="0" w:space="0" w:color="auto"/>
        <w:bottom w:val="none" w:sz="0" w:space="0" w:color="auto"/>
        <w:right w:val="none" w:sz="0" w:space="0" w:color="auto"/>
      </w:divBdr>
    </w:div>
    <w:div w:id="600454770">
      <w:bodyDiv w:val="1"/>
      <w:marLeft w:val="0"/>
      <w:marRight w:val="0"/>
      <w:marTop w:val="0"/>
      <w:marBottom w:val="0"/>
      <w:divBdr>
        <w:top w:val="none" w:sz="0" w:space="0" w:color="auto"/>
        <w:left w:val="none" w:sz="0" w:space="0" w:color="auto"/>
        <w:bottom w:val="none" w:sz="0" w:space="0" w:color="auto"/>
        <w:right w:val="none" w:sz="0" w:space="0" w:color="auto"/>
      </w:divBdr>
    </w:div>
    <w:div w:id="628316522">
      <w:bodyDiv w:val="1"/>
      <w:marLeft w:val="0"/>
      <w:marRight w:val="0"/>
      <w:marTop w:val="0"/>
      <w:marBottom w:val="0"/>
      <w:divBdr>
        <w:top w:val="none" w:sz="0" w:space="0" w:color="auto"/>
        <w:left w:val="none" w:sz="0" w:space="0" w:color="auto"/>
        <w:bottom w:val="none" w:sz="0" w:space="0" w:color="auto"/>
        <w:right w:val="none" w:sz="0" w:space="0" w:color="auto"/>
      </w:divBdr>
    </w:div>
    <w:div w:id="629895110">
      <w:bodyDiv w:val="1"/>
      <w:marLeft w:val="0"/>
      <w:marRight w:val="0"/>
      <w:marTop w:val="0"/>
      <w:marBottom w:val="0"/>
      <w:divBdr>
        <w:top w:val="none" w:sz="0" w:space="0" w:color="auto"/>
        <w:left w:val="none" w:sz="0" w:space="0" w:color="auto"/>
        <w:bottom w:val="none" w:sz="0" w:space="0" w:color="auto"/>
        <w:right w:val="none" w:sz="0" w:space="0" w:color="auto"/>
      </w:divBdr>
    </w:div>
    <w:div w:id="634263170">
      <w:bodyDiv w:val="1"/>
      <w:marLeft w:val="0"/>
      <w:marRight w:val="0"/>
      <w:marTop w:val="0"/>
      <w:marBottom w:val="0"/>
      <w:divBdr>
        <w:top w:val="none" w:sz="0" w:space="0" w:color="auto"/>
        <w:left w:val="none" w:sz="0" w:space="0" w:color="auto"/>
        <w:bottom w:val="none" w:sz="0" w:space="0" w:color="auto"/>
        <w:right w:val="none" w:sz="0" w:space="0" w:color="auto"/>
      </w:divBdr>
    </w:div>
    <w:div w:id="716274929">
      <w:bodyDiv w:val="1"/>
      <w:marLeft w:val="0"/>
      <w:marRight w:val="0"/>
      <w:marTop w:val="0"/>
      <w:marBottom w:val="0"/>
      <w:divBdr>
        <w:top w:val="none" w:sz="0" w:space="0" w:color="auto"/>
        <w:left w:val="none" w:sz="0" w:space="0" w:color="auto"/>
        <w:bottom w:val="none" w:sz="0" w:space="0" w:color="auto"/>
        <w:right w:val="none" w:sz="0" w:space="0" w:color="auto"/>
      </w:divBdr>
    </w:div>
    <w:div w:id="717970108">
      <w:bodyDiv w:val="1"/>
      <w:marLeft w:val="0"/>
      <w:marRight w:val="0"/>
      <w:marTop w:val="0"/>
      <w:marBottom w:val="0"/>
      <w:divBdr>
        <w:top w:val="none" w:sz="0" w:space="0" w:color="auto"/>
        <w:left w:val="none" w:sz="0" w:space="0" w:color="auto"/>
        <w:bottom w:val="none" w:sz="0" w:space="0" w:color="auto"/>
        <w:right w:val="none" w:sz="0" w:space="0" w:color="auto"/>
      </w:divBdr>
    </w:div>
    <w:div w:id="727337181">
      <w:bodyDiv w:val="1"/>
      <w:marLeft w:val="0"/>
      <w:marRight w:val="0"/>
      <w:marTop w:val="0"/>
      <w:marBottom w:val="0"/>
      <w:divBdr>
        <w:top w:val="none" w:sz="0" w:space="0" w:color="auto"/>
        <w:left w:val="none" w:sz="0" w:space="0" w:color="auto"/>
        <w:bottom w:val="none" w:sz="0" w:space="0" w:color="auto"/>
        <w:right w:val="none" w:sz="0" w:space="0" w:color="auto"/>
      </w:divBdr>
    </w:div>
    <w:div w:id="787897411">
      <w:bodyDiv w:val="1"/>
      <w:marLeft w:val="0"/>
      <w:marRight w:val="0"/>
      <w:marTop w:val="0"/>
      <w:marBottom w:val="0"/>
      <w:divBdr>
        <w:top w:val="none" w:sz="0" w:space="0" w:color="auto"/>
        <w:left w:val="none" w:sz="0" w:space="0" w:color="auto"/>
        <w:bottom w:val="none" w:sz="0" w:space="0" w:color="auto"/>
        <w:right w:val="none" w:sz="0" w:space="0" w:color="auto"/>
      </w:divBdr>
    </w:div>
    <w:div w:id="833499197">
      <w:bodyDiv w:val="1"/>
      <w:marLeft w:val="0"/>
      <w:marRight w:val="0"/>
      <w:marTop w:val="0"/>
      <w:marBottom w:val="0"/>
      <w:divBdr>
        <w:top w:val="none" w:sz="0" w:space="0" w:color="auto"/>
        <w:left w:val="none" w:sz="0" w:space="0" w:color="auto"/>
        <w:bottom w:val="none" w:sz="0" w:space="0" w:color="auto"/>
        <w:right w:val="none" w:sz="0" w:space="0" w:color="auto"/>
      </w:divBdr>
    </w:div>
    <w:div w:id="899363130">
      <w:bodyDiv w:val="1"/>
      <w:marLeft w:val="0"/>
      <w:marRight w:val="0"/>
      <w:marTop w:val="0"/>
      <w:marBottom w:val="0"/>
      <w:divBdr>
        <w:top w:val="none" w:sz="0" w:space="0" w:color="auto"/>
        <w:left w:val="none" w:sz="0" w:space="0" w:color="auto"/>
        <w:bottom w:val="none" w:sz="0" w:space="0" w:color="auto"/>
        <w:right w:val="none" w:sz="0" w:space="0" w:color="auto"/>
      </w:divBdr>
    </w:div>
    <w:div w:id="950280067">
      <w:bodyDiv w:val="1"/>
      <w:marLeft w:val="0"/>
      <w:marRight w:val="0"/>
      <w:marTop w:val="0"/>
      <w:marBottom w:val="0"/>
      <w:divBdr>
        <w:top w:val="none" w:sz="0" w:space="0" w:color="auto"/>
        <w:left w:val="none" w:sz="0" w:space="0" w:color="auto"/>
        <w:bottom w:val="none" w:sz="0" w:space="0" w:color="auto"/>
        <w:right w:val="none" w:sz="0" w:space="0" w:color="auto"/>
      </w:divBdr>
    </w:div>
    <w:div w:id="985545288">
      <w:bodyDiv w:val="1"/>
      <w:marLeft w:val="0"/>
      <w:marRight w:val="0"/>
      <w:marTop w:val="0"/>
      <w:marBottom w:val="0"/>
      <w:divBdr>
        <w:top w:val="none" w:sz="0" w:space="0" w:color="auto"/>
        <w:left w:val="none" w:sz="0" w:space="0" w:color="auto"/>
        <w:bottom w:val="none" w:sz="0" w:space="0" w:color="auto"/>
        <w:right w:val="none" w:sz="0" w:space="0" w:color="auto"/>
      </w:divBdr>
    </w:div>
    <w:div w:id="997657601">
      <w:bodyDiv w:val="1"/>
      <w:marLeft w:val="0"/>
      <w:marRight w:val="0"/>
      <w:marTop w:val="0"/>
      <w:marBottom w:val="0"/>
      <w:divBdr>
        <w:top w:val="none" w:sz="0" w:space="0" w:color="auto"/>
        <w:left w:val="none" w:sz="0" w:space="0" w:color="auto"/>
        <w:bottom w:val="none" w:sz="0" w:space="0" w:color="auto"/>
        <w:right w:val="none" w:sz="0" w:space="0" w:color="auto"/>
      </w:divBdr>
    </w:div>
    <w:div w:id="1018963438">
      <w:bodyDiv w:val="1"/>
      <w:marLeft w:val="0"/>
      <w:marRight w:val="0"/>
      <w:marTop w:val="0"/>
      <w:marBottom w:val="0"/>
      <w:divBdr>
        <w:top w:val="none" w:sz="0" w:space="0" w:color="auto"/>
        <w:left w:val="none" w:sz="0" w:space="0" w:color="auto"/>
        <w:bottom w:val="none" w:sz="0" w:space="0" w:color="auto"/>
        <w:right w:val="none" w:sz="0" w:space="0" w:color="auto"/>
      </w:divBdr>
    </w:div>
    <w:div w:id="1021857112">
      <w:bodyDiv w:val="1"/>
      <w:marLeft w:val="0"/>
      <w:marRight w:val="0"/>
      <w:marTop w:val="0"/>
      <w:marBottom w:val="0"/>
      <w:divBdr>
        <w:top w:val="none" w:sz="0" w:space="0" w:color="auto"/>
        <w:left w:val="none" w:sz="0" w:space="0" w:color="auto"/>
        <w:bottom w:val="none" w:sz="0" w:space="0" w:color="auto"/>
        <w:right w:val="none" w:sz="0" w:space="0" w:color="auto"/>
      </w:divBdr>
    </w:div>
    <w:div w:id="1058674714">
      <w:bodyDiv w:val="1"/>
      <w:marLeft w:val="0"/>
      <w:marRight w:val="0"/>
      <w:marTop w:val="0"/>
      <w:marBottom w:val="0"/>
      <w:divBdr>
        <w:top w:val="none" w:sz="0" w:space="0" w:color="auto"/>
        <w:left w:val="none" w:sz="0" w:space="0" w:color="auto"/>
        <w:bottom w:val="none" w:sz="0" w:space="0" w:color="auto"/>
        <w:right w:val="none" w:sz="0" w:space="0" w:color="auto"/>
      </w:divBdr>
    </w:div>
    <w:div w:id="1062411061">
      <w:bodyDiv w:val="1"/>
      <w:marLeft w:val="0"/>
      <w:marRight w:val="0"/>
      <w:marTop w:val="0"/>
      <w:marBottom w:val="0"/>
      <w:divBdr>
        <w:top w:val="none" w:sz="0" w:space="0" w:color="auto"/>
        <w:left w:val="none" w:sz="0" w:space="0" w:color="auto"/>
        <w:bottom w:val="none" w:sz="0" w:space="0" w:color="auto"/>
        <w:right w:val="none" w:sz="0" w:space="0" w:color="auto"/>
      </w:divBdr>
    </w:div>
    <w:div w:id="1121534748">
      <w:bodyDiv w:val="1"/>
      <w:marLeft w:val="0"/>
      <w:marRight w:val="0"/>
      <w:marTop w:val="0"/>
      <w:marBottom w:val="0"/>
      <w:divBdr>
        <w:top w:val="none" w:sz="0" w:space="0" w:color="auto"/>
        <w:left w:val="none" w:sz="0" w:space="0" w:color="auto"/>
        <w:bottom w:val="none" w:sz="0" w:space="0" w:color="auto"/>
        <w:right w:val="none" w:sz="0" w:space="0" w:color="auto"/>
      </w:divBdr>
      <w:divsChild>
        <w:div w:id="214397431">
          <w:marLeft w:val="0"/>
          <w:marRight w:val="0"/>
          <w:marTop w:val="0"/>
          <w:marBottom w:val="0"/>
          <w:divBdr>
            <w:top w:val="none" w:sz="0" w:space="0" w:color="auto"/>
            <w:left w:val="none" w:sz="0" w:space="0" w:color="auto"/>
            <w:bottom w:val="none" w:sz="0" w:space="0" w:color="auto"/>
            <w:right w:val="none" w:sz="0" w:space="0" w:color="auto"/>
          </w:divBdr>
          <w:divsChild>
            <w:div w:id="1522087633">
              <w:marLeft w:val="0"/>
              <w:marRight w:val="0"/>
              <w:marTop w:val="0"/>
              <w:marBottom w:val="0"/>
              <w:divBdr>
                <w:top w:val="none" w:sz="0" w:space="0" w:color="auto"/>
                <w:left w:val="none" w:sz="0" w:space="0" w:color="auto"/>
                <w:bottom w:val="none" w:sz="0" w:space="0" w:color="auto"/>
                <w:right w:val="none" w:sz="0" w:space="0" w:color="auto"/>
              </w:divBdr>
              <w:divsChild>
                <w:div w:id="1251238454">
                  <w:marLeft w:val="0"/>
                  <w:marRight w:val="0"/>
                  <w:marTop w:val="0"/>
                  <w:marBottom w:val="0"/>
                  <w:divBdr>
                    <w:top w:val="none" w:sz="0" w:space="0" w:color="auto"/>
                    <w:left w:val="none" w:sz="0" w:space="0" w:color="auto"/>
                    <w:bottom w:val="none" w:sz="0" w:space="0" w:color="auto"/>
                    <w:right w:val="none" w:sz="0" w:space="0" w:color="auto"/>
                  </w:divBdr>
                  <w:divsChild>
                    <w:div w:id="1462773257">
                      <w:marLeft w:val="0"/>
                      <w:marRight w:val="0"/>
                      <w:marTop w:val="0"/>
                      <w:marBottom w:val="0"/>
                      <w:divBdr>
                        <w:top w:val="none" w:sz="0" w:space="0" w:color="auto"/>
                        <w:left w:val="none" w:sz="0" w:space="0" w:color="auto"/>
                        <w:bottom w:val="none" w:sz="0" w:space="0" w:color="auto"/>
                        <w:right w:val="none" w:sz="0" w:space="0" w:color="auto"/>
                      </w:divBdr>
                      <w:divsChild>
                        <w:div w:id="1210385147">
                          <w:marLeft w:val="0"/>
                          <w:marRight w:val="0"/>
                          <w:marTop w:val="0"/>
                          <w:marBottom w:val="0"/>
                          <w:divBdr>
                            <w:top w:val="none" w:sz="0" w:space="0" w:color="auto"/>
                            <w:left w:val="none" w:sz="0" w:space="0" w:color="auto"/>
                            <w:bottom w:val="none" w:sz="0" w:space="0" w:color="auto"/>
                            <w:right w:val="none" w:sz="0" w:space="0" w:color="auto"/>
                          </w:divBdr>
                          <w:divsChild>
                            <w:div w:id="2102754448">
                              <w:marLeft w:val="0"/>
                              <w:marRight w:val="0"/>
                              <w:marTop w:val="0"/>
                              <w:marBottom w:val="0"/>
                              <w:divBdr>
                                <w:top w:val="none" w:sz="0" w:space="0" w:color="auto"/>
                                <w:left w:val="none" w:sz="0" w:space="0" w:color="auto"/>
                                <w:bottom w:val="none" w:sz="0" w:space="0" w:color="auto"/>
                                <w:right w:val="none" w:sz="0" w:space="0" w:color="auto"/>
                              </w:divBdr>
                              <w:divsChild>
                                <w:div w:id="338041471">
                                  <w:marLeft w:val="0"/>
                                  <w:marRight w:val="0"/>
                                  <w:marTop w:val="0"/>
                                  <w:marBottom w:val="0"/>
                                  <w:divBdr>
                                    <w:top w:val="none" w:sz="0" w:space="0" w:color="auto"/>
                                    <w:left w:val="none" w:sz="0" w:space="0" w:color="auto"/>
                                    <w:bottom w:val="none" w:sz="0" w:space="0" w:color="auto"/>
                                    <w:right w:val="none" w:sz="0" w:space="0" w:color="auto"/>
                                  </w:divBdr>
                                  <w:divsChild>
                                    <w:div w:id="15351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391478">
      <w:bodyDiv w:val="1"/>
      <w:marLeft w:val="0"/>
      <w:marRight w:val="0"/>
      <w:marTop w:val="0"/>
      <w:marBottom w:val="0"/>
      <w:divBdr>
        <w:top w:val="none" w:sz="0" w:space="0" w:color="auto"/>
        <w:left w:val="none" w:sz="0" w:space="0" w:color="auto"/>
        <w:bottom w:val="none" w:sz="0" w:space="0" w:color="auto"/>
        <w:right w:val="none" w:sz="0" w:space="0" w:color="auto"/>
      </w:divBdr>
    </w:div>
    <w:div w:id="1136601137">
      <w:bodyDiv w:val="1"/>
      <w:marLeft w:val="0"/>
      <w:marRight w:val="0"/>
      <w:marTop w:val="0"/>
      <w:marBottom w:val="0"/>
      <w:divBdr>
        <w:top w:val="none" w:sz="0" w:space="0" w:color="auto"/>
        <w:left w:val="none" w:sz="0" w:space="0" w:color="auto"/>
        <w:bottom w:val="none" w:sz="0" w:space="0" w:color="auto"/>
        <w:right w:val="none" w:sz="0" w:space="0" w:color="auto"/>
      </w:divBdr>
    </w:div>
    <w:div w:id="1143305527">
      <w:bodyDiv w:val="1"/>
      <w:marLeft w:val="0"/>
      <w:marRight w:val="0"/>
      <w:marTop w:val="0"/>
      <w:marBottom w:val="0"/>
      <w:divBdr>
        <w:top w:val="none" w:sz="0" w:space="0" w:color="auto"/>
        <w:left w:val="none" w:sz="0" w:space="0" w:color="auto"/>
        <w:bottom w:val="none" w:sz="0" w:space="0" w:color="auto"/>
        <w:right w:val="none" w:sz="0" w:space="0" w:color="auto"/>
      </w:divBdr>
    </w:div>
    <w:div w:id="1165585267">
      <w:bodyDiv w:val="1"/>
      <w:marLeft w:val="0"/>
      <w:marRight w:val="0"/>
      <w:marTop w:val="0"/>
      <w:marBottom w:val="0"/>
      <w:divBdr>
        <w:top w:val="none" w:sz="0" w:space="0" w:color="auto"/>
        <w:left w:val="none" w:sz="0" w:space="0" w:color="auto"/>
        <w:bottom w:val="none" w:sz="0" w:space="0" w:color="auto"/>
        <w:right w:val="none" w:sz="0" w:space="0" w:color="auto"/>
      </w:divBdr>
    </w:div>
    <w:div w:id="1289165664">
      <w:bodyDiv w:val="1"/>
      <w:marLeft w:val="0"/>
      <w:marRight w:val="0"/>
      <w:marTop w:val="0"/>
      <w:marBottom w:val="0"/>
      <w:divBdr>
        <w:top w:val="none" w:sz="0" w:space="0" w:color="auto"/>
        <w:left w:val="none" w:sz="0" w:space="0" w:color="auto"/>
        <w:bottom w:val="none" w:sz="0" w:space="0" w:color="auto"/>
        <w:right w:val="none" w:sz="0" w:space="0" w:color="auto"/>
      </w:divBdr>
    </w:div>
    <w:div w:id="1306547302">
      <w:bodyDiv w:val="1"/>
      <w:marLeft w:val="0"/>
      <w:marRight w:val="0"/>
      <w:marTop w:val="0"/>
      <w:marBottom w:val="0"/>
      <w:divBdr>
        <w:top w:val="none" w:sz="0" w:space="0" w:color="auto"/>
        <w:left w:val="none" w:sz="0" w:space="0" w:color="auto"/>
        <w:bottom w:val="none" w:sz="0" w:space="0" w:color="auto"/>
        <w:right w:val="none" w:sz="0" w:space="0" w:color="auto"/>
      </w:divBdr>
    </w:div>
    <w:div w:id="1312829188">
      <w:bodyDiv w:val="1"/>
      <w:marLeft w:val="0"/>
      <w:marRight w:val="0"/>
      <w:marTop w:val="0"/>
      <w:marBottom w:val="0"/>
      <w:divBdr>
        <w:top w:val="none" w:sz="0" w:space="0" w:color="auto"/>
        <w:left w:val="none" w:sz="0" w:space="0" w:color="auto"/>
        <w:bottom w:val="none" w:sz="0" w:space="0" w:color="auto"/>
        <w:right w:val="none" w:sz="0" w:space="0" w:color="auto"/>
      </w:divBdr>
      <w:divsChild>
        <w:div w:id="1238051942">
          <w:marLeft w:val="0"/>
          <w:marRight w:val="0"/>
          <w:marTop w:val="0"/>
          <w:marBottom w:val="0"/>
          <w:divBdr>
            <w:top w:val="none" w:sz="0" w:space="0" w:color="auto"/>
            <w:left w:val="none" w:sz="0" w:space="0" w:color="auto"/>
            <w:bottom w:val="none" w:sz="0" w:space="0" w:color="auto"/>
            <w:right w:val="none" w:sz="0" w:space="0" w:color="auto"/>
          </w:divBdr>
          <w:divsChild>
            <w:div w:id="1375427512">
              <w:marLeft w:val="0"/>
              <w:marRight w:val="0"/>
              <w:marTop w:val="0"/>
              <w:marBottom w:val="0"/>
              <w:divBdr>
                <w:top w:val="none" w:sz="0" w:space="0" w:color="auto"/>
                <w:left w:val="none" w:sz="0" w:space="0" w:color="auto"/>
                <w:bottom w:val="none" w:sz="0" w:space="0" w:color="auto"/>
                <w:right w:val="none" w:sz="0" w:space="0" w:color="auto"/>
              </w:divBdr>
              <w:divsChild>
                <w:div w:id="1034648493">
                  <w:marLeft w:val="0"/>
                  <w:marRight w:val="0"/>
                  <w:marTop w:val="0"/>
                  <w:marBottom w:val="0"/>
                  <w:divBdr>
                    <w:top w:val="none" w:sz="0" w:space="0" w:color="auto"/>
                    <w:left w:val="none" w:sz="0" w:space="0" w:color="auto"/>
                    <w:bottom w:val="none" w:sz="0" w:space="0" w:color="auto"/>
                    <w:right w:val="none" w:sz="0" w:space="0" w:color="auto"/>
                  </w:divBdr>
                  <w:divsChild>
                    <w:div w:id="212926926">
                      <w:marLeft w:val="0"/>
                      <w:marRight w:val="0"/>
                      <w:marTop w:val="0"/>
                      <w:marBottom w:val="0"/>
                      <w:divBdr>
                        <w:top w:val="none" w:sz="0" w:space="0" w:color="auto"/>
                        <w:left w:val="none" w:sz="0" w:space="0" w:color="auto"/>
                        <w:bottom w:val="none" w:sz="0" w:space="0" w:color="auto"/>
                        <w:right w:val="none" w:sz="0" w:space="0" w:color="auto"/>
                      </w:divBdr>
                      <w:divsChild>
                        <w:div w:id="1379670031">
                          <w:marLeft w:val="0"/>
                          <w:marRight w:val="0"/>
                          <w:marTop w:val="0"/>
                          <w:marBottom w:val="0"/>
                          <w:divBdr>
                            <w:top w:val="none" w:sz="0" w:space="0" w:color="auto"/>
                            <w:left w:val="none" w:sz="0" w:space="0" w:color="auto"/>
                            <w:bottom w:val="none" w:sz="0" w:space="0" w:color="auto"/>
                            <w:right w:val="none" w:sz="0" w:space="0" w:color="auto"/>
                          </w:divBdr>
                          <w:divsChild>
                            <w:div w:id="67459170">
                              <w:marLeft w:val="0"/>
                              <w:marRight w:val="0"/>
                              <w:marTop w:val="0"/>
                              <w:marBottom w:val="0"/>
                              <w:divBdr>
                                <w:top w:val="none" w:sz="0" w:space="0" w:color="auto"/>
                                <w:left w:val="none" w:sz="0" w:space="0" w:color="auto"/>
                                <w:bottom w:val="none" w:sz="0" w:space="0" w:color="auto"/>
                                <w:right w:val="none" w:sz="0" w:space="0" w:color="auto"/>
                              </w:divBdr>
                              <w:divsChild>
                                <w:div w:id="156111743">
                                  <w:marLeft w:val="0"/>
                                  <w:marRight w:val="0"/>
                                  <w:marTop w:val="0"/>
                                  <w:marBottom w:val="0"/>
                                  <w:divBdr>
                                    <w:top w:val="none" w:sz="0" w:space="0" w:color="auto"/>
                                    <w:left w:val="none" w:sz="0" w:space="0" w:color="auto"/>
                                    <w:bottom w:val="none" w:sz="0" w:space="0" w:color="auto"/>
                                    <w:right w:val="none" w:sz="0" w:space="0" w:color="auto"/>
                                  </w:divBdr>
                                  <w:divsChild>
                                    <w:div w:id="15538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883103">
      <w:bodyDiv w:val="1"/>
      <w:marLeft w:val="0"/>
      <w:marRight w:val="0"/>
      <w:marTop w:val="0"/>
      <w:marBottom w:val="0"/>
      <w:divBdr>
        <w:top w:val="none" w:sz="0" w:space="0" w:color="auto"/>
        <w:left w:val="none" w:sz="0" w:space="0" w:color="auto"/>
        <w:bottom w:val="none" w:sz="0" w:space="0" w:color="auto"/>
        <w:right w:val="none" w:sz="0" w:space="0" w:color="auto"/>
      </w:divBdr>
    </w:div>
    <w:div w:id="1340619496">
      <w:bodyDiv w:val="1"/>
      <w:marLeft w:val="0"/>
      <w:marRight w:val="0"/>
      <w:marTop w:val="0"/>
      <w:marBottom w:val="0"/>
      <w:divBdr>
        <w:top w:val="none" w:sz="0" w:space="0" w:color="auto"/>
        <w:left w:val="none" w:sz="0" w:space="0" w:color="auto"/>
        <w:bottom w:val="none" w:sz="0" w:space="0" w:color="auto"/>
        <w:right w:val="none" w:sz="0" w:space="0" w:color="auto"/>
      </w:divBdr>
    </w:div>
    <w:div w:id="1357850272">
      <w:bodyDiv w:val="1"/>
      <w:marLeft w:val="0"/>
      <w:marRight w:val="0"/>
      <w:marTop w:val="0"/>
      <w:marBottom w:val="0"/>
      <w:divBdr>
        <w:top w:val="none" w:sz="0" w:space="0" w:color="auto"/>
        <w:left w:val="none" w:sz="0" w:space="0" w:color="auto"/>
        <w:bottom w:val="none" w:sz="0" w:space="0" w:color="auto"/>
        <w:right w:val="none" w:sz="0" w:space="0" w:color="auto"/>
      </w:divBdr>
    </w:div>
    <w:div w:id="1452280530">
      <w:bodyDiv w:val="1"/>
      <w:marLeft w:val="0"/>
      <w:marRight w:val="0"/>
      <w:marTop w:val="0"/>
      <w:marBottom w:val="0"/>
      <w:divBdr>
        <w:top w:val="none" w:sz="0" w:space="0" w:color="auto"/>
        <w:left w:val="none" w:sz="0" w:space="0" w:color="auto"/>
        <w:bottom w:val="none" w:sz="0" w:space="0" w:color="auto"/>
        <w:right w:val="none" w:sz="0" w:space="0" w:color="auto"/>
      </w:divBdr>
    </w:div>
    <w:div w:id="1465928759">
      <w:bodyDiv w:val="1"/>
      <w:marLeft w:val="0"/>
      <w:marRight w:val="0"/>
      <w:marTop w:val="0"/>
      <w:marBottom w:val="0"/>
      <w:divBdr>
        <w:top w:val="none" w:sz="0" w:space="0" w:color="auto"/>
        <w:left w:val="none" w:sz="0" w:space="0" w:color="auto"/>
        <w:bottom w:val="none" w:sz="0" w:space="0" w:color="auto"/>
        <w:right w:val="none" w:sz="0" w:space="0" w:color="auto"/>
      </w:divBdr>
    </w:div>
    <w:div w:id="1519925974">
      <w:bodyDiv w:val="1"/>
      <w:marLeft w:val="0"/>
      <w:marRight w:val="0"/>
      <w:marTop w:val="0"/>
      <w:marBottom w:val="0"/>
      <w:divBdr>
        <w:top w:val="none" w:sz="0" w:space="0" w:color="auto"/>
        <w:left w:val="none" w:sz="0" w:space="0" w:color="auto"/>
        <w:bottom w:val="none" w:sz="0" w:space="0" w:color="auto"/>
        <w:right w:val="none" w:sz="0" w:space="0" w:color="auto"/>
      </w:divBdr>
    </w:div>
    <w:div w:id="1559710249">
      <w:bodyDiv w:val="1"/>
      <w:marLeft w:val="0"/>
      <w:marRight w:val="0"/>
      <w:marTop w:val="0"/>
      <w:marBottom w:val="0"/>
      <w:divBdr>
        <w:top w:val="none" w:sz="0" w:space="0" w:color="auto"/>
        <w:left w:val="none" w:sz="0" w:space="0" w:color="auto"/>
        <w:bottom w:val="none" w:sz="0" w:space="0" w:color="auto"/>
        <w:right w:val="none" w:sz="0" w:space="0" w:color="auto"/>
      </w:divBdr>
    </w:div>
    <w:div w:id="1563322758">
      <w:bodyDiv w:val="1"/>
      <w:marLeft w:val="0"/>
      <w:marRight w:val="0"/>
      <w:marTop w:val="0"/>
      <w:marBottom w:val="0"/>
      <w:divBdr>
        <w:top w:val="none" w:sz="0" w:space="0" w:color="auto"/>
        <w:left w:val="none" w:sz="0" w:space="0" w:color="auto"/>
        <w:bottom w:val="none" w:sz="0" w:space="0" w:color="auto"/>
        <w:right w:val="none" w:sz="0" w:space="0" w:color="auto"/>
      </w:divBdr>
    </w:div>
    <w:div w:id="1569461282">
      <w:bodyDiv w:val="1"/>
      <w:marLeft w:val="0"/>
      <w:marRight w:val="0"/>
      <w:marTop w:val="0"/>
      <w:marBottom w:val="0"/>
      <w:divBdr>
        <w:top w:val="none" w:sz="0" w:space="0" w:color="auto"/>
        <w:left w:val="none" w:sz="0" w:space="0" w:color="auto"/>
        <w:bottom w:val="none" w:sz="0" w:space="0" w:color="auto"/>
        <w:right w:val="none" w:sz="0" w:space="0" w:color="auto"/>
      </w:divBdr>
    </w:div>
    <w:div w:id="1607880924">
      <w:bodyDiv w:val="1"/>
      <w:marLeft w:val="0"/>
      <w:marRight w:val="0"/>
      <w:marTop w:val="0"/>
      <w:marBottom w:val="0"/>
      <w:divBdr>
        <w:top w:val="none" w:sz="0" w:space="0" w:color="auto"/>
        <w:left w:val="none" w:sz="0" w:space="0" w:color="auto"/>
        <w:bottom w:val="none" w:sz="0" w:space="0" w:color="auto"/>
        <w:right w:val="none" w:sz="0" w:space="0" w:color="auto"/>
      </w:divBdr>
    </w:div>
    <w:div w:id="1648703127">
      <w:bodyDiv w:val="1"/>
      <w:marLeft w:val="0"/>
      <w:marRight w:val="0"/>
      <w:marTop w:val="0"/>
      <w:marBottom w:val="0"/>
      <w:divBdr>
        <w:top w:val="none" w:sz="0" w:space="0" w:color="auto"/>
        <w:left w:val="none" w:sz="0" w:space="0" w:color="auto"/>
        <w:bottom w:val="none" w:sz="0" w:space="0" w:color="auto"/>
        <w:right w:val="none" w:sz="0" w:space="0" w:color="auto"/>
      </w:divBdr>
    </w:div>
    <w:div w:id="1656295300">
      <w:bodyDiv w:val="1"/>
      <w:marLeft w:val="0"/>
      <w:marRight w:val="0"/>
      <w:marTop w:val="0"/>
      <w:marBottom w:val="0"/>
      <w:divBdr>
        <w:top w:val="none" w:sz="0" w:space="0" w:color="auto"/>
        <w:left w:val="none" w:sz="0" w:space="0" w:color="auto"/>
        <w:bottom w:val="none" w:sz="0" w:space="0" w:color="auto"/>
        <w:right w:val="none" w:sz="0" w:space="0" w:color="auto"/>
      </w:divBdr>
    </w:div>
    <w:div w:id="1721897247">
      <w:bodyDiv w:val="1"/>
      <w:marLeft w:val="0"/>
      <w:marRight w:val="0"/>
      <w:marTop w:val="0"/>
      <w:marBottom w:val="0"/>
      <w:divBdr>
        <w:top w:val="none" w:sz="0" w:space="0" w:color="auto"/>
        <w:left w:val="none" w:sz="0" w:space="0" w:color="auto"/>
        <w:bottom w:val="none" w:sz="0" w:space="0" w:color="auto"/>
        <w:right w:val="none" w:sz="0" w:space="0" w:color="auto"/>
      </w:divBdr>
    </w:div>
    <w:div w:id="1726370955">
      <w:bodyDiv w:val="1"/>
      <w:marLeft w:val="0"/>
      <w:marRight w:val="0"/>
      <w:marTop w:val="0"/>
      <w:marBottom w:val="0"/>
      <w:divBdr>
        <w:top w:val="none" w:sz="0" w:space="0" w:color="auto"/>
        <w:left w:val="none" w:sz="0" w:space="0" w:color="auto"/>
        <w:bottom w:val="none" w:sz="0" w:space="0" w:color="auto"/>
        <w:right w:val="none" w:sz="0" w:space="0" w:color="auto"/>
      </w:divBdr>
    </w:div>
    <w:div w:id="1728531926">
      <w:bodyDiv w:val="1"/>
      <w:marLeft w:val="0"/>
      <w:marRight w:val="0"/>
      <w:marTop w:val="0"/>
      <w:marBottom w:val="0"/>
      <w:divBdr>
        <w:top w:val="none" w:sz="0" w:space="0" w:color="auto"/>
        <w:left w:val="none" w:sz="0" w:space="0" w:color="auto"/>
        <w:bottom w:val="none" w:sz="0" w:space="0" w:color="auto"/>
        <w:right w:val="none" w:sz="0" w:space="0" w:color="auto"/>
      </w:divBdr>
    </w:div>
    <w:div w:id="1730880786">
      <w:bodyDiv w:val="1"/>
      <w:marLeft w:val="0"/>
      <w:marRight w:val="0"/>
      <w:marTop w:val="0"/>
      <w:marBottom w:val="0"/>
      <w:divBdr>
        <w:top w:val="none" w:sz="0" w:space="0" w:color="auto"/>
        <w:left w:val="none" w:sz="0" w:space="0" w:color="auto"/>
        <w:bottom w:val="none" w:sz="0" w:space="0" w:color="auto"/>
        <w:right w:val="none" w:sz="0" w:space="0" w:color="auto"/>
      </w:divBdr>
    </w:div>
    <w:div w:id="1738550347">
      <w:bodyDiv w:val="1"/>
      <w:marLeft w:val="0"/>
      <w:marRight w:val="0"/>
      <w:marTop w:val="0"/>
      <w:marBottom w:val="0"/>
      <w:divBdr>
        <w:top w:val="none" w:sz="0" w:space="0" w:color="auto"/>
        <w:left w:val="none" w:sz="0" w:space="0" w:color="auto"/>
        <w:bottom w:val="none" w:sz="0" w:space="0" w:color="auto"/>
        <w:right w:val="none" w:sz="0" w:space="0" w:color="auto"/>
      </w:divBdr>
    </w:div>
    <w:div w:id="1761945812">
      <w:bodyDiv w:val="1"/>
      <w:marLeft w:val="0"/>
      <w:marRight w:val="0"/>
      <w:marTop w:val="0"/>
      <w:marBottom w:val="0"/>
      <w:divBdr>
        <w:top w:val="none" w:sz="0" w:space="0" w:color="auto"/>
        <w:left w:val="none" w:sz="0" w:space="0" w:color="auto"/>
        <w:bottom w:val="none" w:sz="0" w:space="0" w:color="auto"/>
        <w:right w:val="none" w:sz="0" w:space="0" w:color="auto"/>
      </w:divBdr>
    </w:div>
    <w:div w:id="1830436165">
      <w:bodyDiv w:val="1"/>
      <w:marLeft w:val="0"/>
      <w:marRight w:val="0"/>
      <w:marTop w:val="0"/>
      <w:marBottom w:val="0"/>
      <w:divBdr>
        <w:top w:val="none" w:sz="0" w:space="0" w:color="auto"/>
        <w:left w:val="none" w:sz="0" w:space="0" w:color="auto"/>
        <w:bottom w:val="none" w:sz="0" w:space="0" w:color="auto"/>
        <w:right w:val="none" w:sz="0" w:space="0" w:color="auto"/>
      </w:divBdr>
    </w:div>
    <w:div w:id="1840852812">
      <w:bodyDiv w:val="1"/>
      <w:marLeft w:val="0"/>
      <w:marRight w:val="0"/>
      <w:marTop w:val="0"/>
      <w:marBottom w:val="0"/>
      <w:divBdr>
        <w:top w:val="none" w:sz="0" w:space="0" w:color="auto"/>
        <w:left w:val="none" w:sz="0" w:space="0" w:color="auto"/>
        <w:bottom w:val="none" w:sz="0" w:space="0" w:color="auto"/>
        <w:right w:val="none" w:sz="0" w:space="0" w:color="auto"/>
      </w:divBdr>
    </w:div>
    <w:div w:id="1850487421">
      <w:bodyDiv w:val="1"/>
      <w:marLeft w:val="0"/>
      <w:marRight w:val="0"/>
      <w:marTop w:val="0"/>
      <w:marBottom w:val="0"/>
      <w:divBdr>
        <w:top w:val="none" w:sz="0" w:space="0" w:color="auto"/>
        <w:left w:val="none" w:sz="0" w:space="0" w:color="auto"/>
        <w:bottom w:val="none" w:sz="0" w:space="0" w:color="auto"/>
        <w:right w:val="none" w:sz="0" w:space="0" w:color="auto"/>
      </w:divBdr>
    </w:div>
    <w:div w:id="1863779368">
      <w:bodyDiv w:val="1"/>
      <w:marLeft w:val="0"/>
      <w:marRight w:val="0"/>
      <w:marTop w:val="0"/>
      <w:marBottom w:val="0"/>
      <w:divBdr>
        <w:top w:val="none" w:sz="0" w:space="0" w:color="auto"/>
        <w:left w:val="none" w:sz="0" w:space="0" w:color="auto"/>
        <w:bottom w:val="none" w:sz="0" w:space="0" w:color="auto"/>
        <w:right w:val="none" w:sz="0" w:space="0" w:color="auto"/>
      </w:divBdr>
    </w:div>
    <w:div w:id="1969236455">
      <w:bodyDiv w:val="1"/>
      <w:marLeft w:val="0"/>
      <w:marRight w:val="0"/>
      <w:marTop w:val="0"/>
      <w:marBottom w:val="0"/>
      <w:divBdr>
        <w:top w:val="none" w:sz="0" w:space="0" w:color="auto"/>
        <w:left w:val="none" w:sz="0" w:space="0" w:color="auto"/>
        <w:bottom w:val="none" w:sz="0" w:space="0" w:color="auto"/>
        <w:right w:val="none" w:sz="0" w:space="0" w:color="auto"/>
      </w:divBdr>
    </w:div>
    <w:div w:id="2012177187">
      <w:bodyDiv w:val="1"/>
      <w:marLeft w:val="0"/>
      <w:marRight w:val="0"/>
      <w:marTop w:val="0"/>
      <w:marBottom w:val="0"/>
      <w:divBdr>
        <w:top w:val="none" w:sz="0" w:space="0" w:color="auto"/>
        <w:left w:val="none" w:sz="0" w:space="0" w:color="auto"/>
        <w:bottom w:val="none" w:sz="0" w:space="0" w:color="auto"/>
        <w:right w:val="none" w:sz="0" w:space="0" w:color="auto"/>
      </w:divBdr>
    </w:div>
    <w:div w:id="2050058745">
      <w:bodyDiv w:val="1"/>
      <w:marLeft w:val="0"/>
      <w:marRight w:val="0"/>
      <w:marTop w:val="0"/>
      <w:marBottom w:val="0"/>
      <w:divBdr>
        <w:top w:val="none" w:sz="0" w:space="0" w:color="auto"/>
        <w:left w:val="none" w:sz="0" w:space="0" w:color="auto"/>
        <w:bottom w:val="none" w:sz="0" w:space="0" w:color="auto"/>
        <w:right w:val="none" w:sz="0" w:space="0" w:color="auto"/>
      </w:divBdr>
    </w:div>
    <w:div w:id="209335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1C20F-24A2-4C2C-BA52-03BD2653B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18</Pages>
  <Words>29085</Words>
  <Characters>16579</Characters>
  <Application>Microsoft Office Word</Application>
  <DocSecurity>0</DocSecurity>
  <Lines>138</Lines>
  <Paragraphs>91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5</cp:revision>
  <cp:lastPrinted>2026-05-26T08:16:00Z</cp:lastPrinted>
  <dcterms:created xsi:type="dcterms:W3CDTF">2026-05-26T13:14:00Z</dcterms:created>
  <dcterms:modified xsi:type="dcterms:W3CDTF">2026-05-27T14:37:00Z</dcterms:modified>
</cp:coreProperties>
</file>