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60E46" w14:textId="13C211C7" w:rsidR="00D42918" w:rsidRPr="00D42918" w:rsidRDefault="00D42918" w:rsidP="00830BDC">
      <w:pPr>
        <w:pStyle w:val="1"/>
        <w:jc w:val="center"/>
        <w:rPr>
          <w:b/>
          <w:bCs/>
          <w:lang w:val="ru-RU"/>
        </w:rPr>
        <w:spacing w:before="120" w:after="0" w:line="276" w:lineRule="auto"/>
      </w:pPr>
      <w:r w:rsidRPr="00D42918">
        <w:rPr>
          <w:rFonts w:ascii="Cambria" w:hAnsi="Cambria"/>
          <w:b/>
          <w:bCs/>
          <w:color w:val="000000"/>
          <w:sz w:val="22"/>
          <w:lang w:val="ru-RU"/>
        </w:rPr>
        <w:t>NOTE D'INFORMATION</w:t>
        <w:br/>
        <w:t>relative à l'activité de l'Équipe commune d'enquête (ÉCI / JIT) et à l'exploitation des pièces recueillies</w:t>
      </w:r>
      <w:r w:rsidR="00830BDC">
        <w:rPr>
          <w:rFonts w:ascii="Cambria" w:hAnsi="Cambria"/>
          <w:b/>
          <w:bCs/>
          <w:color w:val="000000"/>
          <w:sz w:val="22"/>
          <w:lang w:val="ru-RU"/>
        </w:rPr>
      </w:r>
      <w:r w:rsidRPr="00D42918">
        <w:rPr>
          <w:rFonts w:ascii="Cambria" w:hAnsi="Cambria"/>
          <w:b/>
          <w:bCs/>
          <w:color w:val="000000"/>
          <w:sz w:val="22"/>
          <w:lang w:val="ru-RU"/>
        </w:rPr>
      </w:r>
    </w:p>
    <w:p w14:paraId="1B920288" w14:textId="77777777" w:rsidR="00D42918" w:rsidRPr="00D42918" w:rsidRDefault="00D42918" w:rsidP="00D42918">
      <w:pPr>
        <w:pStyle w:val="1"/>
        <w:rPr>
          <w:b/>
          <w:bCs/>
          <w:lang w:val="ru-RU"/>
        </w:rPr>
        <w:spacing w:before="120" w:after="0" w:line="276" w:lineRule="auto"/>
      </w:pPr>
    </w:p>
    <w:p w14:paraId="3493C2DE" w14:textId="2C797EBE" w:rsidR="00D42918" w:rsidRPr="00D42918" w:rsidRDefault="00D42918" w:rsidP="005263AC">
      <w:pPr>
        <w:pStyle w:val="1"/>
        <w:numPr>
          <w:ilvl w:val="0"/>
          <w:numId w:val="6"/>
        </w:numPr>
        <w:ind w:left="0" w:hanging="567"/>
        <w:jc w:val="left"/>
        <w:rPr>
          <w:b/>
          <w:bCs/>
          <w:lang w:val="ru-RU"/>
        </w:rPr>
        <w:spacing w:before="120" w:after="0" w:line="276" w:lineRule="auto"/>
      </w:pPr>
      <w:r w:rsidRPr="00D42918">
        <w:rPr>
          <w:rFonts w:ascii="Cambria" w:hAnsi="Cambria"/>
          <w:b/>
          <w:bCs/>
          <w:color w:val="000000"/>
          <w:sz w:val="22"/>
          <w:lang w:val="ru-RU"/>
        </w:rPr>
        <w:t>Constitution et durée d'activité de l'Équipe commune d'enquête (ÉCI / JIT)</w:t>
      </w:r>
    </w:p>
    <w:p w14:paraId="18D1C40E" w14:textId="06AE5B31" w:rsidR="00D42918" w:rsidRPr="00D42918" w:rsidRDefault="00D42918" w:rsidP="00D42918">
      <w:pPr>
        <w:pStyle w:val="1"/>
        <w:numPr>
          <w:ilvl w:val="1"/>
          <w:numId w:val="6"/>
        </w:numPr>
        <w:ind w:left="0" w:hanging="567"/>
        <w:jc w:val="both"/>
        <w:rPr>
          <w:lang w:val="ru-RU"/>
        </w:rPr>
        <w:spacing w:before="120" w:after="0" w:line="276" w:lineRule="auto"/>
      </w:pPr>
      <w:r w:rsidRPr="00D42918">
        <w:rPr>
          <w:rFonts w:ascii="Cambria" w:hAnsi="Cambria"/>
          <w:color w:val="000000"/>
          <w:sz w:val="22"/>
          <w:lang w:val="ru-RU"/>
        </w:rPr>
        <w:t>Entre l'Ukraine, représentée par le Bureau du Procureur général, et la République française, représentée par le Tribunal judiciaire de Paris, a été conclu l'Accord portant création d'une équipe commune d'enquête (ÉCI / JIT) en date du 24 janvier 2024, assorti de ses annexes n° 1–2.</w:t>
      </w:r>
    </w:p>
    <w:p w14:paraId="425B079B" w14:textId="77777777" w:rsidR="00D42918" w:rsidRPr="00D42918" w:rsidRDefault="00D42918" w:rsidP="00D42918">
      <w:pPr>
        <w:pStyle w:val="1"/>
        <w:jc w:val="both"/>
        <w:rPr>
          <w:lang w:val="ru-RU"/>
        </w:rPr>
        <w:spacing w:before="120" w:after="0" w:line="276" w:lineRule="auto"/>
      </w:pPr>
      <w:r w:rsidRPr="00D42918">
        <w:rPr>
          <w:rFonts w:ascii="Cambria" w:hAnsi="Cambria"/>
          <w:color w:val="000000"/>
          <w:sz w:val="22"/>
          <w:lang w:val="ru-RU"/>
        </w:rPr>
        <w:t>L'Accord a été signé :</w:t>
      </w:r>
    </w:p>
    <w:p w14:paraId="393F99D4" w14:textId="0E2AA9FD" w:rsidR="00D42918" w:rsidRPr="00D42918" w:rsidRDefault="00D42918" w:rsidP="00D42918">
      <w:pPr>
        <w:pStyle w:val="1"/>
        <w:numPr>
          <w:ilvl w:val="0"/>
          <w:numId w:val="1"/>
        </w:numPr>
        <w:tabs>
          <w:tab w:val="clear" w:pos="720"/>
          <w:tab w:val="num" w:pos="142"/>
        </w:tabs>
        <w:ind w:left="567" w:hanging="425"/>
        <w:jc w:val="both"/>
        <w:rPr>
          <w:lang w:val="ru-RU"/>
        </w:rPr>
        <w:spacing w:before="120" w:after="0" w:line="276" w:lineRule="auto"/>
      </w:pPr>
      <w:r w:rsidRPr="00D42918">
        <w:rPr>
          <w:rFonts w:ascii="Cambria" w:hAnsi="Cambria"/>
          <w:color w:val="000000"/>
          <w:sz w:val="22"/>
          <w:lang w:val="ru-RU"/>
        </w:rPr>
        <w:t>le 24 janvier 2024 pour l'Ukraine — par le Procureur général A. Kostin ;</w:t>
      </w:r>
      <w:r w:rsidRPr="00D42918">
        <w:rPr>
          <w:rFonts w:ascii="Cambria" w:hAnsi="Cambria"/>
          <w:color w:val="000000"/>
          <w:sz w:val="22"/>
          <w:lang w:val="ru-RU"/>
        </w:rPr>
      </w:r>
      <w:r w:rsidRPr="00D42918">
        <w:rPr>
          <w:rFonts w:ascii="Cambria" w:hAnsi="Cambria"/>
          <w:color w:val="000000"/>
          <w:sz w:val="22"/>
          <w:lang w:val="ru-RU"/>
        </w:rPr>
      </w:r>
    </w:p>
    <w:p w14:paraId="57FD2FA8" w14:textId="3380D39D" w:rsidR="00D42918" w:rsidRPr="00D42918" w:rsidRDefault="00D42918" w:rsidP="00D42918">
      <w:pPr>
        <w:pStyle w:val="1"/>
        <w:numPr>
          <w:ilvl w:val="0"/>
          <w:numId w:val="1"/>
        </w:numPr>
        <w:tabs>
          <w:tab w:val="clear" w:pos="720"/>
          <w:tab w:val="num" w:pos="142"/>
        </w:tabs>
        <w:ind w:left="567" w:hanging="425"/>
        <w:jc w:val="both"/>
        <w:rPr>
          <w:lang w:val="ru-RU"/>
        </w:rPr>
        <w:spacing w:before="120" w:after="0" w:line="276" w:lineRule="auto"/>
      </w:pPr>
      <w:r w:rsidRPr="00D42918">
        <w:rPr>
          <w:rFonts w:ascii="Cambria" w:hAnsi="Cambria"/>
          <w:color w:val="000000"/>
          <w:sz w:val="22"/>
          <w:lang w:val="ru-RU"/>
        </w:rPr>
        <w:t>le 19 février 2024 pour la France — par la vice-procureure Karine Letour.</w:t>
      </w:r>
      <w:r w:rsidRPr="00D42918">
        <w:rPr>
          <w:rFonts w:ascii="Cambria" w:hAnsi="Cambria"/>
          <w:color w:val="000000"/>
          <w:sz w:val="22"/>
          <w:lang w:val="ru-RU"/>
        </w:rPr>
      </w:r>
      <w:r w:rsidRPr="00D42918">
        <w:rPr>
          <w:rFonts w:ascii="Cambria" w:hAnsi="Cambria"/>
          <w:color w:val="000000"/>
          <w:sz w:val="22"/>
          <w:lang w:val="ru-RU"/>
        </w:rPr>
      </w:r>
    </w:p>
    <w:p w14:paraId="0E1F264F" w14:textId="5E24F31E" w:rsidR="00D42918" w:rsidRPr="00D42918" w:rsidRDefault="00D42918" w:rsidP="00D42918">
      <w:pPr>
        <w:pStyle w:val="1"/>
        <w:jc w:val="both"/>
        <w:rPr>
          <w:lang w:val="ru-RU"/>
        </w:rPr>
        <w:spacing w:before="120" w:after="0" w:line="276" w:lineRule="auto"/>
      </w:pPr>
      <w:r w:rsidRPr="00D42918">
        <w:rPr>
          <w:rFonts w:ascii="Cambria" w:hAnsi="Cambria"/>
          <w:color w:val="000000"/>
          <w:sz w:val="22"/>
          <w:lang w:val="ru-RU"/>
        </w:rPr>
        <w:t>Les annexes n° 1–2 déterminent la composition de l'ÉCI pour l'Ukraine et la France. L'exemplaire versé au dossier de l'annexe n° 2 n'est pas signé.</w:t>
      </w:r>
    </w:p>
    <w:p w14:paraId="32E8C8F2" w14:textId="07EBAABF" w:rsidR="00D42918" w:rsidRPr="00D42918" w:rsidRDefault="00D42918" w:rsidP="00D42918">
      <w:pPr>
        <w:pStyle w:val="1"/>
        <w:numPr>
          <w:ilvl w:val="1"/>
          <w:numId w:val="6"/>
        </w:numPr>
        <w:ind w:left="0" w:hanging="567"/>
        <w:jc w:val="both"/>
        <w:rPr>
          <w:lang w:val="ru-RU"/>
        </w:rPr>
        <w:spacing w:before="120" w:after="0" w:line="276" w:lineRule="auto"/>
      </w:pPr>
      <w:r w:rsidRPr="00D42918">
        <w:rPr>
          <w:rFonts w:ascii="Cambria" w:hAnsi="Cambria"/>
          <w:color w:val="000000"/>
          <w:sz w:val="22"/>
          <w:lang w:val="ru-RU"/>
        </w:rPr>
        <w:t>En août 2024, la Principauté de Monaco, représentée par le Parquet général, a adhéré à l'ÉCI, adhésion formalisée par l'annexe n° 3 en date du 1er août 2024.</w:t>
      </w:r>
    </w:p>
    <w:p w14:paraId="2771CB86" w14:textId="77777777" w:rsidR="00D42918" w:rsidRPr="00D42918" w:rsidRDefault="00D42918" w:rsidP="00D42918">
      <w:pPr>
        <w:pStyle w:val="1"/>
        <w:jc w:val="both"/>
        <w:rPr>
          <w:lang w:val="ru-RU"/>
        </w:rPr>
        <w:spacing w:before="120" w:after="0" w:line="276" w:lineRule="auto"/>
      </w:pPr>
      <w:r w:rsidRPr="00D42918">
        <w:rPr>
          <w:rFonts w:ascii="Cambria" w:hAnsi="Cambria"/>
          <w:color w:val="000000"/>
          <w:sz w:val="22"/>
          <w:lang w:val="ru-RU"/>
        </w:rPr>
        <w:t>L'annexe n° 3 a été signée :</w:t>
      </w:r>
    </w:p>
    <w:p w14:paraId="5399A4D3" w14:textId="419F83B6" w:rsidR="00D42918" w:rsidRPr="00D42918" w:rsidRDefault="00D42918" w:rsidP="00D42918">
      <w:pPr>
        <w:pStyle w:val="1"/>
        <w:numPr>
          <w:ilvl w:val="0"/>
          <w:numId w:val="2"/>
        </w:numPr>
        <w:tabs>
          <w:tab w:val="clear" w:pos="720"/>
          <w:tab w:val="num" w:pos="142"/>
        </w:tabs>
        <w:ind w:left="567" w:hanging="425"/>
        <w:jc w:val="both"/>
        <w:rPr>
          <w:lang w:val="ru-RU"/>
        </w:rPr>
        <w:spacing w:before="120" w:after="0" w:line="276" w:lineRule="auto"/>
      </w:pPr>
      <w:r w:rsidRPr="00D42918">
        <w:rPr>
          <w:rFonts w:ascii="Cambria" w:hAnsi="Cambria"/>
          <w:color w:val="000000"/>
          <w:sz w:val="22"/>
          <w:lang w:val="ru-RU"/>
        </w:rPr>
        <w:t>le 1er août 2024 pour la France — par Karine Letour ;</w:t>
      </w:r>
      <w:r>
        <w:rPr>
          <w:rFonts w:ascii="Cambria" w:hAnsi="Cambria"/>
          <w:color w:val="000000"/>
          <w:sz w:val="22"/>
          <w:lang w:val="ru-RU"/>
        </w:rPr>
      </w:r>
      <w:r w:rsidRPr="00D42918">
        <w:rPr>
          <w:rFonts w:ascii="Cambria" w:hAnsi="Cambria"/>
          <w:color w:val="000000"/>
          <w:sz w:val="22"/>
          <w:lang w:val="ru-RU"/>
        </w:rPr>
      </w:r>
    </w:p>
    <w:p w14:paraId="485527FD" w14:textId="7322F462" w:rsidR="00D42918" w:rsidRPr="00D42918" w:rsidRDefault="00D42918" w:rsidP="00D42918">
      <w:pPr>
        <w:pStyle w:val="1"/>
        <w:numPr>
          <w:ilvl w:val="0"/>
          <w:numId w:val="2"/>
        </w:numPr>
        <w:tabs>
          <w:tab w:val="clear" w:pos="720"/>
          <w:tab w:val="num" w:pos="142"/>
        </w:tabs>
        <w:ind w:left="567" w:hanging="425"/>
        <w:jc w:val="both"/>
        <w:rPr>
          <w:lang w:val="ru-RU"/>
        </w:rPr>
        <w:spacing w:before="120" w:after="0" w:line="276" w:lineRule="auto"/>
      </w:pPr>
      <w:r w:rsidRPr="00D42918">
        <w:rPr>
          <w:rFonts w:ascii="Cambria" w:hAnsi="Cambria"/>
          <w:color w:val="000000"/>
          <w:sz w:val="22"/>
          <w:lang w:val="ru-RU"/>
        </w:rPr>
        <w:t>le 2 août 2024 pour l'Ukraine — par le Procureur général A. Kostin ;</w:t>
      </w:r>
      <w:r>
        <w:rPr>
          <w:rFonts w:ascii="Cambria" w:hAnsi="Cambria"/>
          <w:color w:val="000000"/>
          <w:sz w:val="22"/>
          <w:lang w:val="ru-RU"/>
        </w:rPr>
      </w:r>
      <w:r w:rsidRPr="00D42918">
        <w:rPr>
          <w:rFonts w:ascii="Cambria" w:hAnsi="Cambria"/>
          <w:color w:val="000000"/>
          <w:sz w:val="22"/>
          <w:lang w:val="ru-RU"/>
        </w:rPr>
      </w:r>
    </w:p>
    <w:p w14:paraId="073421B6" w14:textId="683FB34A" w:rsidR="00D42918" w:rsidRPr="00D42918" w:rsidRDefault="00D42918" w:rsidP="00D42918">
      <w:pPr>
        <w:pStyle w:val="1"/>
        <w:numPr>
          <w:ilvl w:val="0"/>
          <w:numId w:val="2"/>
        </w:numPr>
        <w:tabs>
          <w:tab w:val="clear" w:pos="720"/>
          <w:tab w:val="num" w:pos="142"/>
        </w:tabs>
        <w:ind w:left="567" w:hanging="425"/>
        <w:jc w:val="both"/>
        <w:rPr>
          <w:lang w:val="ru-RU"/>
        </w:rPr>
        <w:spacing w:before="120" w:after="0" w:line="276" w:lineRule="auto"/>
      </w:pPr>
      <w:r w:rsidRPr="00D42918">
        <w:rPr>
          <w:rFonts w:ascii="Cambria" w:hAnsi="Cambria"/>
          <w:color w:val="000000"/>
          <w:sz w:val="22"/>
          <w:lang w:val="ru-RU"/>
        </w:rPr>
        <w:t>le 30 août 2024 pour Monaco — par le Procureur général Stéphane Thibault.</w:t>
      </w:r>
      <w:r>
        <w:rPr>
          <w:rFonts w:ascii="Cambria" w:hAnsi="Cambria"/>
          <w:color w:val="000000"/>
          <w:sz w:val="22"/>
          <w:lang w:val="ru-RU"/>
        </w:rPr>
      </w:r>
      <w:r w:rsidRPr="00D42918">
        <w:rPr>
          <w:rFonts w:ascii="Cambria" w:hAnsi="Cambria"/>
          <w:color w:val="000000"/>
          <w:sz w:val="22"/>
          <w:lang w:val="ru-RU"/>
        </w:rPr>
      </w:r>
      <w:proofErr w:type="spellStart"/>
      <w:r w:rsidRPr="00D42918">
        <w:rPr>
          <w:rFonts w:ascii="Cambria" w:hAnsi="Cambria"/>
          <w:color w:val="000000"/>
          <w:sz w:val="22"/>
          <w:lang w:val="ru-RU"/>
        </w:rPr>
      </w:r>
      <w:proofErr w:type="spellEnd"/>
      <w:r w:rsidRPr="00D42918">
        <w:rPr>
          <w:rFonts w:ascii="Cambria" w:hAnsi="Cambria"/>
          <w:color w:val="000000"/>
          <w:sz w:val="22"/>
          <w:lang w:val="ru-RU"/>
        </w:rPr>
      </w:r>
    </w:p>
    <w:p w14:paraId="0F7F46F8" w14:textId="77777777" w:rsidR="00D42918" w:rsidRDefault="00D42918" w:rsidP="00D42918">
      <w:pPr>
        <w:pStyle w:val="1"/>
        <w:numPr>
          <w:ilvl w:val="1"/>
          <w:numId w:val="6"/>
        </w:numPr>
        <w:ind w:left="0" w:hanging="567"/>
        <w:jc w:val="both"/>
        <w:rPr>
          <w:lang w:val="ru-RU"/>
        </w:rPr>
        <w:spacing w:before="120" w:after="0" w:line="276" w:lineRule="auto"/>
      </w:pPr>
      <w:r w:rsidRPr="00D42918">
        <w:rPr>
          <w:rFonts w:ascii="Cambria" w:hAnsi="Cambria"/>
          <w:color w:val="000000"/>
          <w:sz w:val="22"/>
          <w:lang w:val="ru-RU"/>
        </w:rPr>
        <w:t>La durée de l'ÉCI a été prorogée jusqu'au 24 janvier 2026. L'acte correspondant a été signé : (1) le 27 décembre 2024 par la France ; (2) le 31 décembre 2024 par l'Ukraine ; (3) le 2 janvier 2025 par Monaco.</w:t>
      </w:r>
      <w:r>
        <w:rPr>
          <w:rFonts w:ascii="Cambria" w:hAnsi="Cambria"/>
          <w:color w:val="000000"/>
          <w:sz w:val="22"/>
          <w:lang w:val="ru-RU"/>
        </w:rPr>
      </w:r>
      <w:r w:rsidRPr="00D42918">
        <w:rPr>
          <w:rFonts w:ascii="Cambria" w:hAnsi="Cambria"/>
          <w:color w:val="000000"/>
          <w:sz w:val="22"/>
          <w:lang w:val="ru-RU"/>
        </w:rPr>
      </w:r>
      <w:r w:rsidRPr="00D42918">
        <w:rPr>
          <w:rFonts w:ascii="Cambria" w:hAnsi="Cambria"/>
          <w:color w:val="000000"/>
          <w:sz w:val="22"/>
          <w:lang w:val="ru-RU"/>
        </w:rPr>
      </w:r>
      <w:r w:rsidRPr="00D42918">
        <w:rPr>
          <w:rFonts w:ascii="Cambria" w:hAnsi="Cambria"/>
          <w:color w:val="000000"/>
          <w:sz w:val="22"/>
          <w:lang w:val="ru-RU"/>
        </w:rPr>
      </w:r>
      <w:r>
        <w:rPr>
          <w:rFonts w:ascii="Cambria" w:hAnsi="Cambria"/>
          <w:color w:val="000000"/>
          <w:sz w:val="22"/>
          <w:lang w:val="ru-RU"/>
        </w:rPr>
      </w:r>
      <w:r w:rsidRPr="00D42918">
        <w:rPr>
          <w:rFonts w:ascii="Cambria" w:hAnsi="Cambria"/>
          <w:color w:val="000000"/>
          <w:sz w:val="22"/>
          <w:lang w:val="ru-RU"/>
        </w:rPr>
      </w:r>
      <w:r>
        <w:rPr>
          <w:rFonts w:ascii="Cambria" w:hAnsi="Cambria"/>
          <w:color w:val="000000"/>
          <w:sz w:val="22"/>
          <w:lang w:val="ru-RU"/>
        </w:rPr>
      </w:r>
      <w:r w:rsidRPr="00D42918">
        <w:rPr>
          <w:rFonts w:ascii="Cambria" w:hAnsi="Cambria"/>
          <w:color w:val="000000"/>
          <w:sz w:val="22"/>
          <w:lang w:val="ru-RU"/>
        </w:rPr>
      </w:r>
      <w:r w:rsidRPr="00D42918">
        <w:rPr>
          <w:rFonts w:ascii="Cambria" w:hAnsi="Cambria"/>
          <w:color w:val="000000"/>
          <w:sz w:val="22"/>
          <w:lang w:val="ru-RU"/>
        </w:rPr>
      </w:r>
      <w:r>
        <w:rPr>
          <w:rFonts w:ascii="Cambria" w:hAnsi="Cambria"/>
          <w:color w:val="000000"/>
          <w:sz w:val="22"/>
          <w:lang w:val="ru-RU"/>
        </w:rPr>
      </w:r>
      <w:r w:rsidRPr="00D42918">
        <w:rPr>
          <w:rFonts w:ascii="Cambria" w:hAnsi="Cambria"/>
          <w:color w:val="000000"/>
          <w:sz w:val="22"/>
          <w:lang w:val="ru-RU"/>
        </w:rPr>
      </w:r>
      <w:r>
        <w:rPr>
          <w:rFonts w:ascii="Cambria" w:hAnsi="Cambria"/>
          <w:color w:val="000000"/>
          <w:sz w:val="22"/>
          <w:lang w:val="ru-RU"/>
        </w:rPr>
      </w:r>
      <w:r w:rsidRPr="00D42918">
        <w:rPr>
          <w:rFonts w:ascii="Cambria" w:hAnsi="Cambria"/>
          <w:color w:val="000000"/>
          <w:sz w:val="22"/>
          <w:lang w:val="ru-RU"/>
        </w:rPr>
      </w:r>
    </w:p>
    <w:p w14:paraId="4D9D1C1B" w14:textId="59D4F29A" w:rsidR="00D42918" w:rsidRPr="00D42918" w:rsidRDefault="00D42918" w:rsidP="00D42918">
      <w:pPr>
        <w:pStyle w:val="1"/>
        <w:numPr>
          <w:ilvl w:val="1"/>
          <w:numId w:val="6"/>
        </w:numPr>
        <w:ind w:left="0" w:hanging="567"/>
        <w:jc w:val="both"/>
        <w:rPr>
          <w:lang w:val="ru-RU"/>
        </w:rPr>
        <w:spacing w:before="120" w:after="0" w:line="276" w:lineRule="auto"/>
      </w:pPr>
      <w:r w:rsidRPr="00D42918">
        <w:rPr>
          <w:rFonts w:ascii="Cambria" w:hAnsi="Cambria"/>
          <w:color w:val="000000"/>
          <w:sz w:val="22"/>
          <w:lang w:val="ru-RU"/>
        </w:rPr>
        <w:t>Les pièces du dossier ne contiennent aucun document confirmant une prorogation de l'activité de l'ÉCI jusqu'en 2027.</w:t>
      </w:r>
    </w:p>
    <w:p w14:paraId="18C39162" w14:textId="77777777" w:rsidR="00D42918" w:rsidRDefault="00D42918" w:rsidP="00D42918">
      <w:pPr>
        <w:pStyle w:val="1"/>
        <w:jc w:val="both"/>
        <w:rPr>
          <w:b/>
          <w:bCs/>
          <w:lang w:val="ru-RU"/>
        </w:rPr>
        <w:spacing w:before="120" w:after="0" w:line="276" w:lineRule="auto"/>
      </w:pPr>
    </w:p>
    <w:p w14:paraId="103DFC86" w14:textId="596BD47C" w:rsidR="00D42918" w:rsidRPr="00D42918" w:rsidRDefault="00D42918" w:rsidP="00D42918">
      <w:pPr>
        <w:pStyle w:val="1"/>
        <w:numPr>
          <w:ilvl w:val="0"/>
          <w:numId w:val="6"/>
        </w:numPr>
        <w:ind w:left="0" w:hanging="567"/>
        <w:jc w:val="left"/>
        <w:rPr>
          <w:b/>
          <w:bCs/>
          <w:lang w:val="ru-RU"/>
        </w:rPr>
        <w:spacing w:before="120" w:after="0" w:line="276" w:lineRule="auto"/>
      </w:pPr>
      <w:r w:rsidRPr="00D42918">
        <w:rPr>
          <w:rFonts w:ascii="Cambria" w:hAnsi="Cambria"/>
          <w:b/>
          <w:bCs/>
          <w:color w:val="000000"/>
          <w:sz w:val="22"/>
          <w:lang w:val="ru-RU"/>
        </w:rPr>
        <w:t>Réception et exploitation des pièces dans le cadre de l'ÉCI</w:t>
      </w:r>
    </w:p>
    <w:p w14:paraId="350D5F78" w14:textId="39AF7495" w:rsidR="00D42918" w:rsidRPr="00D42918" w:rsidRDefault="00D42918" w:rsidP="00D42918">
      <w:pPr>
        <w:pStyle w:val="1"/>
        <w:numPr>
          <w:ilvl w:val="1"/>
          <w:numId w:val="6"/>
        </w:numPr>
        <w:ind w:left="0" w:hanging="567"/>
        <w:jc w:val="both"/>
        <w:rPr>
          <w:lang w:val="ru-RU"/>
        </w:rPr>
        <w:spacing w:before="120" w:after="0" w:line="276" w:lineRule="auto"/>
      </w:pPr>
      <w:r w:rsidRPr="00D42918">
        <w:rPr>
          <w:rFonts w:ascii="Cambria" w:hAnsi="Cambria"/>
          <w:color w:val="000000"/>
          <w:sz w:val="22"/>
          <w:lang w:val="ru-RU"/>
        </w:rPr>
        <w:t>Par procès-verbal d'examen en date du 15 novembre 2024, les services d'enquête ukrainiens ont acté la réception de pièces transmises par les autorités compétentes françaises dans le cadre de l'ÉCI.</w:t>
      </w:r>
    </w:p>
    <w:p w14:paraId="5D1460AC" w14:textId="77777777" w:rsidR="00D42918" w:rsidRPr="00D42918" w:rsidRDefault="00D42918" w:rsidP="00D42918">
      <w:pPr>
        <w:pStyle w:val="1"/>
        <w:jc w:val="both"/>
        <w:rPr>
          <w:lang w:val="ru-RU"/>
        </w:rPr>
        <w:spacing w:before="120" w:after="0" w:line="276" w:lineRule="auto"/>
      </w:pPr>
      <w:r w:rsidRPr="00D42918">
        <w:rPr>
          <w:rFonts w:ascii="Cambria" w:hAnsi="Cambria"/>
          <w:color w:val="000000"/>
          <w:sz w:val="22"/>
          <w:lang w:val="ru-RU"/>
        </w:rPr>
        <w:t>Ont été notamment reçus :</w:t>
      </w:r>
    </w:p>
    <w:p w14:paraId="71CD9DC4" w14:textId="77777777" w:rsidR="00D42918" w:rsidRPr="00D42918" w:rsidRDefault="00D42918" w:rsidP="00D42918">
      <w:pPr>
        <w:pStyle w:val="1"/>
        <w:numPr>
          <w:ilvl w:val="0"/>
          <w:numId w:val="4"/>
        </w:numPr>
        <w:tabs>
          <w:tab w:val="clear" w:pos="720"/>
          <w:tab w:val="num" w:pos="142"/>
        </w:tabs>
        <w:ind w:left="567" w:hanging="425"/>
        <w:jc w:val="both"/>
        <w:rPr>
          <w:lang w:val="ru-RU"/>
        </w:rPr>
        <w:spacing w:before="120" w:after="0" w:line="276" w:lineRule="auto"/>
      </w:pPr>
      <w:r w:rsidRPr="00D42918">
        <w:rPr>
          <w:rFonts w:ascii="Cambria" w:hAnsi="Cambria"/>
          <w:color w:val="000000"/>
          <w:sz w:val="22"/>
          <w:lang w:val="ru-RU"/>
        </w:rPr>
        <w:t>des actes de procédure français en date des 31 octobre 2023 et 22 avril 2024, constatant la réception par la partie française et la transmission subséquente à l'Ukraine des éléments issus des perquisitions menées au sein des banques JULIUS BAER et UBP à Monaco ;</w:t>
      </w:r>
    </w:p>
    <w:p w14:paraId="782A6EFF" w14:textId="77777777" w:rsidR="00D42918" w:rsidRPr="00D42918" w:rsidRDefault="00D42918" w:rsidP="00D42918">
      <w:pPr>
        <w:pStyle w:val="1"/>
        <w:numPr>
          <w:ilvl w:val="0"/>
          <w:numId w:val="4"/>
        </w:numPr>
        <w:tabs>
          <w:tab w:val="clear" w:pos="720"/>
          <w:tab w:val="num" w:pos="142"/>
        </w:tabs>
        <w:ind w:left="567" w:hanging="425"/>
        <w:jc w:val="both"/>
        <w:rPr>
          <w:lang w:val="ru-RU"/>
        </w:rPr>
        <w:spacing w:before="120" w:after="0" w:line="276" w:lineRule="auto"/>
      </w:pPr>
      <w:r w:rsidRPr="00D42918">
        <w:rPr>
          <w:rFonts w:ascii="Cambria" w:hAnsi="Cambria"/>
          <w:color w:val="000000"/>
          <w:sz w:val="22"/>
          <w:lang w:val="ru-RU"/>
        </w:rPr>
        <w:t>deux clés USB contenant les copies numériques des documents et données saisis lors desdites perquisitions.</w:t>
      </w:r>
    </w:p>
    <w:p w14:paraId="0EF12427" w14:textId="77777777" w:rsidR="00D42918" w:rsidRPr="00D42918" w:rsidRDefault="00D42918" w:rsidP="00D42918">
      <w:pPr>
        <w:pStyle w:val="1"/>
        <w:jc w:val="both"/>
        <w:rPr>
          <w:lang w:val="ru-RU"/>
        </w:rPr>
        <w:spacing w:before="120" w:after="0" w:line="276" w:lineRule="auto"/>
      </w:pPr>
      <w:r w:rsidRPr="00D42918">
        <w:rPr>
          <w:rFonts w:ascii="Cambria" w:hAnsi="Cambria"/>
          <w:color w:val="000000"/>
          <w:sz w:val="22"/>
          <w:lang w:val="ru-RU"/>
        </w:rPr>
        <w:t>Ces pièces concernaient notamment des opérations bancaires, des sociétés non-résidentes, des biens immobiliers et des opérations sur les actions de MS.</w:t>
      </w:r>
    </w:p>
    <w:p w14:paraId="540494DA" w14:textId="2E8CC16D" w:rsidR="00D42918" w:rsidRPr="00D42918" w:rsidRDefault="00D42918" w:rsidP="00D42918">
      <w:pPr>
        <w:pStyle w:val="1"/>
        <w:numPr>
          <w:ilvl w:val="1"/>
          <w:numId w:val="6"/>
        </w:numPr>
        <w:ind w:left="0" w:hanging="567"/>
        <w:jc w:val="both"/>
        <w:rPr>
          <w:lang w:val="ru-RU"/>
        </w:rPr>
        <w:spacing w:before="120" w:after="0" w:line="276" w:lineRule="auto"/>
      </w:pPr>
      <w:r w:rsidRPr="00D42918">
        <w:rPr>
          <w:rFonts w:ascii="Cambria" w:hAnsi="Cambria"/>
          <w:color w:val="000000"/>
          <w:sz w:val="22"/>
          <w:lang w:val="ru-RU"/>
        </w:rPr>
        <w:t>Les supports numériques ainsi recueillis ont ultérieurement fait l'objet d'examens par les enquêteurs ukrainiens :</w:t>
      </w:r>
    </w:p>
    <w:p w14:paraId="4ECF613C" w14:textId="21F2C851" w:rsidR="00D42918" w:rsidRPr="00D42918" w:rsidRDefault="00D42918" w:rsidP="00D42918">
      <w:pPr>
        <w:pStyle w:val="1"/>
        <w:numPr>
          <w:ilvl w:val="0"/>
          <w:numId w:val="5"/>
        </w:numPr>
        <w:tabs>
          <w:tab w:val="clear" w:pos="720"/>
          <w:tab w:val="num" w:pos="142"/>
        </w:tabs>
        <w:ind w:left="567" w:hanging="425"/>
        <w:jc w:val="both"/>
        <w:rPr>
          <w:lang w:val="ru-RU"/>
        </w:rPr>
        <w:spacing w:before="120" w:after="0" w:line="276" w:lineRule="auto"/>
      </w:pPr>
      <w:r w:rsidRPr="00D42918">
        <w:rPr>
          <w:rFonts w:ascii="Cambria" w:hAnsi="Cambria"/>
          <w:color w:val="000000"/>
          <w:sz w:val="22"/>
          <w:lang w:val="ru-RU"/>
        </w:rPr>
        <w:t>le 28 novembre 2024 — documents relatifs à la cession et au paiement des actions de MS ;</w:t>
      </w:r>
      <w:r>
        <w:rPr>
          <w:rFonts w:ascii="Cambria" w:hAnsi="Cambria"/>
          <w:color w:val="000000"/>
          <w:sz w:val="22"/>
          <w:lang w:val="ru-RU"/>
        </w:rPr>
      </w:r>
      <w:r w:rsidRPr="00D42918">
        <w:rPr>
          <w:rFonts w:ascii="Cambria" w:hAnsi="Cambria"/>
          <w:color w:val="000000"/>
          <w:sz w:val="22"/>
          <w:lang w:val="ru-RU"/>
        </w:rPr>
      </w:r>
    </w:p>
    <w:p w14:paraId="04D2262C" w14:textId="406E3385" w:rsidR="00D42918" w:rsidRPr="00D42918" w:rsidRDefault="00D42918" w:rsidP="00D42918">
      <w:pPr>
        <w:pStyle w:val="1"/>
        <w:numPr>
          <w:ilvl w:val="0"/>
          <w:numId w:val="5"/>
        </w:numPr>
        <w:tabs>
          <w:tab w:val="clear" w:pos="720"/>
          <w:tab w:val="num" w:pos="142"/>
        </w:tabs>
        <w:ind w:left="567" w:hanging="425"/>
        <w:jc w:val="both"/>
        <w:rPr>
          <w:lang w:val="ru-RU"/>
        </w:rPr>
        <w:spacing w:before="120" w:after="0" w:line="276" w:lineRule="auto"/>
      </w:pPr>
      <w:r w:rsidRPr="00D42918">
        <w:rPr>
          <w:rFonts w:ascii="Cambria" w:hAnsi="Cambria"/>
          <w:color w:val="000000"/>
          <w:sz w:val="22"/>
          <w:lang w:val="ru-RU"/>
        </w:rPr>
        <w:t>le 15 janvier 2025 — données relatives aux comptes bancaires, mouvements de fonds et bénéficiaires effectifs de sociétés ;</w:t>
      </w:r>
      <w:r>
        <w:rPr>
          <w:rFonts w:ascii="Cambria" w:hAnsi="Cambria"/>
          <w:color w:val="000000"/>
          <w:sz w:val="22"/>
          <w:lang w:val="ru-RU"/>
        </w:rPr>
      </w:r>
      <w:r w:rsidRPr="00D42918">
        <w:rPr>
          <w:rFonts w:ascii="Cambria" w:hAnsi="Cambria"/>
          <w:color w:val="000000"/>
          <w:sz w:val="22"/>
          <w:lang w:val="ru-RU"/>
        </w:rPr>
      </w:r>
    </w:p>
    <w:p w14:paraId="62B7F949" w14:textId="7B19CF14" w:rsidR="00D42918" w:rsidRPr="00D42918" w:rsidRDefault="00D42918" w:rsidP="00D42918">
      <w:pPr>
        <w:pStyle w:val="1"/>
        <w:numPr>
          <w:ilvl w:val="0"/>
          <w:numId w:val="5"/>
        </w:numPr>
        <w:tabs>
          <w:tab w:val="clear" w:pos="720"/>
          <w:tab w:val="num" w:pos="142"/>
        </w:tabs>
        <w:ind w:left="567" w:hanging="425"/>
        <w:jc w:val="both"/>
        <w:rPr>
          <w:lang w:val="ru-RU"/>
        </w:rPr>
        <w:spacing w:before="120" w:after="0" w:line="276" w:lineRule="auto"/>
      </w:pPr>
      <w:r w:rsidRPr="00D42918">
        <w:rPr>
          <w:rFonts w:ascii="Cambria" w:hAnsi="Cambria"/>
          <w:color w:val="000000"/>
          <w:sz w:val="22"/>
          <w:lang w:val="ru-RU"/>
        </w:rPr>
        <w:t>le 1er février 2025 — correspondances électroniques attribuées par l'enquête à AVB, concernant des sociétés non-résidentes, leur immatriculation, leur gestion, des contrats et des règlements financiers.</w:t>
      </w:r>
      <w:r>
        <w:rPr>
          <w:rFonts w:ascii="Cambria" w:hAnsi="Cambria"/>
          <w:color w:val="000000"/>
          <w:sz w:val="22"/>
          <w:lang w:val="ru-RU"/>
        </w:rPr>
      </w:r>
      <w:r w:rsidRPr="00D42918">
        <w:rPr>
          <w:rFonts w:ascii="Cambria" w:hAnsi="Cambria"/>
          <w:color w:val="000000"/>
          <w:sz w:val="22"/>
          <w:lang w:val="ru-RU"/>
        </w:rPr>
      </w:r>
    </w:p>
    <w:p w14:paraId="18FCE246" w14:textId="4D5CB1E6" w:rsidR="00D42918" w:rsidRPr="00D42918" w:rsidRDefault="00D42918" w:rsidP="00D42918">
      <w:pPr>
        <w:pStyle w:val="1"/>
        <w:numPr>
          <w:ilvl w:val="1"/>
          <w:numId w:val="6"/>
        </w:numPr>
        <w:ind w:left="0" w:hanging="567"/>
        <w:jc w:val="both"/>
        <w:rPr>
          <w:lang w:val="ru-RU"/>
        </w:rPr>
        <w:spacing w:before="120" w:after="0" w:line="276" w:lineRule="auto"/>
      </w:pPr>
      <w:r w:rsidRPr="00D42918">
        <w:rPr>
          <w:rFonts w:ascii="Cambria" w:hAnsi="Cambria"/>
          <w:color w:val="000000"/>
          <w:sz w:val="22"/>
          <w:lang w:val="ru-RU"/>
        </w:rPr>
        <w:t>Les pièces recueillies dans le cadre de l'ÉCI ont été utilisées par l'enquête ukrainienne au soutien de requêtes procédurales, en particulier :</w:t>
      </w:r>
    </w:p>
    <w:p w14:paraId="38814A3B" w14:textId="2EF629B6" w:rsidR="00D42918" w:rsidRPr="00D42918" w:rsidRDefault="00D42918" w:rsidP="00D42918">
      <w:pPr>
        <w:pStyle w:val="1"/>
        <w:numPr>
          <w:ilvl w:val="1"/>
          <w:numId w:val="9"/>
        </w:numPr>
        <w:ind w:left="567" w:hanging="567"/>
        <w:jc w:val="both"/>
        <w:rPr>
          <w:lang w:val="ru-RU"/>
        </w:rPr>
        <w:spacing w:before="120" w:after="0" w:line="276" w:lineRule="auto"/>
      </w:pPr>
      <w:r w:rsidRPr="00D42918">
        <w:rPr>
          <w:rFonts w:ascii="Cambria" w:hAnsi="Cambria"/>
          <w:color w:val="000000"/>
          <w:sz w:val="22"/>
          <w:lang w:val="ru-RU"/>
        </w:rPr>
        <w:t>lors de la fixation d'une mesure de sûreté à l'encontre d'AVB — pièces des procès-verbaux d'examen des 15 novembre 2024 et 1er février 2025 ;</w:t>
      </w:r>
      <w:r>
        <w:rPr>
          <w:rFonts w:ascii="Cambria" w:hAnsi="Cambria"/>
          <w:color w:val="000000"/>
          <w:sz w:val="22"/>
          <w:lang w:val="ru-RU"/>
        </w:rPr>
      </w:r>
      <w:r w:rsidRPr="00D42918">
        <w:rPr>
          <w:rFonts w:ascii="Cambria" w:hAnsi="Cambria"/>
          <w:color w:val="000000"/>
          <w:sz w:val="22"/>
          <w:lang w:val="ru-RU"/>
        </w:rPr>
      </w:r>
    </w:p>
    <w:p w14:paraId="5309991E" w14:textId="1E578EC9" w:rsidR="00D42918" w:rsidRPr="00D42918" w:rsidRDefault="00D42918" w:rsidP="00D42918">
      <w:pPr>
        <w:pStyle w:val="1"/>
        <w:numPr>
          <w:ilvl w:val="1"/>
          <w:numId w:val="9"/>
        </w:numPr>
        <w:ind w:left="567" w:hanging="567"/>
        <w:jc w:val="both"/>
        <w:rPr>
          <w:lang w:val="ru-RU"/>
        </w:rPr>
        <w:spacing w:before="120" w:after="0" w:line="276" w:lineRule="auto"/>
      </w:pPr>
      <w:r w:rsidRPr="00D42918">
        <w:rPr>
          <w:rFonts w:ascii="Cambria" w:hAnsi="Cambria"/>
          <w:color w:val="000000"/>
          <w:sz w:val="22"/>
          <w:lang w:val="ru-RU"/>
        </w:rPr>
        <w:t>lors de la saisie des biens d'AVB en Ukraine — éléments du procès-verbal du 1er février 2025, ainsi que référence au procès-verbal d'examen du 5 mai 2025 ;</w:t>
      </w:r>
      <w:r>
        <w:rPr>
          <w:rFonts w:ascii="Cambria" w:hAnsi="Cambria"/>
          <w:color w:val="000000"/>
          <w:sz w:val="22"/>
          <w:lang w:val="ru-RU"/>
        </w:rPr>
      </w:r>
      <w:r w:rsidRPr="00D42918">
        <w:rPr>
          <w:rFonts w:ascii="Cambria" w:hAnsi="Cambria"/>
          <w:color w:val="000000"/>
          <w:sz w:val="22"/>
          <w:lang w:val="ru-RU"/>
        </w:rPr>
      </w:r>
    </w:p>
    <w:p w14:paraId="3243EC04" w14:textId="3D96E000" w:rsidR="00D42918" w:rsidRPr="00D42918" w:rsidRDefault="00D42918" w:rsidP="00D42918">
      <w:pPr>
        <w:pStyle w:val="1"/>
        <w:numPr>
          <w:ilvl w:val="1"/>
          <w:numId w:val="9"/>
        </w:numPr>
        <w:ind w:left="567" w:hanging="567"/>
        <w:jc w:val="both"/>
        <w:rPr>
          <w:lang w:val="ru-RU"/>
        </w:rPr>
        <w:spacing w:before="120" w:after="0" w:line="276" w:lineRule="auto"/>
      </w:pPr>
      <w:r w:rsidRPr="00D42918">
        <w:rPr>
          <w:rFonts w:ascii="Cambria" w:hAnsi="Cambria"/>
          <w:color w:val="000000"/>
          <w:sz w:val="22"/>
          <w:lang w:val="ru-RU"/>
        </w:rPr>
        <w:t>lors de la saisie de biens hors d'Ukraine — références aux procès-verbaux d'examen des 27 mai 2025 et 28 mai 2025.</w:t>
      </w:r>
      <w:r>
        <w:rPr>
          <w:rFonts w:ascii="Cambria" w:hAnsi="Cambria"/>
          <w:color w:val="000000"/>
          <w:sz w:val="22"/>
          <w:lang w:val="ru-RU"/>
        </w:rPr>
      </w:r>
      <w:r w:rsidRPr="00D42918">
        <w:rPr>
          <w:rFonts w:ascii="Cambria" w:hAnsi="Cambria"/>
          <w:color w:val="000000"/>
          <w:sz w:val="22"/>
          <w:lang w:val="ru-RU"/>
        </w:rPr>
      </w:r>
    </w:p>
    <w:p w14:paraId="72C2204E" w14:textId="77777777" w:rsidR="00D42918" w:rsidRPr="00D42918" w:rsidRDefault="00D42918" w:rsidP="00D42918">
      <w:pPr>
        <w:pStyle w:val="1"/>
        <w:jc w:val="both"/>
        <w:rPr>
          <w:lang w:val="ru-RU"/>
        </w:rPr>
        <w:spacing w:before="120" w:after="0" w:line="276" w:lineRule="auto"/>
      </w:pPr>
      <w:r w:rsidRPr="00D42918">
        <w:rPr>
          <w:rFonts w:ascii="Cambria" w:hAnsi="Cambria"/>
          <w:color w:val="000000"/>
          <w:sz w:val="22"/>
          <w:lang w:val="ru-RU"/>
        </w:rPr>
        <w:t>Les procès-verbaux des 5 mai 2025, 27 mai 2025 et 28 mai 2025, ainsi que leurs annexes, sont absents des pièces du dossier. Dès lors, il est impossible de vérifier la source, le volume et les modalités de recueil des informations qui y sont consignées.</w:t>
      </w:r>
    </w:p>
    <w:p w14:paraId="18A0D1EC" w14:textId="77777777" w:rsidR="00D42918" w:rsidRDefault="00D42918" w:rsidP="00D42918">
      <w:pPr>
        <w:pStyle w:val="1"/>
        <w:jc w:val="both"/>
        <w:rPr>
          <w:b/>
          <w:bCs/>
          <w:lang w:val="ru-RU"/>
        </w:rPr>
        <w:spacing w:before="120" w:after="0" w:line="276" w:lineRule="auto"/>
      </w:pPr>
    </w:p>
    <w:p w14:paraId="1A714D09" w14:textId="1DC01C25" w:rsidR="00D42918" w:rsidRPr="00D42918" w:rsidRDefault="00D42918" w:rsidP="00D42918">
      <w:pPr>
        <w:pStyle w:val="1"/>
        <w:numPr>
          <w:ilvl w:val="0"/>
          <w:numId w:val="6"/>
        </w:numPr>
        <w:ind w:left="0" w:hanging="567"/>
        <w:jc w:val="left"/>
        <w:rPr>
          <w:b/>
          <w:bCs/>
          <w:lang w:val="ru-RU"/>
        </w:rPr>
        <w:spacing w:before="120" w:after="0" w:line="276" w:lineRule="auto"/>
      </w:pPr>
      <w:r w:rsidRPr="00D42918">
        <w:rPr>
          <w:rFonts w:ascii="Cambria" w:hAnsi="Cambria"/>
          <w:b/>
          <w:bCs/>
          <w:color w:val="000000"/>
          <w:sz w:val="22"/>
          <w:lang w:val="ru-RU"/>
        </w:rPr>
        <w:t>Recueil et exploitation des déclarations d'AVB</w:t>
      </w:r>
    </w:p>
    <w:p w14:paraId="662853C7" w14:textId="41B22D6E" w:rsidR="00D42918" w:rsidRPr="00D42918" w:rsidRDefault="00D42918" w:rsidP="00D42918">
      <w:pPr>
        <w:pStyle w:val="1"/>
        <w:numPr>
          <w:ilvl w:val="1"/>
          <w:numId w:val="6"/>
        </w:numPr>
        <w:ind w:left="0" w:hanging="567"/>
        <w:jc w:val="both"/>
        <w:rPr>
          <w:b/>
          <w:bCs/>
          <w:lang w:val="ru-RU"/>
        </w:rPr>
        <w:spacing w:before="120" w:after="0" w:line="276" w:lineRule="auto"/>
      </w:pPr>
      <w:r w:rsidRPr="00D42918">
        <w:rPr>
          <w:rFonts w:ascii="Cambria" w:hAnsi="Cambria"/>
          <w:color w:val="000000"/>
          <w:sz w:val="22"/>
          <w:lang w:val="ru-RU"/>
        </w:rPr>
        <w:t>Les pièces versées au dossier ne comportent aucun document attestant de la transmission du procès-verbal d'interrogatoire d'AVB à la partie ukrainienne dans le cadre des échanges d'informations de l'ÉCI.</w:t>
      </w:r>
    </w:p>
    <w:p w14:paraId="0F4D4EB5" w14:textId="77719227" w:rsidR="00D42918" w:rsidRPr="00D42918" w:rsidRDefault="00D42918" w:rsidP="00D42918">
      <w:pPr>
        <w:pStyle w:val="1"/>
        <w:jc w:val="both"/>
        <w:rPr>
          <w:lang w:val="ru-RU"/>
        </w:rPr>
        <w:spacing w:before="120" w:after="0" w:line="276" w:lineRule="auto"/>
      </w:pPr>
      <w:r w:rsidRPr="00D42918">
        <w:rPr>
          <w:rFonts w:ascii="Cambria" w:hAnsi="Cambria"/>
          <w:color w:val="000000"/>
          <w:sz w:val="22"/>
          <w:lang w:val="ru-RU"/>
        </w:rPr>
        <w:t>Il n'existe aucun bordereau de transmission, aucun procès-verbal d'ÉCI ni aucun autre acte juridique attestant que les dépositions d'AVB ont été transmises à l'enquête ukrainienne spécifiquement via le mécanisme de l'ÉCI.</w:t>
      </w:r>
    </w:p>
    <w:p w14:paraId="37A8A9E9" w14:textId="6AC7634C" w:rsidR="00D42918" w:rsidRPr="00D42918" w:rsidRDefault="00D42918" w:rsidP="00D42918">
      <w:pPr>
        <w:pStyle w:val="1"/>
        <w:numPr>
          <w:ilvl w:val="1"/>
          <w:numId w:val="6"/>
        </w:numPr>
        <w:ind w:left="0" w:hanging="567"/>
        <w:jc w:val="both"/>
        <w:rPr>
          <w:lang w:val="ru-RU"/>
        </w:rPr>
        <w:spacing w:before="120" w:after="0" w:line="276" w:lineRule="auto"/>
      </w:pPr>
      <w:r w:rsidRPr="00D42918">
        <w:rPr>
          <w:rFonts w:ascii="Cambria" w:hAnsi="Cambria"/>
          <w:color w:val="000000"/>
          <w:sz w:val="22"/>
          <w:lang w:val="ru-RU"/>
        </w:rPr>
        <w:t>Parallèlement, le dossier contient une demande d'entraide judiciaire internationale (commission rogatoire internationale) émise par la partie ukrainienne, prévoyant la notification des soupçons à AVB et son audition.</w:t>
      </w:r>
      <w:r>
        <w:rPr>
          <w:rFonts w:ascii="Cambria" w:hAnsi="Cambria"/>
          <w:color w:val="000000"/>
          <w:sz w:val="22"/>
          <w:lang w:val="ru-RU"/>
        </w:rPr>
      </w:r>
      <w:r w:rsidRPr="00D42918">
        <w:rPr>
          <w:rFonts w:ascii="Cambria" w:hAnsi="Cambria"/>
          <w:color w:val="000000"/>
          <w:sz w:val="22"/>
          <w:lang w:val="ru-RU"/>
        </w:rPr>
      </w:r>
    </w:p>
    <w:p w14:paraId="5C8B2C8E" w14:textId="046C26FB" w:rsidR="00D42918" w:rsidRPr="00D42918" w:rsidRDefault="00D42918" w:rsidP="00D42918">
      <w:pPr>
        <w:pStyle w:val="1"/>
        <w:jc w:val="both"/>
        <w:rPr>
          <w:lang w:val="ru-RU"/>
        </w:rPr>
        <w:spacing w:before="120" w:after="0" w:line="276" w:lineRule="auto"/>
      </w:pPr>
      <w:r w:rsidRPr="00D42918">
        <w:rPr>
          <w:rFonts w:ascii="Cambria" w:hAnsi="Cambria"/>
          <w:color w:val="000000"/>
          <w:sz w:val="22"/>
          <w:lang w:val="ru-RU"/>
        </w:rPr>
        <w:t>Dans ces conditions, le recueil des déclarations d'AVB a pu intervenir dans le cadre de l'entraide judiciaire internationale.</w:t>
      </w:r>
      <w:r>
        <w:rPr>
          <w:rFonts w:ascii="Cambria" w:hAnsi="Cambria"/>
          <w:color w:val="000000"/>
          <w:sz w:val="22"/>
          <w:lang w:val="ru-RU"/>
        </w:rPr>
      </w:r>
      <w:r w:rsidRPr="00D42918">
        <w:rPr>
          <w:rFonts w:ascii="Cambria" w:hAnsi="Cambria"/>
          <w:color w:val="000000"/>
          <w:sz w:val="22"/>
          <w:lang w:val="ru-RU"/>
        </w:rPr>
      </w:r>
    </w:p>
    <w:p w14:paraId="6239266A" w14:textId="5BD64AC2" w:rsidR="00D42918" w:rsidRPr="00D42918" w:rsidRDefault="00D42918" w:rsidP="00D42918">
      <w:pPr>
        <w:pStyle w:val="1"/>
        <w:numPr>
          <w:ilvl w:val="1"/>
          <w:numId w:val="6"/>
        </w:numPr>
        <w:ind w:left="0" w:hanging="567"/>
        <w:jc w:val="both"/>
        <w:rPr>
          <w:lang w:val="ru-RU"/>
        </w:rPr>
        <w:spacing w:before="120" w:after="0" w:line="276" w:lineRule="auto"/>
      </w:pPr>
      <w:r w:rsidRPr="00D42918">
        <w:rPr>
          <w:rFonts w:ascii="Cambria" w:hAnsi="Cambria"/>
          <w:color w:val="000000"/>
          <w:sz w:val="22"/>
          <w:lang w:val="ru-RU"/>
        </w:rPr>
        <w:t>Les déclarations d'AVB ont par la suite été invoquées par l'enquête ukrainienne pour motiver sa requête tendant au prononcé d'une mesure de sûreté à son encontre.</w:t>
      </w:r>
    </w:p>
    <w:p w14:paraId="3A7131C0" w14:textId="77777777" w:rsidR="00D42918" w:rsidRDefault="00D42918" w:rsidP="00D42918">
      <w:pPr>
        <w:pStyle w:val="1"/>
        <w:jc w:val="both"/>
        <w:rPr>
          <w:b/>
          <w:bCs/>
          <w:lang w:val="ru-RU"/>
        </w:rPr>
        <w:spacing w:before="120" w:after="0" w:line="276" w:lineRule="auto"/>
      </w:pPr>
    </w:p>
    <w:p w14:paraId="4583A0C0" w14:textId="711DABA7" w:rsidR="00D42918" w:rsidRPr="00D42918" w:rsidRDefault="00D42918" w:rsidP="00D42918">
      <w:pPr>
        <w:pStyle w:val="1"/>
        <w:numPr>
          <w:ilvl w:val="0"/>
          <w:numId w:val="6"/>
        </w:numPr>
        <w:ind w:left="0" w:hanging="567"/>
        <w:jc w:val="left"/>
        <w:rPr>
          <w:b/>
          <w:bCs/>
          <w:lang w:val="ru-RU"/>
        </w:rPr>
        <w:spacing w:before="120" w:after="0" w:line="276" w:lineRule="auto"/>
      </w:pPr>
      <w:r w:rsidRPr="00D42918">
        <w:rPr>
          <w:rFonts w:ascii="Cambria" w:hAnsi="Cambria"/>
          <w:b/>
          <w:bCs/>
          <w:color w:val="000000"/>
          <w:sz w:val="22"/>
          <w:lang w:val="ru-RU"/>
        </w:rPr>
        <w:t>Conclusion</w:t>
      </w:r>
    </w:p>
    <w:p w14:paraId="6DBD2FE7" w14:textId="77777777" w:rsidR="00D42918" w:rsidRDefault="00D42918" w:rsidP="00D42918">
      <w:pPr>
        <w:pStyle w:val="1"/>
        <w:numPr>
          <w:ilvl w:val="1"/>
          <w:numId w:val="5"/>
        </w:numPr>
        <w:ind w:left="567" w:hanging="567"/>
        <w:jc w:val="both"/>
        <w:rPr>
          <w:lang w:val="ru-RU"/>
        </w:rPr>
        <w:spacing w:before="120" w:after="0" w:line="276" w:lineRule="auto"/>
      </w:pPr>
      <w:r>
        <w:rPr>
          <w:rFonts w:ascii="Cambria" w:hAnsi="Cambria"/>
          <w:color w:val="000000"/>
          <w:sz w:val="22"/>
          <w:lang w:val="ru-RU"/>
        </w:rPr>
        <w:t>Les pièces de la procédure pénale ukrainienne reçues de Monaco confirment la réception et l'exploitation ultérieure par les enquêteurs ukrainiens de documents transmis au titre de l'ÉCI.</w:t>
      </w:r>
      <w:r w:rsidRPr="00D42918">
        <w:rPr>
          <w:rFonts w:ascii="Cambria" w:hAnsi="Cambria"/>
          <w:color w:val="000000"/>
          <w:sz w:val="22"/>
          <w:lang w:val="ru-RU"/>
        </w:rPr>
      </w:r>
      <w:r>
        <w:rPr>
          <w:rFonts w:ascii="Cambria" w:hAnsi="Cambria"/>
          <w:color w:val="000000"/>
          <w:sz w:val="22"/>
          <w:lang w:val="ru-RU"/>
        </w:rPr>
      </w:r>
      <w:r w:rsidRPr="00D42918">
        <w:rPr>
          <w:rFonts w:ascii="Cambria" w:hAnsi="Cambria"/>
          <w:color w:val="000000"/>
          <w:sz w:val="22"/>
          <w:lang w:val="ru-RU"/>
        </w:rPr>
      </w:r>
    </w:p>
    <w:p w14:paraId="6E34FBE0" w14:textId="77777777" w:rsidR="00D42918" w:rsidRDefault="00D42918" w:rsidP="00D42918">
      <w:pPr>
        <w:pStyle w:val="1"/>
        <w:numPr>
          <w:ilvl w:val="1"/>
          <w:numId w:val="5"/>
        </w:numPr>
        <w:ind w:left="567" w:hanging="567"/>
        <w:jc w:val="both"/>
        <w:rPr>
          <w:lang w:val="ru-RU"/>
        </w:rPr>
        <w:spacing w:before="120" w:after="0" w:line="276" w:lineRule="auto"/>
      </w:pPr>
      <w:r w:rsidRPr="00D42918">
        <w:rPr>
          <w:rFonts w:ascii="Cambria" w:hAnsi="Cambria"/>
          <w:color w:val="000000"/>
          <w:sz w:val="22"/>
          <w:lang w:val="ru-RU"/>
        </w:rPr>
        <w:t>Aucun élément de preuve attestant de la transmission du procès-verbal d'interrogatoire d'AVB via le canal de l'ÉCI n'est établi.</w:t>
      </w:r>
    </w:p>
    <w:p w14:paraId="48E48F10" w14:textId="19E031B2" w:rsidR="00D42918" w:rsidRPr="00D42918" w:rsidRDefault="00D42918" w:rsidP="00D42918">
      <w:pPr>
        <w:pStyle w:val="1"/>
        <w:ind w:left="567"/>
        <w:jc w:val="both"/>
        <w:rPr>
          <w:lang w:val="ru-RU"/>
        </w:rPr>
        <w:spacing w:before="120" w:after="0" w:line="276" w:lineRule="auto"/>
      </w:pPr>
      <w:r w:rsidRPr="00D42918">
        <w:rPr>
          <w:rFonts w:ascii="Cambria" w:hAnsi="Cambria"/>
          <w:color w:val="000000"/>
          <w:sz w:val="22"/>
          <w:lang w:val="ru-RU"/>
        </w:rPr>
        <w:t>La demande d'entraide judiciaire internationale existante prévoyait l'interrogatoire d'AVB. Toutefois, aucun document confirmant avec certitude les modalités de transmission ultérieure de ses déclarations à la partie ukrainienne ne figure au dossier.</w:t>
      </w:r>
      <w:r>
        <w:rPr>
          <w:rFonts w:ascii="Cambria" w:hAnsi="Cambria"/>
          <w:color w:val="000000"/>
          <w:sz w:val="22"/>
          <w:lang w:val="ru-RU"/>
        </w:rPr>
      </w:r>
      <w:r w:rsidRPr="00D42918">
        <w:rPr>
          <w:rFonts w:ascii="Cambria" w:hAnsi="Cambria"/>
          <w:color w:val="000000"/>
          <w:sz w:val="22"/>
          <w:lang w:val="ru-RU"/>
        </w:rPr>
      </w:r>
      <w:proofErr w:type="gramStart"/>
      <w:r>
        <w:rPr>
          <w:rFonts w:ascii="Cambria" w:hAnsi="Cambria"/>
          <w:color w:val="000000"/>
          <w:sz w:val="22"/>
          <w:lang w:val="ru-RU"/>
        </w:rPr>
      </w:r>
      <w:proofErr w:type="gramEnd"/>
      <w:r>
        <w:rPr>
          <w:rFonts w:ascii="Cambria" w:hAnsi="Cambria"/>
          <w:color w:val="000000"/>
          <w:sz w:val="22"/>
          <w:lang w:val="ru-RU"/>
        </w:rPr>
      </w:r>
      <w:r w:rsidRPr="00D42918">
        <w:rPr>
          <w:rFonts w:ascii="Cambria" w:hAnsi="Cambria"/>
          <w:color w:val="000000"/>
          <w:sz w:val="22"/>
          <w:lang w:val="ru-RU"/>
        </w:rPr>
      </w:r>
      <w:r>
        <w:rPr>
          <w:rFonts w:ascii="Cambria" w:hAnsi="Cambria"/>
          <w:color w:val="000000"/>
          <w:sz w:val="22"/>
          <w:lang w:val="ru-RU"/>
        </w:rPr>
      </w:r>
    </w:p>
    <w:p w14:paraId="2F123664" w14:textId="77777777" w:rsidR="00975EB2" w:rsidRPr="00D42918" w:rsidRDefault="00975EB2" w:rsidP="00D42918">
      <w:pPr>
        <w:pStyle w:val="1"/>
        <w:jc w:val="both"/>
        <w:rPr>
          <w:lang w:val="ru-RU"/>
        </w:rPr>
        <w:spacing w:before="120" w:after="0" w:line="276" w:lineRule="auto"/>
      </w:pPr>
    </w:p>
    <w:sectPr w:rsidR="00975EB2" w:rsidRPr="00D42918" w:rsidSect="00664EF9">
      <w:headerReference w:type="default" r:id="rId7"/>
      <w:footerReference w:type="default" r:id="rId8"/>
      <w:pgSz w:w="11906" w:h="16838"/>
      <w:pgMar w:top="1134" w:right="1134" w:bottom="1134" w:left="21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056EE"/>
    <w:multiLevelType w:val="multilevel"/>
    <w:tmpl w:val="1A463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12" w:hanging="43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924CF"/>
    <w:multiLevelType w:val="multilevel"/>
    <w:tmpl w:val="85F8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3A81"/>
    <w:multiLevelType w:val="multilevel"/>
    <w:tmpl w:val="3F5E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C7380"/>
    <w:multiLevelType w:val="hybridMultilevel"/>
    <w:tmpl w:val="12F0DCE0"/>
    <w:lvl w:ilvl="0" w:tplc="FFFFFFFF">
      <w:start w:val="1"/>
      <w:numFmt w:val="decimal"/>
      <w:lvlText w:val="(%1)"/>
      <w:lvlJc w:val="left"/>
      <w:pPr>
        <w:ind w:left="720" w:hanging="360"/>
      </w:pPr>
      <w:rPr>
        <w:rFonts w:hint="default"/>
      </w:rPr>
    </w:lvl>
    <w:lvl w:ilvl="1" w:tplc="1F8C897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74723D"/>
    <w:multiLevelType w:val="multilevel"/>
    <w:tmpl w:val="2138B37C"/>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5" w15:restartNumberingAfterBreak="0">
    <w:nsid w:val="41D13F92"/>
    <w:multiLevelType w:val="multilevel"/>
    <w:tmpl w:val="F3BA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74F59"/>
    <w:multiLevelType w:val="hybridMultilevel"/>
    <w:tmpl w:val="BA20EF9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7B259F9"/>
    <w:multiLevelType w:val="hybridMultilevel"/>
    <w:tmpl w:val="BD9A35F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C622935"/>
    <w:multiLevelType w:val="hybridMultilevel"/>
    <w:tmpl w:val="FCACE83E"/>
    <w:lvl w:ilvl="0" w:tplc="1F8C897E">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74C327A4"/>
    <w:multiLevelType w:val="multilevel"/>
    <w:tmpl w:val="E09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924480">
    <w:abstractNumId w:val="9"/>
  </w:num>
  <w:num w:numId="2" w16cid:durableId="1357584668">
    <w:abstractNumId w:val="5"/>
  </w:num>
  <w:num w:numId="3" w16cid:durableId="545601769">
    <w:abstractNumId w:val="1"/>
  </w:num>
  <w:num w:numId="4" w16cid:durableId="1086918760">
    <w:abstractNumId w:val="2"/>
  </w:num>
  <w:num w:numId="5" w16cid:durableId="492339122">
    <w:abstractNumId w:val="0"/>
  </w:num>
  <w:num w:numId="6" w16cid:durableId="1546524120">
    <w:abstractNumId w:val="4"/>
  </w:num>
  <w:num w:numId="7" w16cid:durableId="1881167669">
    <w:abstractNumId w:val="7"/>
  </w:num>
  <w:num w:numId="8" w16cid:durableId="1896814635">
    <w:abstractNumId w:val="8"/>
  </w:num>
  <w:num w:numId="9" w16cid:durableId="954747782">
    <w:abstractNumId w:val="3"/>
  </w:num>
  <w:num w:numId="10" w16cid:durableId="8457465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18"/>
    <w:rsid w:val="00401DE3"/>
    <w:rsid w:val="00462EA1"/>
    <w:rsid w:val="00664EF9"/>
    <w:rsid w:val="00761640"/>
    <w:rsid w:val="00830BDC"/>
    <w:rsid w:val="00975EB2"/>
    <w:rsid w:val="00AA3021"/>
    <w:rsid w:val="00B01DA0"/>
    <w:rsid w:val="00B636C2"/>
    <w:rsid w:val="00D429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6935"/>
  <w15:chartTrackingRefBased/>
  <w15:docId w15:val="{4ECD185D-2C10-45E1-9859-5DFDEC073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76" w:lineRule="auto"/>
    </w:pPr>
    <w:rPr>
      <w:rFonts w:ascii="Cambria" w:hAnsi="Cambria"/>
      <w:sz w:val="22"/>
      <w:lang w:val="uk-UA"/>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60609">
      <w:bodyDiv w:val="1"/>
      <w:marLeft w:val="0"/>
      <w:marRight w:val="0"/>
      <w:marTop w:val="0"/>
      <w:marBottom w:val="0"/>
      <w:divBdr>
        <w:top w:val="none" w:sz="0" w:space="0" w:color="auto"/>
        <w:left w:val="none" w:sz="0" w:space="0" w:color="auto"/>
        <w:bottom w:val="none" w:sz="0" w:space="0" w:color="auto"/>
        <w:right w:val="none" w:sz="0" w:space="0" w:color="auto"/>
      </w:divBdr>
    </w:div>
    <w:div w:id="285502694">
      <w:bodyDiv w:val="1"/>
      <w:marLeft w:val="0"/>
      <w:marRight w:val="0"/>
      <w:marTop w:val="0"/>
      <w:marBottom w:val="0"/>
      <w:divBdr>
        <w:top w:val="none" w:sz="0" w:space="0" w:color="auto"/>
        <w:left w:val="none" w:sz="0" w:space="0" w:color="auto"/>
        <w:bottom w:val="none" w:sz="0" w:space="0" w:color="auto"/>
        <w:right w:val="none" w:sz="0" w:space="0" w:color="auto"/>
      </w:divBdr>
    </w:div>
    <w:div w:id="35484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2590</Words>
  <Characters>1477</Characters>
  <Application>Microsoft Office Word</Application>
  <DocSecurity>0</DocSecurity>
  <Lines>12</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1</cp:revision>
  <dcterms:created xsi:type="dcterms:W3CDTF">2026-08-14T13:51:00Z</dcterms:created>
  <dcterms:modified xsi:type="dcterms:W3CDTF">2026-08-14T14:02:00Z</dcterms:modified>
</cp:coreProperties>
</file>