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rrent-afri-model-structures"/>
    <w:p>
      <w:pPr>
        <w:pStyle w:val="Heading1"/>
      </w:pPr>
      <w:r>
        <w:t xml:space="preserve">Current AFRI model structures</w:t>
      </w:r>
    </w:p>
    <w:p>
      <w:pPr>
        <w:pStyle w:val="FirstParagraph"/>
      </w:pPr>
      <w:r>
        <w:t xml:space="preserve">Table 1 screening now excludes response values below Q1 - 1.5 × IQR or above Q3 + 1.5 × IQR, separately for Grazing_h, Resting_h, Traveling_h and mean_DDT_day. Quartiles are computed across finite animal-year season averages within each response, using R type-7 quantiles. Values exactly on the fences are retained. Fewer than four finite values are explicitly unscreened. Each response is fitted on its own retained subset; raw datasets and other responses are not modified. Table1_IQR_Summary, Table1_IQR_Audit and Table1_IQR_Excluded record counts, fences and identifiable excluded records. Missing responses remain subject to the existing complete-case rules. Gamma/log and all fixed/random structures remain unchanged. Report this outcome-dependent screening when interpreting treatment comparisons; the unfiltered source records are retained.</w:t>
      </w:r>
    </w:p>
    <w:p>
      <w:pPr>
        <w:pStyle w:val="BodyText"/>
      </w:pPr>
      <w:r>
        <w:t xml:space="preserve">Season-table post-hoc letters compare all six TRT × SR EMM cells within each response using Tukey adjustment. They are displayed as Unicode superscripts immediately after the EMM and before ± SE (for example, 12.75ᵃ ± 0.61). Table2 and WholeSeason_Additional now include these letters. When pasture cells are unreplicated the comparisons are explicitly exploratory. Raw EMM/SE and plain letters remain available in EMMs_Raw and CLD; missing/nonestimable letters are not invented. Period letters retain their existing temporal comparison scope.</w:t>
      </w:r>
    </w:p>
    <w:p>
      <w:pPr>
        <w:pStyle w:val="BodyText"/>
      </w:pPr>
      <w:r>
        <w:t xml:space="preserve">Season-level responses (including Gamma/log Table 1 animal-year season averages) use</w:t>
      </w:r>
      <w:r>
        <w:t xml:space="preserve"> </w:t>
      </w:r>
      <w:r>
        <w:rPr>
          <w:rStyle w:val="VerbatimChar"/>
        </w:rPr>
        <w:t xml:space="preserve">response ~ TRT * SR + (1 | Year)</w:t>
      </w:r>
      <w:r>
        <w:t xml:space="preserve">.</w:t>
      </w:r>
    </w:p>
    <w:p>
      <w:pPr>
        <w:pStyle w:val="BodyText"/>
      </w:pPr>
      <w:r>
        <w:t xml:space="preserve">Period-level responses use</w:t>
      </w:r>
      <w:r>
        <w:t xml:space="preserve"> </w:t>
      </w:r>
      <w:r>
        <w:rPr>
          <w:rStyle w:val="VerbatimChar"/>
        </w:rPr>
        <w:t xml:space="preserve">response ~ TRT * SR * Period + (1 | Year) + (1 | Year:Pasture)</w:t>
      </w:r>
      <w:r>
        <w:t xml:space="preserve">.</w:t>
      </w:r>
    </w:p>
    <w:p>
      <w:pPr>
        <w:pStyle w:val="BodyText"/>
      </w:pPr>
      <w:r>
        <w:t xml:space="preserve">Global GreenFeed uses</w:t>
      </w:r>
      <w:r>
        <w:t xml:space="preserve"> </w:t>
      </w:r>
      <w:r>
        <w:rPr>
          <w:rStyle w:val="VerbatimChar"/>
        </w:rPr>
        <w:t xml:space="preserve">gas ~ TRT * SR * RotationPeriod + (1 | Year) + (1 | Year:Pasture)</w:t>
      </w:r>
      <w:r>
        <w:t xml:space="preserve">. RGP and Pasture_ID aliases are equivalent in source analyses. Period includes TRT:Period, SR:Period and TRT:SR:Period interactions. There is no animal random intercept or AR(1) candidate. The separate endpoint ANCOVA source retains its IBW covariate.</w:t>
      </w:r>
    </w:p>
    <w:p>
      <w:pPr>
        <w:pStyle w:val="BodyText"/>
      </w:pPr>
      <w:r>
        <w:t xml:space="preserve">Existing Gaussian/Gamma/Tweedie family rules are retained. Table 1 uses Gamma/log on original strictly positive animal-year averages, with no log transformation or Gaussian fallback. Diagnostics, KS/Lilliefors tests, EMM/SE and workbook routing remain enabled. Actual study-data numerical results require a fresh complete run; old fits and exports must not be reused. Treatment-cell replication remains limited; changing covariance does not create replication.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Grazing_h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Grazing_h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mean_DDT_day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mean_DDT_day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CH4_Mean_g_d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CO2_Mean_g_d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Smooth_Period_ADG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Smooth_Period_ADG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animal_spline_metrics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Shrunk_Initial_BW_kg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Shrunk_Final_BW_kg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mean_RGP_ADG_kg_day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mean_RGP_ADG_kg_day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CH4_g_animal_day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CO2_g_animal_day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mean_Shrunk_Initial_BW_kg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mean_Shrunk_Final_BW_kg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mean_Whole_Season_Smooth_ADG_kg_day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whole_season_animal_avg_CH4_g_day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whole_season_animal_avg_CH4_g_day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whole_season_animal_avg_CO2_g_day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whole_season_animal_avg_CO2_g_day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ADG_Land_kg_per_active_ha_day_whole_season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ADG_Land_kg_per_active_ha_day_whole_season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Whole_Season_CH4_g_day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Whole_Season_CO2_g_day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Whole_Season_Smooth_ADG_kg_day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RGP_CH4_g_day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RGP_CO2_g_day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RGP_Smooth_ADG_kg_day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* RotationPeriod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ch4_rotation_model_data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* RotationPeriod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co2_rotation_model_data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Seasonal_ADG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Seasonal_ADG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FBW ~ IBW +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season_two_grid_outcomes [Grid_Map = WHOLE_SEASON_GRAZING]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season_two_grid_outcomes [Grid_Map = WHOLE_SEASON_GRAZING]</w:t>
            </w:r>
          </w:p>
        </w:tc>
      </w:tr>
    </w:tbl>
    <w:bookmarkEnd w:id="20"/>
    <w:sectPr w:rsidR="00FC693F" w:rsidRPr="0006063C" w:rsidSect="00034616">
      <w:footerReference r:id="rId9" w:type="default"/>
      <w:pgSz w:h="12240" w:orient="landscape" w:w="15840"/>
      <w:pgMar w:bottom="864" w:footer="720" w:gutter="0" w:header="720" w:left="864" w:right="864" w:top="8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AFRI variables, models, and datasets | Page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line="252" w:lineRule="auto"/>
    </w:pPr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7365D"/>
      <w:sz w:val="3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7365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7365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2026-10-21T02:33:48Z</dcterms:created>
  <dcterms:modified xsi:type="dcterms:W3CDTF">2026-10-21T02:33:48Z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