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rrent-afri-model-structures"/>
    <w:p>
      <w:pPr>
        <w:pStyle w:val="Heading1"/>
      </w:pPr>
      <w:r>
        <w:t xml:space="preserve">Current AFRI model structures</w:t>
      </w:r>
    </w:p>
    <w:p>
      <w:pPr>
        <w:pStyle w:val="FirstParagraph"/>
      </w:pPr>
      <w:r>
        <w:t xml:space="preserve">Response screening uses Q1 − k × IQR and Q3 + k × IQR. All modeled CH4/CO2 responses (including daily means, whole-season emissions, per-hectare measures and gas-per-kg-gain ratios) and all three ADG responses (Smooth_Period_ADG, Whole_Season_Smooth_ADG_kg_day, RGP_Smooth_ADG_kg_day) use k = 0.5. Grazing_h and Traveling_h retain k = 0.5; Resting_h and mean_DDT_day retain k = 1. R type-7 quartiles are computed separately for each response within its analysis dataset, pooled across treatment groups. Table 1 uses animal-year season averages; other responses use their existing model observation scale. Values exactly on a fence are retained; fewer than four finite values are unscreened. Original datasets remain intact and each model uses its own retained subset. Response_IQR_Summary, Response_IQR_Audit and Response_IQR_Excluded record canonical exclusions and multipliers. Global and eligible conditional GreenFeed source models also screen CH4_g_d/CO2_g_d at 0.5 × IQR; Source_Gas_IQR_Audit records their source-specific exclusions. Model families and formulas remain unchanged. Distribution PNGs compare raw analysis inputs with actual model data in 06_Statistical_Analysis/03_Figures/Response_Distributions. Outcome-based screening should be reported with the results.</w:t>
      </w:r>
    </w:p>
    <w:p>
      <w:pPr>
        <w:pStyle w:val="BodyText"/>
      </w:pPr>
      <w:r>
        <w:t xml:space="preserve">Season-table post-hoc letters compare all six TRT × SR EMM cells within each response using Tukey adjustment. They are displayed as Unicode superscripts immediately after the EMM and before ± SE (for example, 12.75ᵃ ± 0.61). Table2 and WholeSeason_Additional now include these letters. When pasture cells are unreplicated the comparisons are explicitly exploratory. Raw EMM/SE and plain letters remain available in EMMs_Raw and CLD; missing/nonestimable letters are not invented. Period letters retain their existing temporal comparison scope.</w:t>
      </w:r>
    </w:p>
    <w:p>
      <w:pPr>
        <w:pStyle w:val="BodyText"/>
      </w:pPr>
      <w:r>
        <w:t xml:space="preserve">Season-level responses (including Gamma/log Table 1 animal-year season averages) use</w:t>
      </w:r>
      <w:r>
        <w:t xml:space="preserve"> </w:t>
      </w:r>
      <w:r>
        <w:rPr>
          <w:rStyle w:val="VerbatimChar"/>
        </w:rPr>
        <w:t xml:space="preserve">response ~ TRT * SR + (1 | Year)</w:t>
      </w:r>
      <w:r>
        <w:t xml:space="preserve">.</w:t>
      </w:r>
    </w:p>
    <w:p>
      <w:pPr>
        <w:pStyle w:val="BodyText"/>
      </w:pPr>
      <w:r>
        <w:t xml:space="preserve">Period-level responses use</w:t>
      </w:r>
      <w:r>
        <w:t xml:space="preserve"> </w:t>
      </w:r>
      <w:r>
        <w:rPr>
          <w:rStyle w:val="VerbatimChar"/>
        </w:rPr>
        <w:t xml:space="preserve">response ~ TRT * SR + Period + (1 | Year) + (1 | Year:Pasture)</w:t>
      </w:r>
      <w:r>
        <w:t xml:space="preserve">.</w:t>
      </w:r>
    </w:p>
    <w:p>
      <w:pPr>
        <w:pStyle w:val="BodyText"/>
      </w:pPr>
      <w:r>
        <w:t xml:space="preserve">Global GreenFeed uses</w:t>
      </w:r>
      <w:r>
        <w:t xml:space="preserve"> </w:t>
      </w:r>
      <w:r>
        <w:rPr>
          <w:rStyle w:val="VerbatimChar"/>
        </w:rPr>
        <w:t xml:space="preserve">gas ~ TRT * SR + RotationPeriod + (1 | Year) + (1 | Year:Pasture)</w:t>
      </w:r>
      <w:r>
        <w:t xml:space="preserve">. RGP and Pasture_ID aliases are equivalent in source analyses. Period includes TRT:Period, SR:Period and TRT:SR:Period interactions. There is no animal random intercept or AR(1) candidate. The separate endpoint ANCOVA source retains its IBW covariate.</w:t>
      </w:r>
    </w:p>
    <w:p>
      <w:pPr>
        <w:pStyle w:val="BodyText"/>
      </w:pPr>
      <w:r>
        <w:t xml:space="preserve">Existing Gaussian/Gamma/Tweedie family rules are retained. Table 1 uses Gamma/log on original strictly positive animal-year averages, with no log transformation or Gaussian fallback. Diagnostics, KS/Lilliefors tests, EMM/SE and workbook routing remain enabled. Actual study-data numerical results require a fresh complete run; old fits and exports must not be reused. Treatment-cell replication remains limited; changing covariance does not create replication.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Grazing_h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mean_DDT_day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mean_DDT_day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Smooth_Period_ADG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Smooth_Period_ADG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animal_spline_metrics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mean_RGP_ADG_kg_day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mean_RGP_ADG_kg_day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CH4_g_animal_day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CO2_g_animal_day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ADG_Land_kg_per_active_ha_day_whole_season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ADG_Land_kg_per_active_ha_day_whole_season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RGP_CH4_g_day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RGP_CO2_g_day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RGP_Smooth_ADG_kg_day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+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+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Seasonal_ADG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Seasonal_ADG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FBW ~ IBW +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</w:tbl>
    <w:bookmarkEnd w:id="20"/>
    <w:sectPr w:rsidR="00FC693F" w:rsidRPr="0006063C" w:rsidSect="00034616">
      <w:footerReference r:id="rId9" w:type="default"/>
      <w:pgSz w:h="12240" w:orient="landscape" w:w="15840"/>
      <w:pgMar w:bottom="864" w:footer="720" w:gutter="0" w:header="720" w:left="864" w:right="864" w:top="8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AFRI variables, models, and datasets | Page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line="252" w:lineRule="auto"/>
    </w:pPr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7365D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7365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7365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2026-10-24T04:10:51Z</dcterms:created>
  <dcterms:modified xsi:type="dcterms:W3CDTF">2026-10-24T04:10:51Z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