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38"/>
        </w:rPr>
        <w:t>AI Automation Proposal: Maintenance Intake Triage Assistant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Hypothetical next build for Summit Ridge DataHub</w:t>
      </w:r>
    </w:p>
    <w:p>
      <w:pPr>
        <w:pStyle w:val="Heading1"/>
      </w:pPr>
      <w:r>
        <w:t>Assumptions</w:t>
      </w:r>
    </w:p>
    <w:p>
      <w:r>
        <w:rPr>
          <w:b/>
        </w:rPr>
        <w:t xml:space="preserve">Business context: </w:t>
      </w:r>
      <w:r>
        <w:t>Summit Ridge earns recurring management fees and spends meaningful staff time turning owner emails, board requests, and vendor updates into tracked work.</w:t>
      </w:r>
    </w:p>
    <w:p>
      <w:r>
        <w:rPr>
          <w:b/>
        </w:rPr>
        <w:t xml:space="preserve">DataHub role: </w:t>
      </w:r>
      <w:r>
        <w:t>Supabase is the source of truth for associations, board contacts, preferred vendors, COI status, and data-quality gaps.</w:t>
      </w:r>
    </w:p>
    <w:p>
      <w:pPr>
        <w:pStyle w:val="Heading1"/>
      </w:pPr>
      <w:r>
        <w:t>Problem</w:t>
      </w:r>
    </w:p>
    <w:p>
      <w:r>
        <w:t>Maintenance intake is repetitive and easy to misroute. A coordinator has to identify the association, infer the trade, judge urgency, check whether a vendor is approved, ask for missing details, and summarize the issue for the board or manager. Plain SQL can retrieve known facts, but it does not reliably interpret messy free-text messages or attachments.</w:t>
      </w:r>
    </w:p>
    <w:p>
      <w:pPr>
        <w:pStyle w:val="Heading1"/>
      </w:pPr>
      <w:r>
        <w:t>What I Would Build</w:t>
      </w:r>
    </w:p>
    <w:p>
      <w:pPr>
        <w:pStyle w:val="ListBullet"/>
      </w:pPr>
      <w:r>
        <w:t>Input: owner emails, web-form submissions, photos, and forwarded vendor notes.</w:t>
      </w:r>
    </w:p>
    <w:p>
      <w:pPr>
        <w:pStyle w:val="ListBullet"/>
      </w:pPr>
      <w:r>
        <w:t>Output: a structured intake ticket with HOA, category/trade, urgency, missing information, suggested vendor shortlist, COI warnings, and a draft owner response.</w:t>
      </w:r>
    </w:p>
    <w:p>
      <w:pPr>
        <w:pStyle w:val="ListBullet"/>
      </w:pPr>
      <w:r>
        <w:t>AI earns its place by extracting intent from messy language, summarizing attachments, and writing a clear first draft. Rules and SQL handle deterministic checks such as vendor eligibility and missing COI.</w:t>
      </w:r>
    </w:p>
    <w:p>
      <w:pPr>
        <w:pStyle w:val="Heading1"/>
      </w:pPr>
      <w:r>
        <w:t>Build Approach</w:t>
      </w:r>
    </w:p>
    <w:p>
      <w:pPr>
        <w:pStyle w:val="ListBullet"/>
      </w:pPr>
      <w:r>
        <w:t>Use an LLM with structured output to classify each request and produce a short, cited summary from the submitted text.</w:t>
      </w:r>
    </w:p>
    <w:p>
      <w:pPr>
        <w:pStyle w:val="ListBullet"/>
      </w:pPr>
      <w:r>
        <w:t>Query Supabase for association context, board contacts, vendor relationships, COI status, and existing data-quality flags.</w:t>
      </w:r>
    </w:p>
    <w:p>
      <w:pPr>
        <w:pStyle w:val="ListBullet"/>
      </w:pPr>
      <w:r>
        <w:t>Store the proposed ticket, model output, confidence, source message, and human approval status for auditability.</w:t>
      </w:r>
    </w:p>
    <w:p>
      <w:pPr>
        <w:pStyle w:val="Heading1"/>
      </w:pPr>
      <w:r>
        <w:t>Risks and Guardrails</w:t>
      </w:r>
    </w:p>
    <w:p>
      <w:pPr>
        <w:pStyle w:val="ListBullet"/>
      </w:pPr>
      <w:r>
        <w:t>Low-confidence classifications, emergency language, legal issues, or missing HOA matches go to a human queue.</w:t>
      </w:r>
    </w:p>
    <w:p>
      <w:pPr>
        <w:pStyle w:val="ListBullet"/>
      </w:pPr>
      <w:r>
        <w:t>The assistant can draft messages and recommend vendors, but staff approve outbound communication and dispatch.</w:t>
      </w:r>
    </w:p>
    <w:p>
      <w:pPr>
        <w:pStyle w:val="ListBullet"/>
      </w:pPr>
      <w:r>
        <w:t>Vendor suggestions must show why they were selected and warn when COI is missing, expired, or unknown.</w:t>
      </w:r>
    </w:p>
    <w:p/>
    <w:p>
      <w:pPr>
        <w:jc w:val="right"/>
      </w:pPr>
      <w:r>
        <w:rPr>
          <w:rFonts w:ascii="Calibri" w:hAnsi="Calibri"/>
          <w:color w:val="555555"/>
          <w:sz w:val="18"/>
        </w:rPr>
        <w:t>Prepared 2026-07-01</w:t>
      </w:r>
    </w:p>
    <w:sectPr w:rsidR="00FC693F" w:rsidRPr="0006063C" w:rsidSect="00034616">
      <w:pgSz w:w="12240" w:h="15840"/>
      <w:pgMar w:top="1080" w:right="1224" w:bottom="1080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2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