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Schema Design and Data Cleaning Rationale</w:t>
      </w:r>
    </w:p>
    <w:p>
      <w:pPr>
        <w:spacing w:after="240"/>
      </w:pPr>
      <w:r>
        <w:rPr>
          <w:rFonts w:ascii="Calibri" w:hAnsi="Calibri"/>
          <w:color w:val="555555"/>
          <w:sz w:val="22"/>
        </w:rPr>
        <w:t>ALP Software Case Study - Summit Ridge DataHub</w:t>
      </w:r>
    </w:p>
    <w:p>
      <w:pPr>
        <w:pStyle w:val="Heading1"/>
      </w:pPr>
      <w:r>
        <w:t>Purpose</w:t>
      </w:r>
    </w:p>
    <w:p>
      <w:r>
        <w:t>The goal is to turn three spreadsheet-style exports into a normalized Supabase/Postgres source of truth for associations, board members, and vendors. The schema keeps operational facts queryable while preserving enough cleanup evidence for a reviewer to see what was inferred, normalized, or left unresolved.</w:t>
      </w:r>
    </w:p>
    <w:p>
      <w:pPr>
        <w:pStyle w:val="Heading1"/>
      </w:pPr>
      <w:r>
        <w:t>Schema Design</w:t>
      </w:r>
    </w:p>
    <w:p>
      <w:pPr>
        <w:pStyle w:val="ListBullet"/>
      </w:pPr>
      <w:r>
        <w:t>associations stores the HOA identity, location, unit count, dues, fiscal year-end month, reserve balance, reserve-study status, and board email. Money uses numeric fields and dates use date fields rather than text.</w:t>
      </w:r>
    </w:p>
    <w:p>
      <w:pPr>
        <w:pStyle w:val="ListBullet"/>
      </w:pPr>
      <w:r>
        <w:t>board_members belongs to one association through a foreign key. Terms are modeled as dates, email can be null, and a natural-key index prevents exact duplicate member rows after cleaning.</w:t>
      </w:r>
    </w:p>
    <w:p>
      <w:pPr>
        <w:pStyle w:val="ListBullet"/>
      </w:pPr>
      <w:r>
        <w:t>vendors stores one canonical company per real vendor, including normalized phone, email, trade, COI status, and service area.</w:t>
      </w:r>
    </w:p>
    <w:p>
      <w:pPr>
        <w:pStyle w:val="ListBullet"/>
      </w:pPr>
      <w:r>
        <w:t>association_vendors models the many-to-many relationship: one vendor can serve many associations and one association can use many vendors. Vendors with no rows in this bridge are retained as prospects.</w:t>
      </w:r>
    </w:p>
    <w:p>
      <w:pPr>
        <w:pStyle w:val="ListBullet"/>
      </w:pPr>
      <w:r>
        <w:t>vendor_aliases preserves source-name variants such as Bright Path Landscaping LLC and Reliable Electrical Services after deduplication.</w:t>
      </w:r>
    </w:p>
    <w:p>
      <w:pPr>
        <w:pStyle w:val="ListBullet"/>
      </w:pPr>
      <w:r>
        <w:t>data_quality_flags captures missing, partial, conflicting, or review-worthy values so questionable data is visible instead of silently overwritten.</w:t>
      </w:r>
    </w:p>
    <w:p>
      <w:pPr>
        <w:pStyle w:val="Heading1"/>
      </w:pPr>
      <w:r>
        <w:t>Cleaning Decisions</w:t>
      </w:r>
    </w:p>
    <w:p>
      <w:pPr>
        <w:pStyle w:val="Heading2"/>
      </w:pPr>
      <w:r>
        <w:t>Associations</w:t>
      </w:r>
    </w:p>
    <w:p>
      <w:pPr>
        <w:pStyle w:val="ListBullet"/>
      </w:pPr>
      <w:r>
        <w:t>State values CA, ca, Calif., and California were normalized to CA.</w:t>
      </w:r>
    </w:p>
    <w:p>
      <w:pPr>
        <w:pStyle w:val="ListBullet"/>
      </w:pPr>
      <w:r>
        <w:t>Monthly dues and reserve balances were parsed into numeric values. N/A, TBD, and blanks became null; Stonebridge's $0 dues were retained and flagged for review.</w:t>
      </w:r>
    </w:p>
    <w:p>
      <w:pPr>
        <w:pStyle w:val="ListBullet"/>
      </w:pPr>
      <w:r>
        <w:t>Fiscal year-end values were stored as month numbers. December and 12 both became 12; missing fiscal year end was left null.</w:t>
      </w:r>
    </w:p>
    <w:p>
      <w:pPr>
        <w:pStyle w:val="ListBullet"/>
      </w:pPr>
      <w:r>
        <w:t>Date values with only month/year precision, such as 04/2022 and March 2024, were stored as the first day of the month with last_reserve_study_precision = month.</w:t>
      </w:r>
    </w:p>
    <w:p>
      <w:pPr>
        <w:pStyle w:val="ListBullet"/>
      </w:pPr>
      <w:r>
        <w:t>Missing unit counts for SR-02 and SR-06 were left null and flagged rather than estimated.</w:t>
      </w:r>
    </w:p>
    <w:p>
      <w:pPr>
        <w:pStyle w:val="Heading2"/>
      </w:pPr>
      <w:r>
        <w:t>Board Members</w:t>
      </w:r>
    </w:p>
    <w:p>
      <w:pPr>
        <w:pStyle w:val="ListBullet"/>
      </w:pPr>
      <w:r>
        <w:t>The exact duplicate Alex Tanaka president row for SR-01 was removed.</w:t>
      </w:r>
    </w:p>
    <w:p>
      <w:pPr>
        <w:pStyle w:val="ListBullet"/>
      </w:pPr>
      <w:r>
        <w:t>Missing member emails and open or unknown term_end values were left null and flagged. These are operational follow-ups, not safe values to invent.</w:t>
      </w:r>
    </w:p>
    <w:p>
      <w:pPr>
        <w:pStyle w:val="ListBullet"/>
      </w:pPr>
      <w:r>
        <w:t>Board rows are kept as membership records scoped to an association rather than collapsed into a global person table, because the data does not prove that repeated names across HOAs identify the same real person.</w:t>
      </w:r>
    </w:p>
    <w:p>
      <w:pPr>
        <w:pStyle w:val="Heading2"/>
      </w:pPr>
      <w:r>
        <w:t>Vendors</w:t>
      </w:r>
    </w:p>
    <w:p>
      <w:pPr>
        <w:pStyle w:val="ListBullet"/>
      </w:pPr>
      <w:r>
        <w:t>Vendors were deduplicated first by normalized email, then by phone/trade, then by normalized name/trade if no stronger identifier existed.</w:t>
      </w:r>
    </w:p>
    <w:p>
      <w:pPr>
        <w:pStyle w:val="ListBullet"/>
      </w:pPr>
      <w:r>
        <w:t>Bright Path Landscaping and Bright Path Landscaping LLC were merged; Coastline Plumbing duplicate rows were merged; Reliable Electric and Reliable Electrical Services were merged.</w:t>
      </w:r>
    </w:p>
    <w:p>
      <w:pPr>
        <w:pStyle w:val="ListBullet"/>
      </w:pPr>
      <w:r>
        <w:t>COI values were normalized from Yes/Y/yes and No/no. Conflicts would be flagged; a true value is retained when one source says a COI exists.</w:t>
      </w:r>
    </w:p>
    <w:p>
      <w:pPr>
        <w:pStyle w:val="ListBullet"/>
      </w:pPr>
      <w:r>
        <w:t>Prospects such as Evergreen Tree Care, Summit Roofing, GreenLeaf Pest Control, and ClearView Window Cleaning remain in vendors without association_vendors rows.</w:t>
      </w:r>
    </w:p>
    <w:p>
      <w:pPr>
        <w:pStyle w:val="Heading1"/>
      </w:pPr>
      <w:r>
        <w:t>Regeneration and Review</w:t>
      </w:r>
    </w:p>
    <w:p>
      <w:r>
        <w:t>The SQL load file is generated from deterministic code. Re-running scripts/clean_and_seed.py refreshes cleaned CSVs, cleaned_data.json, and supabase/reset_and_seed.sql from the raw exports.</w:t>
      </w:r>
    </w:p>
    <w:p>
      <w:r>
        <w:t>The one-pager generator reads from Supabase when SUPABASE_DB_URL is set. It can call the OpenAI Responses API for the Summary / Areas to Watch section when OPENAI_API_KEY is provided; otherwise it uses a deterministic fallback so the report can still be tested locally.</w:t>
      </w:r>
    </w:p>
    <w:p>
      <w:pPr>
        <w:pStyle w:val="Heading1"/>
      </w:pPr>
      <w:r>
        <w:t>AI-Use Transparency</w:t>
      </w:r>
    </w:p>
    <w:p>
      <w:r>
        <w:t>AI assistance was used to draft the schema approach, write repeatable scripts, and turn the cleanup choices into reviewer-facing prose. The actual data transformations are explicit in code and review flags are stored in the database for auditability.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