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33.png" ContentType="image/png"/>
  <Override PartName="/word/media/rId32.png" ContentType="image/png"/>
  <Override PartName="/word/media/rId31.png" ContentType="image/png"/>
  <Override PartName="/word/media/rId23.png" ContentType="image/png"/>
  <Override PartName="/word/media/rId22.png" ContentType="image/png"/>
  <Override PartName="/word/media/rId27.png" ContentType="image/png"/>
  <Override PartName="/word/media/rId28.png" ContentType="image/png"/>
  <Override PartName="/word/media/rId26.png" ContentType="image/png"/>
  <Override PartName="/word/media/rId25.png" ContentType="image/png"/>
  <Override PartName="/word/media/rId30.png" ContentType="image/png"/>
  <Override PartName="/word/media/rId29.png" ContentType="image/png"/>
  <Override PartName="/word/media/rId2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To explore , you may log in with the dummy user accounts (Management level officer)</w:t>
      </w:r>
      <w:r>
        <w:t xml:space="preserve"> </w:t>
      </w:r>
      <w:r>
        <w:t xml:space="preserve">and (Operational level officer).</w:t>
      </w:r>
      <w:r>
        <w:t xml:space="preserve"> </w:t>
      </w:r>
      <w:r>
        <w:t xml:space="preserve">Password .</w:t>
      </w:r>
    </w:p>
    <w:p>
      <w:pPr>
        <w:pStyle w:val="BodyText"/>
      </w:pPr>
      <w:r>
        <w:drawing>
          <wp:inline>
            <wp:extent cx="5334000" cy="836083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user-l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Accessing eLogs:</w:t>
      </w:r>
      <w:r>
        <w:t xml:space="preserve"> </w:t>
      </w:r>
      <w:r>
        <w:t xml:space="preserve">This can be done in 2 ways.</w:t>
      </w:r>
    </w:p>
    <w:p>
      <w:pPr>
        <w:numPr>
          <w:numId w:val="1001"/>
          <w:ilvl w:val="0"/>
        </w:numPr>
      </w:pPr>
      <w:r>
        <w:t xml:space="preserve">Open the UAT RD Web page.</w:t>
      </w:r>
    </w:p>
    <w:p>
      <w:pPr>
        <w:numPr>
          <w:numId w:val="1001"/>
          <w:ilvl w:val="0"/>
        </w:numPr>
      </w:pPr>
      <w:r>
        <w:t xml:space="preserve">Click on the NSA-E log remote app to launch the app.</w:t>
      </w:r>
      <w:r>
        <w:br w:type="textWrapping"/>
      </w:r>
    </w:p>
    <w:p>
      <w:pPr>
        <w:numPr>
          <w:numId w:val="1000"/>
          <w:ilvl w:val="0"/>
        </w:numPr>
      </w:pPr>
      <w:r>
        <w:t xml:space="preserve">For purposes of this guide we will use the first option with following steps:</w:t>
      </w:r>
    </w:p>
    <w:p>
      <w:pPr>
        <w:numPr>
          <w:numId w:val="1000"/>
          <w:ilvl w:val="0"/>
        </w:numPr>
      </w:pPr>
      <w:r>
        <w:drawing>
          <wp:inline>
            <wp:extent cx="5334000" cy="2491914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remote-ap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1"/>
          <w:ilvl w:val="0"/>
        </w:numPr>
      </w:pPr>
      <w:r>
        <w:t xml:space="preserve">Login to the NSE instance using your NS Account credentials.</w:t>
      </w:r>
    </w:p>
    <w:p>
      <w:pPr>
        <w:numPr>
          <w:numId w:val="1001"/>
          <w:ilvl w:val="0"/>
        </w:numPr>
      </w:pPr>
      <w:r>
        <w:t xml:space="preserve">Click on the Module to open the module.</w:t>
      </w:r>
    </w:p>
    <w:p>
      <w:pPr>
        <w:numPr>
          <w:numId w:val="1000"/>
          <w:ilvl w:val="0"/>
        </w:numPr>
      </w:pPr>
      <w:r>
        <w:drawing>
          <wp:inline>
            <wp:extent cx="5334000" cy="920545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modu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0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1"/>
          <w:ilvl w:val="0"/>
        </w:numPr>
      </w:pPr>
      <w:r>
        <w:t xml:space="preserve">That will open the module on MS Edge browser. is a web-based module and it will be accessed from a browser only.</w:t>
      </w:r>
    </w:p>
    <w:p>
      <w:pPr>
        <w:pStyle w:val="FirstParagraph"/>
      </w:pPr>
      <w:r>
        <w:t xml:space="preserve">The other option to access is by directly opening the URL from a browser.</w:t>
      </w:r>
      <w:r>
        <w:t xml:space="preserve"> </w:t>
      </w:r>
      <w:r>
        <w:t xml:space="preserve">The URLs are different for each site since the host’s name is part of the URL.</w:t>
      </w:r>
      <w:r>
        <w:t xml:space="preserve"> </w:t>
      </w:r>
      <w:r>
        <w:t xml:space="preserve">For testing, access by opening the URL:</w:t>
      </w:r>
      <w:r>
        <w:t xml:space="preserve"> </w:t>
      </w:r>
      <w:hyperlink r:id="rId24">
        <w:r>
          <w:rPr>
            <w:rStyle w:val="Hyperlink"/>
          </w:rPr>
          <w:t xml:space="preserve">http://marhsawas908:7071/#/login</w:t>
        </w:r>
      </w:hyperlink>
      <w:r>
        <w:t xml:space="preserve"> </w:t>
      </w:r>
      <w:r>
        <w:t xml:space="preserve">from a browser.</w:t>
      </w:r>
      <w:r>
        <w:t xml:space="preserve"> </w:t>
      </w:r>
      <w:r>
        <w:t xml:space="preserve">( works better if the Chrome browser is used). Once at the login page,</w:t>
      </w:r>
      <w:r>
        <w:t xml:space="preserve"> </w:t>
      </w:r>
      <w:r>
        <w:t xml:space="preserve">use your NSE Credentials to log in.</w:t>
      </w:r>
    </w:p>
    <w:p>
      <w:pPr>
        <w:pStyle w:val="BodyText"/>
      </w:pPr>
      <w:r>
        <w:drawing>
          <wp:inline>
            <wp:extent cx="5334000" cy="228708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sign-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After login, the user selects and creates a signature.</w:t>
      </w:r>
    </w:p>
    <w:p>
      <w:pPr>
        <w:pStyle w:val="BodyText"/>
      </w:pPr>
      <w:r>
        <w:t xml:space="preserve">If a signature is not saved, the user will need to create the signature each time, submitting an update. We are using test account or</w:t>
      </w:r>
      <w:r>
        <w:t xml:space="preserve"> </w:t>
      </w:r>
      <w:r>
        <w:t xml:space="preserve">and password to capture the process of creating/resetting a PIN and Signature.</w:t>
      </w:r>
    </w:p>
    <w:p>
      <w:pPr>
        <w:numPr>
          <w:numId w:val="1002"/>
          <w:ilvl w:val="0"/>
        </w:numPr>
      </w:pPr>
      <w:r>
        <w:t xml:space="preserve">After login to , click on located at the top-right of the page:</w:t>
      </w:r>
    </w:p>
    <w:p>
      <w:pPr>
        <w:numPr>
          <w:numId w:val="1000"/>
          <w:ilvl w:val="0"/>
        </w:numPr>
      </w:pPr>
      <w:r>
        <w:drawing>
          <wp:inline>
            <wp:extent cx="5334000" cy="1042244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setting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2"/>
          <w:ilvl w:val="0"/>
        </w:numPr>
      </w:pPr>
      <w:r>
        <w:t xml:space="preserve">On the user account settings page, click the</w:t>
      </w:r>
      <w:r>
        <w:t xml:space="preserve"> </w:t>
      </w:r>
      <w:r>
        <w:t xml:space="preserve">button and update your user PIN and Signature  </w:t>
      </w:r>
    </w:p>
    <w:p>
      <w:pPr>
        <w:numPr>
          <w:numId w:val="1000"/>
          <w:ilvl w:val="0"/>
        </w:numPr>
      </w:pPr>
      <w:r>
        <w:drawing>
          <wp:inline>
            <wp:extent cx="5334000" cy="1413244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reset-pin-passwo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3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2"/>
          <w:ilvl w:val="0"/>
        </w:numPr>
      </w:pPr>
      <w:r>
        <w:t xml:space="preserve">If the user has an existing PIN (this applies recently created NSE accounts), the system will prompt the users to enter the ,</w:t>
      </w:r>
      <w:r>
        <w:t xml:space="preserve"> </w:t>
      </w:r>
      <w:r>
        <w:t xml:space="preserve">, and . If the user does not have an existing PIN (this applies for older NSE accounts), the system will prompt users to enter a</w:t>
      </w:r>
      <w:r>
        <w:t xml:space="preserve"> </w:t>
      </w:r>
      <w:r>
        <w:t xml:space="preserve">and . Type the new PIN,</w:t>
      </w:r>
      <w:r>
        <w:t xml:space="preserve"> </w:t>
      </w:r>
      <w:r>
        <w:t xml:space="preserve">Confirm the new PIN, and to apply the change.</w:t>
      </w:r>
    </w:p>
    <w:p>
      <w:pPr>
        <w:numPr>
          <w:numId w:val="1000"/>
          <w:ilvl w:val="0"/>
        </w:numPr>
      </w:pPr>
      <w:r>
        <w:drawing>
          <wp:inline>
            <wp:extent cx="5334000" cy="1735917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reset-pin-signa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2"/>
          <w:ilvl w:val="0"/>
        </w:numPr>
      </w:pPr>
      <w:r>
        <w:t xml:space="preserve">Log out of to apply the PIN update.</w:t>
      </w:r>
    </w:p>
    <w:p>
      <w:pPr>
        <w:numPr>
          <w:numId w:val="1002"/>
          <w:ilvl w:val="0"/>
        </w:numPr>
      </w:pPr>
      <w:r>
        <w:t xml:space="preserve">After login to , go to Accounts Settings. Select</w:t>
      </w:r>
      <w:r>
        <w:t xml:space="preserve"> </w:t>
      </w:r>
      <w:r>
        <w:t xml:space="preserve">/ to create your signature. At this point the system will prompt the user to enter the PIN number. Enter the PIN created and</w:t>
      </w:r>
      <w:r>
        <w:t xml:space="preserve"> </w:t>
      </w:r>
      <w:r>
        <w:t xml:space="preserve">click .</w:t>
      </w:r>
    </w:p>
    <w:p>
      <w:pPr>
        <w:numPr>
          <w:numId w:val="1002"/>
          <w:ilvl w:val="0"/>
        </w:numPr>
      </w:pPr>
      <w:r>
        <w:t xml:space="preserve">A box will open for the user to upload or sign a signature. Click the</w:t>
      </w:r>
      <w:r>
        <w:t xml:space="preserve"> </w:t>
      </w:r>
      <w:r>
        <w:t xml:space="preserve">option to use an existing signature that is saved locally on your computer.</w:t>
      </w:r>
      <w:r>
        <w:t xml:space="preserve"> </w:t>
      </w:r>
      <w:r>
        <w:t xml:space="preserve">Use the mouse to create your signature and click to apply the update.</w:t>
      </w:r>
      <w:r>
        <w:t xml:space="preserve"> </w:t>
      </w:r>
      <w:r>
        <w:t xml:space="preserve">The option is to delete an existing signature.</w:t>
      </w:r>
    </w:p>
    <w:p>
      <w:pPr>
        <w:numPr>
          <w:numId w:val="1000"/>
          <w:ilvl w:val="0"/>
        </w:numPr>
      </w:pPr>
      <w:r>
        <w:drawing>
          <wp:inline>
            <wp:extent cx="4552749" cy="3080084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signature-uploa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3080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2"/>
          <w:ilvl w:val="0"/>
        </w:numPr>
      </w:pPr>
      <w:r>
        <w:t xml:space="preserve">Click on to close Account Settings.</w:t>
      </w:r>
    </w:p>
    <w:p>
      <w:pPr>
        <w:numPr>
          <w:numId w:val="1002"/>
          <w:ilvl w:val="0"/>
        </w:numPr>
      </w:pPr>
      <w:r>
        <w:t xml:space="preserve">Saving the Signature is important, or the user will need to sign the signature each time submitting a record update. Below is an example:</w:t>
      </w:r>
      <w:r>
        <w:t xml:space="preserve"> </w:t>
      </w:r>
      <w:r>
        <w:t xml:space="preserve">when the user clicks on the signature window</w:t>
      </w:r>
      <w:r>
        <w:t xml:space="preserve"> </w:t>
      </w:r>
      <w:r>
        <w:t xml:space="preserve">with an already existing signature will open. Enter the PIN and</w:t>
      </w:r>
      <w:r>
        <w:t xml:space="preserve"> </w:t>
      </w:r>
      <w:r>
        <w:t xml:space="preserve">click to complete submitting the record update.</w:t>
      </w:r>
    </w:p>
    <w:p>
      <w:pPr>
        <w:numPr>
          <w:numId w:val="1000"/>
          <w:ilvl w:val="0"/>
        </w:numPr>
      </w:pPr>
      <w:r>
        <w:drawing>
          <wp:inline>
            <wp:extent cx="5334000" cy="2482872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signature-p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2"/>
          <w:ilvl w:val="0"/>
        </w:numPr>
      </w:pPr>
      <w:r>
        <w:t xml:space="preserve">This is number 9 E-log dashboard MARPOL BOOKS:</w:t>
      </w:r>
    </w:p>
    <w:p>
      <w:pPr>
        <w:numPr>
          <w:numId w:val="1000"/>
          <w:ilvl w:val="0"/>
        </w:numPr>
      </w:pPr>
      <w:r>
        <w:drawing>
          <wp:inline>
            <wp:extent cx="5334000" cy="3133724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deck-lo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2"/>
          <w:ilvl w:val="0"/>
        </w:numPr>
      </w:pPr>
      <w:r>
        <w:t xml:space="preserve">This is the oil record book dashboard. The icons are active, you click on them</w:t>
      </w:r>
      <w:r>
        <w:t xml:space="preserve"> </w:t>
      </w:r>
      <w:r>
        <w:t xml:space="preserve">to make log entries as needed.</w:t>
      </w:r>
    </w:p>
    <w:p>
      <w:pPr>
        <w:numPr>
          <w:numId w:val="1002"/>
          <w:ilvl w:val="0"/>
        </w:numPr>
      </w:pPr>
      <w:r>
        <w:t xml:space="preserve">This is the Input Data Selection page/action operation page.</w:t>
      </w:r>
      <w:r>
        <w:br w:type="textWrapping"/>
      </w:r>
    </w:p>
    <w:p>
      <w:pPr>
        <w:numPr>
          <w:numId w:val="1000"/>
          <w:ilvl w:val="0"/>
        </w:numPr>
      </w:pPr>
      <w:r>
        <w:t xml:space="preserve">From the dashboard page please select the</w:t>
      </w:r>
      <w:r>
        <w:t xml:space="preserve"> </w:t>
      </w:r>
      <w:r>
        <w:t xml:space="preserve">OIL RECORD BOOK PART 1:</w:t>
      </w:r>
    </w:p>
    <w:p>
      <w:pPr>
        <w:numPr>
          <w:numId w:val="1000"/>
          <w:ilvl w:val="0"/>
        </w:numPr>
      </w:pPr>
      <w:r>
        <w:drawing>
          <wp:inline>
            <wp:extent cx="5334000" cy="3133724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adm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2"/>
          <w:ilvl w:val="0"/>
        </w:numPr>
      </w:pPr>
      <w:r>
        <w:t xml:space="preserve">Click on the button to record your daily entries.</w:t>
      </w:r>
    </w:p>
    <w:p>
      <w:pPr>
        <w:numPr>
          <w:numId w:val="1000"/>
          <w:ilvl w:val="0"/>
        </w:numPr>
      </w:pPr>
      <w:r>
        <w:drawing>
          <wp:inline>
            <wp:extent cx="5334000" cy="3133724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pics/actions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1002"/>
          <w:ilvl w:val="0"/>
        </w:numPr>
      </w:pPr>
      <w:r>
        <w:t xml:space="preserve">Clicking on the button will take you here to this page, to the Oil record book template. Entries that are underlined in red are mandatory</w:t>
      </w:r>
      <w:r>
        <w:t xml:space="preserve"> </w:t>
      </w:r>
      <w:r>
        <w:t xml:space="preserve">and must has to be completed for submission of the record.</w:t>
      </w:r>
    </w:p>
    <w:p>
      <w:pPr>
        <w:numPr>
          <w:numId w:val="1003"/>
          <w:ilvl w:val="0"/>
        </w:numPr>
      </w:pPr>
      <w:r>
        <w:t xml:space="preserve">From the Electronic Record Books () screen (ship level), select the</w:t>
      </w:r>
      <w:r>
        <w:t xml:space="preserve"> </w:t>
      </w:r>
      <w:r>
        <w:t xml:space="preserve">.</w:t>
      </w:r>
    </w:p>
    <w:p>
      <w:pPr>
        <w:numPr>
          <w:numId w:val="1003"/>
          <w:ilvl w:val="0"/>
        </w:numPr>
      </w:pPr>
      <w:r>
        <w:t xml:space="preserve">On the record book menu, select the button.</w:t>
      </w:r>
      <w:r>
        <w:t xml:space="preserve"> </w:t>
      </w:r>
      <w:r>
        <w:t xml:space="preserve">The record book’s screen displays.</w:t>
      </w:r>
    </w:p>
    <w:p>
      <w:pPr>
        <w:numPr>
          <w:numId w:val="1003"/>
          <w:ilvl w:val="0"/>
        </w:numPr>
      </w:pPr>
      <w:r>
        <w:t xml:space="preserve">Select the appropriate and .</w:t>
      </w:r>
      <w:r>
        <w:t xml:space="preserve"> </w:t>
      </w:r>
      <w:r>
        <w:t xml:space="preserve">The form will populate with additional sections for data entry.</w:t>
      </w:r>
    </w:p>
    <w:p>
      <w:pPr>
        <w:numPr>
          <w:numId w:val="1000"/>
          <w:ilvl w:val="0"/>
        </w:numPr>
      </w:pPr>
      <w:r>
        <w:t xml:space="preserve">uses Greenwich Mean Time (</w:t>
      </w:r>
      <w:r>
        <w:rPr>
          <w:b/>
        </w:rPr>
        <w:t xml:space="preserve">GMT</w:t>
      </w:r>
      <w:r>
        <w:t xml:space="preserve">) and</w:t>
      </w:r>
      <w:r>
        <w:t xml:space="preserve"> </w:t>
      </w:r>
      <w:r>
        <w:t xml:space="preserve">Local Time (</w:t>
      </w:r>
      <w:r>
        <w:rPr>
          <w:b/>
        </w:rPr>
        <w:t xml:space="preserve">LT</w:t>
      </w:r>
      <w:r>
        <w:t xml:space="preserve">) in record detail. The time is</w:t>
      </w:r>
      <w:r>
        <w:t xml:space="preserve"> </w:t>
      </w:r>
      <w:r>
        <w:t xml:space="preserve">entered using military time format. Time entries display in</w:t>
      </w:r>
      <w:r>
        <w:t xml:space="preserve"> </w:t>
      </w:r>
      <w:r>
        <w:t xml:space="preserve">the , in</w:t>
      </w:r>
      <w:r>
        <w:t xml:space="preserve"> </w:t>
      </w:r>
      <w:r>
        <w:t xml:space="preserve">the exported file and can be found in the print out of the record.</w:t>
      </w:r>
    </w:p>
    <w:p>
      <w:pPr>
        <w:numPr>
          <w:numId w:val="1003"/>
          <w:ilvl w:val="0"/>
        </w:numPr>
      </w:pPr>
      <w:r>
        <w:t xml:space="preserve">Enter the appropriate information in all required fields. Required fields are underlined</w:t>
      </w:r>
      <w:r>
        <w:t xml:space="preserve"> </w:t>
      </w:r>
      <w:r>
        <w:t xml:space="preserve">in .</w:t>
      </w:r>
    </w:p>
    <w:p>
      <w:pPr>
        <w:numPr>
          <w:numId w:val="1003"/>
          <w:ilvl w:val="0"/>
        </w:numPr>
      </w:pPr>
      <w:r>
        <w:rPr>
          <w:b/>
        </w:rPr>
        <w:t xml:space="preserve">Optional</w:t>
      </w:r>
      <w:r>
        <w:t xml:space="preserve">. For , there are</w:t>
      </w:r>
      <w:r>
        <w:t xml:space="preserve"> </w:t>
      </w:r>
      <w:r>
        <w:t xml:space="preserve">three options that can be selected where ballasting</w:t>
      </w:r>
      <w:r>
        <w:t xml:space="preserve"> </w:t>
      </w:r>
      <w:r>
        <w:t xml:space="preserve">was performed: , , .</w:t>
      </w:r>
    </w:p>
    <w:p>
      <w:pPr>
        <w:numPr>
          <w:numId w:val="1000"/>
          <w:ilvl w:val="0"/>
        </w:numPr>
      </w:pPr>
      <w:r>
        <w:t xml:space="preserve">To view the ,</w:t>
      </w:r>
      <w:r>
        <w:t xml:space="preserve"> </w:t>
      </w:r>
      <w:r>
        <w:t xml:space="preserve">click the button located to the top right of the screen</w:t>
      </w:r>
      <w:r>
        <w:t xml:space="preserve"> </w:t>
      </w:r>
      <w:r>
        <w:t xml:space="preserve">just above the button. The</w:t>
      </w:r>
      <w:r>
        <w:t xml:space="preserve"> </w:t>
      </w:r>
      <w:r>
        <w:t xml:space="preserve">dialog will be opened. Click either</w:t>
      </w:r>
      <w:r>
        <w:t xml:space="preserve"> </w:t>
      </w:r>
      <w:r>
        <w:t xml:space="preserve">or for details.</w:t>
      </w:r>
    </w:p>
    <w:p>
      <w:pPr>
        <w:numPr>
          <w:numId w:val="1000"/>
          <w:ilvl w:val="0"/>
        </w:numPr>
      </w:pPr>
      <w:r>
        <w:t xml:space="preserve">This feature can be used on a rig or offshore vessel to view the time and location of</w:t>
      </w:r>
      <w:r>
        <w:t xml:space="preserve"> </w:t>
      </w:r>
      <w:r>
        <w:t xml:space="preserve">the vessel when the logbook is accessed.</w:t>
      </w:r>
    </w:p>
    <w:p>
      <w:pPr>
        <w:numPr>
          <w:numId w:val="1000"/>
          <w:ilvl w:val="0"/>
        </w:numPr>
      </w:pPr>
      <w:r>
        <w:t xml:space="preserve">To create a record for ballast or cleaning water discharge from oil fuel tanks,</w:t>
      </w:r>
      <w:r>
        <w:t xml:space="preserve"> </w:t>
      </w:r>
      <w:r>
        <w:t xml:space="preserve">navigate to</w:t>
      </w:r>
    </w:p>
    <w:p>
      <w:pPr>
        <w:numPr>
          <w:numId w:val="1000"/>
          <w:ilvl w:val="0"/>
        </w:numPr>
      </w:pPr>
      <w:r>
        <w:t xml:space="preserve">For the</w:t>
      </w:r>
      <w:r>
        <w:t xml:space="preserve"> </w:t>
      </w:r>
      <w:r>
        <w:rPr>
          <w:b/>
        </w:rPr>
        <w:t xml:space="preserve">Category</w:t>
      </w:r>
      <w:r>
        <w:t xml:space="preserve">, select .</w:t>
      </w:r>
    </w:p>
    <w:p>
      <w:pPr>
        <w:numPr>
          <w:numId w:val="1000"/>
          <w:ilvl w:val="0"/>
        </w:numPr>
      </w:pPr>
      <w:r>
        <w:t xml:space="preserve">To create a record for weekly update of residues, navigate to</w:t>
      </w:r>
    </w:p>
    <w:p>
      <w:pPr>
        <w:numPr>
          <w:numId w:val="1000"/>
          <w:ilvl w:val="0"/>
        </w:numPr>
      </w:pPr>
      <w:r>
        <w:t xml:space="preserve">For the</w:t>
      </w:r>
      <w:r>
        <w:t xml:space="preserve"> </w:t>
      </w:r>
      <w:r>
        <w:rPr>
          <w:b/>
        </w:rPr>
        <w:t xml:space="preserve">Category</w:t>
      </w:r>
      <w:r>
        <w:t xml:space="preserve">, select .</w:t>
      </w:r>
      <w:r>
        <w:t xml:space="preserve"> </w:t>
      </w:r>
      <w:r>
        <w:t xml:space="preserve">Then select .</w:t>
      </w:r>
    </w:p>
    <w:p>
      <w:pPr>
        <w:numPr>
          <w:numId w:val="1000"/>
          <w:ilvl w:val="0"/>
        </w:numPr>
      </w:pPr>
      <w:r>
        <w:t xml:space="preserve">To create a record for non-automatic water discharge, navigate to</w:t>
      </w:r>
    </w:p>
    <w:p>
      <w:pPr>
        <w:numPr>
          <w:numId w:val="1000"/>
          <w:ilvl w:val="0"/>
        </w:numPr>
      </w:pPr>
      <w:r>
        <w:t xml:space="preserve">For the</w:t>
      </w:r>
      <w:r>
        <w:t xml:space="preserve"> </w:t>
      </w:r>
      <w:r>
        <w:rPr>
          <w:b/>
        </w:rPr>
        <w:t xml:space="preserve">Category</w:t>
      </w:r>
      <w:r>
        <w:t xml:space="preserve">, select .</w:t>
      </w:r>
    </w:p>
    <w:p>
      <w:pPr>
        <w:numPr>
          <w:numId w:val="1000"/>
          <w:ilvl w:val="0"/>
        </w:numPr>
      </w:pPr>
      <w:r>
        <w:t xml:space="preserve">To create a record for automatic water discharge, navigate to</w:t>
      </w:r>
    </w:p>
    <w:p>
      <w:pPr>
        <w:numPr>
          <w:numId w:val="1000"/>
          <w:ilvl w:val="0"/>
        </w:numPr>
      </w:pPr>
      <w:r>
        <w:t xml:space="preserve">For the</w:t>
      </w:r>
      <w:r>
        <w:t xml:space="preserve"> </w:t>
      </w:r>
      <w:r>
        <w:rPr>
          <w:b/>
        </w:rPr>
        <w:t xml:space="preserve">Category</w:t>
      </w:r>
      <w:r>
        <w:t xml:space="preserve">, select .</w:t>
      </w:r>
    </w:p>
    <w:p>
      <w:pPr>
        <w:numPr>
          <w:numId w:val="1000"/>
          <w:ilvl w:val="0"/>
        </w:numPr>
      </w:pPr>
      <w:r>
        <w:t xml:space="preserve">To create a record for oil filtering equipment condition, navigate to</w:t>
      </w:r>
    </w:p>
    <w:p>
      <w:pPr>
        <w:numPr>
          <w:numId w:val="1000"/>
          <w:ilvl w:val="0"/>
        </w:numPr>
      </w:pPr>
      <w:r>
        <w:t xml:space="preserve">For the</w:t>
      </w:r>
      <w:r>
        <w:t xml:space="preserve"> </w:t>
      </w:r>
      <w:r>
        <w:rPr>
          <w:b/>
        </w:rPr>
        <w:t xml:space="preserve">Category</w:t>
      </w:r>
      <w:r>
        <w:t xml:space="preserve">, select .</w:t>
      </w:r>
    </w:p>
    <w:p>
      <w:pPr>
        <w:numPr>
          <w:numId w:val="1000"/>
          <w:ilvl w:val="0"/>
        </w:numPr>
      </w:pPr>
      <w:r>
        <w:t xml:space="preserve">To create a record for oil discharges, navigate to</w:t>
      </w:r>
    </w:p>
    <w:p>
      <w:pPr>
        <w:numPr>
          <w:numId w:val="1000"/>
          <w:ilvl w:val="0"/>
        </w:numPr>
      </w:pPr>
      <w:r>
        <w:t xml:space="preserve">For the</w:t>
      </w:r>
      <w:r>
        <w:t xml:space="preserve"> </w:t>
      </w:r>
      <w:r>
        <w:rPr>
          <w:b/>
        </w:rPr>
        <w:t xml:space="preserve">Category</w:t>
      </w:r>
      <w:r>
        <w:t xml:space="preserve">, select .</w:t>
      </w:r>
    </w:p>
    <w:p>
      <w:pPr>
        <w:numPr>
          <w:numId w:val="1000"/>
          <w:ilvl w:val="0"/>
        </w:numPr>
      </w:pPr>
      <w:r>
        <w:t xml:space="preserve">You need to enter</w:t>
      </w:r>
      <w:r>
        <w:t xml:space="preserve"> </w:t>
      </w:r>
      <w:r>
        <w:rPr>
          <w:i/>
        </w:rPr>
        <w:t xml:space="preserve">either</w:t>
      </w:r>
      <w:r>
        <w:t xml:space="preserve"> </w:t>
      </w:r>
      <w:r>
        <w:t xml:space="preserve">a port location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latitude/longitude coordinate pair.</w:t>
      </w:r>
    </w:p>
    <w:p>
      <w:pPr>
        <w:numPr>
          <w:numId w:val="1000"/>
          <w:ilvl w:val="0"/>
        </w:numPr>
      </w:pPr>
      <w:r>
        <w:t xml:space="preserve">To create a record for bunkering of fuel/lubricating oil, navigate to</w:t>
      </w:r>
    </w:p>
    <w:p>
      <w:pPr>
        <w:numPr>
          <w:numId w:val="1000"/>
          <w:ilvl w:val="0"/>
        </w:numPr>
      </w:pPr>
      <w:r>
        <w:t xml:space="preserve">For the</w:t>
      </w:r>
      <w:r>
        <w:t xml:space="preserve"> </w:t>
      </w:r>
      <w:r>
        <w:rPr>
          <w:b/>
        </w:rPr>
        <w:t xml:space="preserve">Category</w:t>
      </w:r>
      <w:r>
        <w:t xml:space="preserve">, select .</w:t>
      </w:r>
    </w:p>
    <w:p>
      <w:pPr>
        <w:numPr>
          <w:numId w:val="1000"/>
          <w:ilvl w:val="0"/>
        </w:numPr>
      </w:pPr>
      <w:r>
        <w:t xml:space="preserve">The final category is for remarks or operations that do not have</w:t>
      </w:r>
      <w:r>
        <w:t xml:space="preserve"> </w:t>
      </w:r>
      <w:r>
        <w:t xml:space="preserve">their own structured format.</w:t>
      </w:r>
    </w:p>
    <w:p>
      <w:pPr>
        <w:numPr>
          <w:numId w:val="1000"/>
          <w:ilvl w:val="0"/>
        </w:numPr>
      </w:pPr>
      <w:r>
        <w:t xml:space="preserve">For the</w:t>
      </w:r>
      <w:r>
        <w:t xml:space="preserve"> </w:t>
      </w:r>
      <w:r>
        <w:rPr>
          <w:b/>
        </w:rPr>
        <w:t xml:space="preserve">Category</w:t>
      </w:r>
      <w:r>
        <w:t xml:space="preserve">, select .</w:t>
      </w:r>
    </w:p>
    <w:p>
      <w:pPr>
        <w:numPr>
          <w:numId w:val="1003"/>
          <w:ilvl w:val="0"/>
        </w:numPr>
      </w:pPr>
      <w:r>
        <w:t xml:space="preserve">For all</w:t>
      </w:r>
      <w:r>
        <w:t xml:space="preserve"> </w:t>
      </w:r>
      <w:r>
        <w:rPr>
          <w:b/>
        </w:rPr>
        <w:t xml:space="preserve">Categories</w:t>
      </w:r>
      <w:r>
        <w:t xml:space="preserve">: to</w:t>
      </w:r>
      <w:r>
        <w:t xml:space="preserve"> </w:t>
      </w:r>
      <w:r>
        <w:rPr>
          <w:b/>
        </w:rPr>
        <w:t xml:space="preserve">add attachments</w:t>
      </w:r>
      <w:r>
        <w:t xml:space="preserve">, click the browse to upload hyperlink located in the</w:t>
      </w:r>
      <w:r>
        <w:t xml:space="preserve"> </w:t>
      </w:r>
      <w:r>
        <w:t xml:space="preserve">section and select the appropriate file. File types that can be attached</w:t>
      </w:r>
      <w:r>
        <w:t xml:space="preserve"> </w:t>
      </w:r>
      <w:r>
        <w:t xml:space="preserve">include , , , , , , and .</w:t>
      </w:r>
    </w:p>
    <w:p>
      <w:pPr>
        <w:numPr>
          <w:numId w:val="1003"/>
          <w:ilvl w:val="0"/>
        </w:numPr>
      </w:pPr>
      <w:r>
        <w:rPr>
          <w:b/>
        </w:rPr>
        <w:t xml:space="preserve">Optional</w:t>
      </w:r>
      <w:r>
        <w:t xml:space="preserve">. To save the record book entry as a draft</w:t>
      </w:r>
      <w:r>
        <w:t xml:space="preserve"> </w:t>
      </w:r>
      <w:r>
        <w:t xml:space="preserve">rather than submitting it for approval, in the</w:t>
      </w:r>
      <w:r>
        <w:t xml:space="preserve"> </w:t>
      </w:r>
      <w:r>
        <w:t xml:space="preserve">section, click the button. Once a record is saved as a</w:t>
      </w:r>
      <w:r>
        <w:t xml:space="preserve"> </w:t>
      </w:r>
      <w:r>
        <w:t xml:space="preserve">draft, the button will appear in the</w:t>
      </w:r>
      <w:r>
        <w:t xml:space="preserve"> </w:t>
      </w:r>
      <w:r>
        <w:t xml:space="preserve">section.</w:t>
      </w:r>
    </w:p>
    <w:p>
      <w:pPr>
        <w:numPr>
          <w:numId w:val="1003"/>
          <w:ilvl w:val="0"/>
        </w:numPr>
      </w:pPr>
      <w:r>
        <w:t xml:space="preserve">In the section, enter the</w:t>
      </w:r>
      <w:r>
        <w:t xml:space="preserve"> </w:t>
      </w:r>
      <w:r>
        <w:t xml:space="preserve">, , and signature.</w:t>
      </w:r>
    </w:p>
    <w:p>
      <w:pPr>
        <w:numPr>
          <w:numId w:val="1003"/>
          <w:ilvl w:val="0"/>
        </w:numPr>
      </w:pPr>
      <w:r>
        <w:t xml:space="preserve">From the section, click the</w:t>
      </w:r>
      <w:r>
        <w:t xml:space="preserve"> </w:t>
      </w:r>
      <w:r>
        <w:t xml:space="preserve">button. An dialog displays.</w:t>
      </w:r>
    </w:p>
    <w:p>
      <w:pPr>
        <w:numPr>
          <w:numId w:val="1003"/>
          <w:ilvl w:val="0"/>
        </w:numPr>
      </w:pPr>
      <w:r>
        <w:t xml:space="preserve">Enter the appropriate</w:t>
      </w:r>
      <w:r>
        <w:t xml:space="preserve"> </w:t>
      </w:r>
      <w:r>
        <w:rPr>
          <w:b/>
        </w:rPr>
        <w:t xml:space="preserve">Pin Number</w:t>
      </w:r>
      <w:r>
        <w:t xml:space="preserve"> </w:t>
      </w:r>
      <w:r>
        <w:t xml:space="preserve">and then click 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546e0a9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201">
    <w:nsid w:val="5b583501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33" Target="media/rId33.png" /><Relationship Type="http://schemas.openxmlformats.org/officeDocument/2006/relationships/image" Id="rId32" Target="media/rId32.png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6" Target="media/rId26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hyperlink" Id="rId24" Target="http://marhsawas908:7071/#/logi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://marhsawas908:7071/#/log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