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5B988" w14:textId="165AFB85" w:rsidR="00583858" w:rsidRPr="00A45CAA" w:rsidRDefault="00B52F93" w:rsidP="005838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© </w:t>
      </w:r>
      <w:r w:rsidR="00583858" w:rsidRPr="00A45CAA">
        <w:rPr>
          <w:rFonts w:ascii="Times New Roman" w:hAnsi="Times New Roman" w:cs="Times New Roman"/>
          <w:sz w:val="24"/>
          <w:szCs w:val="24"/>
        </w:rPr>
        <w:t xml:space="preserve">Wojtek Lamentowicz </w:t>
      </w:r>
      <w:r w:rsidR="00F778F2" w:rsidRPr="00A45CAA">
        <w:rPr>
          <w:rFonts w:ascii="Times New Roman" w:hAnsi="Times New Roman" w:cs="Times New Roman"/>
          <w:sz w:val="24"/>
          <w:szCs w:val="24"/>
        </w:rPr>
        <w:t xml:space="preserve">(pomoc dydaktyczna dla studentów prawoznawstwa) </w:t>
      </w:r>
    </w:p>
    <w:p w14:paraId="0DF956F2" w14:textId="77777777" w:rsidR="00F778F2" w:rsidRPr="00A45CAA" w:rsidRDefault="00F778F2" w:rsidP="005838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45ADE4" w14:textId="2C1E2AA6" w:rsidR="005216B3" w:rsidRPr="00B52F93" w:rsidRDefault="005216B3" w:rsidP="00A42DF3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B52F93">
        <w:rPr>
          <w:rFonts w:ascii="Times New Roman" w:hAnsi="Times New Roman" w:cs="Times New Roman"/>
          <w:sz w:val="36"/>
          <w:szCs w:val="36"/>
        </w:rPr>
        <w:t>Instytucjonalne gwarancje rządów prawa</w:t>
      </w:r>
    </w:p>
    <w:p w14:paraId="34890C52" w14:textId="77777777" w:rsidR="00B42890" w:rsidRPr="00A45CAA" w:rsidRDefault="00B42890" w:rsidP="00A42D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0AEA2B" w14:textId="68F23CE4" w:rsidR="00572698" w:rsidRPr="00A45CAA" w:rsidRDefault="00572698" w:rsidP="00A42DF3">
      <w:pPr>
        <w:pStyle w:val="Akapitzlist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5CAA">
        <w:rPr>
          <w:rFonts w:ascii="Times New Roman" w:hAnsi="Times New Roman" w:cs="Times New Roman"/>
          <w:sz w:val="24"/>
          <w:szCs w:val="24"/>
        </w:rPr>
        <w:t>Cele gwarancji</w:t>
      </w:r>
      <w:r w:rsidR="005A07CF">
        <w:rPr>
          <w:rFonts w:ascii="Times New Roman" w:hAnsi="Times New Roman" w:cs="Times New Roman"/>
          <w:sz w:val="24"/>
          <w:szCs w:val="24"/>
        </w:rPr>
        <w:t xml:space="preserve">: dlaczego ważne są </w:t>
      </w:r>
      <w:r w:rsidRPr="00A45CAA">
        <w:rPr>
          <w:rFonts w:ascii="Times New Roman" w:hAnsi="Times New Roman" w:cs="Times New Roman"/>
          <w:sz w:val="24"/>
          <w:szCs w:val="24"/>
        </w:rPr>
        <w:t xml:space="preserve"> decyzje ludzi</w:t>
      </w:r>
      <w:r w:rsidR="008E7782">
        <w:rPr>
          <w:rFonts w:ascii="Times New Roman" w:hAnsi="Times New Roman" w:cs="Times New Roman"/>
          <w:sz w:val="24"/>
          <w:szCs w:val="24"/>
        </w:rPr>
        <w:t xml:space="preserve"> chroniących godność człowieka i autorytet prawa.</w:t>
      </w:r>
      <w:r w:rsidRPr="00A45CAA">
        <w:rPr>
          <w:rFonts w:ascii="Times New Roman" w:hAnsi="Times New Roman" w:cs="Times New Roman"/>
          <w:sz w:val="24"/>
          <w:szCs w:val="24"/>
        </w:rPr>
        <w:t>.</w:t>
      </w:r>
    </w:p>
    <w:p w14:paraId="0EE3C131" w14:textId="77777777" w:rsidR="00B42890" w:rsidRPr="00A45CAA" w:rsidRDefault="00B42890" w:rsidP="00B42890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0FB544" w14:textId="1E3B2638" w:rsidR="0091718C" w:rsidRDefault="0091718C" w:rsidP="004F075B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Gwarancje instytucjonalne to szczególne układy norm prawnych i zasad kultury prawnej, które</w:t>
      </w:r>
      <w:r w:rsidR="00C12C4F">
        <w:rPr>
          <w:rFonts w:ascii="Times New Roman" w:hAnsi="Times New Roman" w:cs="Times New Roman"/>
          <w:sz w:val="24"/>
          <w:szCs w:val="24"/>
        </w:rPr>
        <w:t xml:space="preserve"> wspierając się wzajemnie</w:t>
      </w:r>
      <w:r>
        <w:rPr>
          <w:rFonts w:ascii="Times New Roman" w:hAnsi="Times New Roman" w:cs="Times New Roman"/>
          <w:sz w:val="24"/>
          <w:szCs w:val="24"/>
        </w:rPr>
        <w:t xml:space="preserve"> maj</w:t>
      </w:r>
      <w:r w:rsidR="00C12C4F">
        <w:rPr>
          <w:rFonts w:ascii="Times New Roman" w:hAnsi="Times New Roman" w:cs="Times New Roman"/>
          <w:sz w:val="24"/>
          <w:szCs w:val="24"/>
        </w:rPr>
        <w:t>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07CF">
        <w:rPr>
          <w:rFonts w:ascii="Times New Roman" w:hAnsi="Times New Roman" w:cs="Times New Roman"/>
          <w:b/>
          <w:bCs/>
          <w:sz w:val="24"/>
          <w:szCs w:val="24"/>
        </w:rPr>
        <w:t xml:space="preserve">zdolność zwiększania szansy, że </w:t>
      </w:r>
      <w:r w:rsidR="00671089" w:rsidRPr="005A07CF">
        <w:rPr>
          <w:rFonts w:ascii="Times New Roman" w:hAnsi="Times New Roman" w:cs="Times New Roman"/>
          <w:b/>
          <w:bCs/>
          <w:sz w:val="24"/>
          <w:szCs w:val="24"/>
        </w:rPr>
        <w:t xml:space="preserve">status obywatela w państwie, a zwłaszcza jego </w:t>
      </w:r>
      <w:r w:rsidR="00666203" w:rsidRPr="005A07CF">
        <w:rPr>
          <w:rFonts w:ascii="Times New Roman" w:hAnsi="Times New Roman" w:cs="Times New Roman"/>
          <w:b/>
          <w:bCs/>
          <w:sz w:val="24"/>
          <w:szCs w:val="24"/>
        </w:rPr>
        <w:t>życie</w:t>
      </w:r>
      <w:r w:rsidR="00671089" w:rsidRPr="005A07CF">
        <w:rPr>
          <w:rFonts w:ascii="Times New Roman" w:hAnsi="Times New Roman" w:cs="Times New Roman"/>
          <w:b/>
          <w:bCs/>
          <w:sz w:val="24"/>
          <w:szCs w:val="24"/>
        </w:rPr>
        <w:t xml:space="preserve">, wolność i </w:t>
      </w:r>
      <w:r w:rsidR="00666203" w:rsidRPr="005A07CF">
        <w:rPr>
          <w:rFonts w:ascii="Times New Roman" w:hAnsi="Times New Roman" w:cs="Times New Roman"/>
          <w:b/>
          <w:bCs/>
          <w:sz w:val="24"/>
          <w:szCs w:val="24"/>
        </w:rPr>
        <w:t>majątek</w:t>
      </w:r>
      <w:r w:rsidR="00671089" w:rsidRPr="005A07C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666203" w:rsidRPr="005A07CF">
        <w:rPr>
          <w:rFonts w:ascii="Times New Roman" w:hAnsi="Times New Roman" w:cs="Times New Roman"/>
          <w:b/>
          <w:bCs/>
          <w:sz w:val="24"/>
          <w:szCs w:val="24"/>
        </w:rPr>
        <w:t>nie będą poddawane arbitralnym ingerencjom władz publicznych, lecz tylko takim, które są dokonywane na podstawie i w granicach ogólnych i abstrakcyjnych norm prawa</w:t>
      </w:r>
      <w:r w:rsidR="00666203">
        <w:rPr>
          <w:rFonts w:ascii="Times New Roman" w:hAnsi="Times New Roman" w:cs="Times New Roman"/>
          <w:sz w:val="24"/>
          <w:szCs w:val="24"/>
        </w:rPr>
        <w:t>.</w:t>
      </w:r>
      <w:r w:rsidR="00D0108C">
        <w:rPr>
          <w:rFonts w:ascii="Times New Roman" w:hAnsi="Times New Roman" w:cs="Times New Roman"/>
          <w:sz w:val="24"/>
          <w:szCs w:val="24"/>
        </w:rPr>
        <w:t xml:space="preserve"> Dotyczą </w:t>
      </w:r>
      <w:r w:rsidR="00C12C4F">
        <w:rPr>
          <w:rFonts w:ascii="Times New Roman" w:hAnsi="Times New Roman" w:cs="Times New Roman"/>
          <w:sz w:val="24"/>
          <w:szCs w:val="24"/>
        </w:rPr>
        <w:t>te gwarancje</w:t>
      </w:r>
      <w:r w:rsidR="00D0108C">
        <w:rPr>
          <w:rFonts w:ascii="Times New Roman" w:hAnsi="Times New Roman" w:cs="Times New Roman"/>
          <w:sz w:val="24"/>
          <w:szCs w:val="24"/>
        </w:rPr>
        <w:t xml:space="preserve"> zarówno treści jak i form realizacji </w:t>
      </w:r>
      <w:r w:rsidR="005232EF">
        <w:rPr>
          <w:rFonts w:ascii="Times New Roman" w:hAnsi="Times New Roman" w:cs="Times New Roman"/>
          <w:sz w:val="24"/>
          <w:szCs w:val="24"/>
        </w:rPr>
        <w:t xml:space="preserve">prawa. Leon </w:t>
      </w:r>
      <w:proofErr w:type="spellStart"/>
      <w:r w:rsidR="005232EF">
        <w:rPr>
          <w:rFonts w:ascii="Times New Roman" w:hAnsi="Times New Roman" w:cs="Times New Roman"/>
          <w:sz w:val="24"/>
          <w:szCs w:val="24"/>
        </w:rPr>
        <w:t>Duguit</w:t>
      </w:r>
      <w:proofErr w:type="spellEnd"/>
      <w:r w:rsidR="00DA4D0F">
        <w:rPr>
          <w:rFonts w:ascii="Times New Roman" w:hAnsi="Times New Roman" w:cs="Times New Roman"/>
          <w:sz w:val="24"/>
          <w:szCs w:val="24"/>
        </w:rPr>
        <w:t xml:space="preserve"> przekonany, że solidarna współpraca ludzi jest koniecznym i potrzebnym skutkiem samego podziału pracy,</w:t>
      </w:r>
      <w:r w:rsidR="005232EF">
        <w:rPr>
          <w:rFonts w:ascii="Times New Roman" w:hAnsi="Times New Roman" w:cs="Times New Roman"/>
          <w:sz w:val="24"/>
          <w:szCs w:val="24"/>
        </w:rPr>
        <w:t xml:space="preserve"> trafnie twierdził, że najskuteczniejsz</w:t>
      </w:r>
      <w:r w:rsidR="00DA4D0F">
        <w:rPr>
          <w:rFonts w:ascii="Times New Roman" w:hAnsi="Times New Roman" w:cs="Times New Roman"/>
          <w:sz w:val="24"/>
          <w:szCs w:val="24"/>
        </w:rPr>
        <w:t>ą</w:t>
      </w:r>
      <w:r w:rsidR="005232EF">
        <w:rPr>
          <w:rFonts w:ascii="Times New Roman" w:hAnsi="Times New Roman" w:cs="Times New Roman"/>
          <w:sz w:val="24"/>
          <w:szCs w:val="24"/>
        </w:rPr>
        <w:t xml:space="preserve"> ochroną jednostki przed arbitralnością państwa </w:t>
      </w:r>
      <w:r w:rsidR="00C12C4F">
        <w:rPr>
          <w:rFonts w:ascii="Times New Roman" w:hAnsi="Times New Roman" w:cs="Times New Roman"/>
          <w:sz w:val="24"/>
          <w:szCs w:val="24"/>
        </w:rPr>
        <w:t>jest powszechność, ogólność i pewność norm samego prawa.</w:t>
      </w:r>
      <w:r w:rsidR="00DA4D0F">
        <w:rPr>
          <w:rStyle w:val="Odwoanieprzypisudolnego"/>
          <w:rFonts w:ascii="Times New Roman" w:hAnsi="Times New Roman" w:cs="Times New Roman"/>
          <w:sz w:val="24"/>
          <w:szCs w:val="24"/>
        </w:rPr>
        <w:footnoteReference w:id="1"/>
      </w:r>
      <w:r w:rsidR="00C12C4F">
        <w:rPr>
          <w:rFonts w:ascii="Times New Roman" w:hAnsi="Times New Roman" w:cs="Times New Roman"/>
          <w:sz w:val="24"/>
          <w:szCs w:val="24"/>
        </w:rPr>
        <w:t xml:space="preserve"> Jednak nawet tak dobre prawo wymaga rozumnej aktywności tych osób, od których zależy praktyczne używanie instytucjonalnych gwarancji rządów prawa.</w:t>
      </w:r>
    </w:p>
    <w:p w14:paraId="404C485E" w14:textId="4141B028" w:rsidR="00572698" w:rsidRPr="00A45CAA" w:rsidRDefault="00635278" w:rsidP="004F075B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CAA">
        <w:rPr>
          <w:rFonts w:ascii="Times New Roman" w:hAnsi="Times New Roman" w:cs="Times New Roman"/>
          <w:sz w:val="24"/>
          <w:szCs w:val="24"/>
        </w:rPr>
        <w:t>Głównym c</w:t>
      </w:r>
      <w:r w:rsidR="00572698" w:rsidRPr="00A45CAA">
        <w:rPr>
          <w:rFonts w:ascii="Times New Roman" w:hAnsi="Times New Roman" w:cs="Times New Roman"/>
          <w:sz w:val="24"/>
          <w:szCs w:val="24"/>
        </w:rPr>
        <w:t>elem tworzenia</w:t>
      </w:r>
      <w:r w:rsidR="000F4C2C" w:rsidRPr="00A45CAA">
        <w:rPr>
          <w:rFonts w:ascii="Times New Roman" w:hAnsi="Times New Roman" w:cs="Times New Roman"/>
          <w:sz w:val="24"/>
          <w:szCs w:val="24"/>
        </w:rPr>
        <w:t xml:space="preserve"> </w:t>
      </w:r>
      <w:r w:rsidR="0091718C">
        <w:rPr>
          <w:rFonts w:ascii="Times New Roman" w:hAnsi="Times New Roman" w:cs="Times New Roman"/>
          <w:sz w:val="24"/>
          <w:szCs w:val="24"/>
        </w:rPr>
        <w:t xml:space="preserve">instytucjonalnych </w:t>
      </w:r>
      <w:r w:rsidR="000F4C2C" w:rsidRPr="00A45CAA">
        <w:rPr>
          <w:rFonts w:ascii="Times New Roman" w:hAnsi="Times New Roman" w:cs="Times New Roman"/>
          <w:sz w:val="24"/>
          <w:szCs w:val="24"/>
        </w:rPr>
        <w:t>gwarancji</w:t>
      </w:r>
      <w:r w:rsidR="00572698" w:rsidRPr="00A45CAA">
        <w:rPr>
          <w:rFonts w:ascii="Times New Roman" w:hAnsi="Times New Roman" w:cs="Times New Roman"/>
          <w:sz w:val="24"/>
          <w:szCs w:val="24"/>
        </w:rPr>
        <w:t xml:space="preserve"> rządów prawa jest </w:t>
      </w:r>
      <w:r w:rsidR="00572698" w:rsidRPr="00A45CAA">
        <w:rPr>
          <w:rFonts w:ascii="Times New Roman" w:hAnsi="Times New Roman" w:cs="Times New Roman"/>
          <w:b/>
          <w:bCs/>
          <w:sz w:val="24"/>
          <w:szCs w:val="24"/>
        </w:rPr>
        <w:t>zwiększenie prawdopodobieństwa realnej</w:t>
      </w:r>
      <w:r w:rsidR="000F4C2C" w:rsidRPr="00A45CAA">
        <w:rPr>
          <w:rFonts w:ascii="Times New Roman" w:hAnsi="Times New Roman" w:cs="Times New Roman"/>
          <w:b/>
          <w:bCs/>
          <w:sz w:val="24"/>
          <w:szCs w:val="24"/>
        </w:rPr>
        <w:t xml:space="preserve"> przewagi </w:t>
      </w:r>
      <w:r w:rsidR="00572698" w:rsidRPr="00A45CAA">
        <w:rPr>
          <w:rFonts w:ascii="Times New Roman" w:hAnsi="Times New Roman" w:cs="Times New Roman"/>
          <w:b/>
          <w:bCs/>
          <w:sz w:val="24"/>
          <w:szCs w:val="24"/>
        </w:rPr>
        <w:t xml:space="preserve">reguł i zasad </w:t>
      </w:r>
      <w:r w:rsidR="000F4C2C" w:rsidRPr="00A45CAA">
        <w:rPr>
          <w:rFonts w:ascii="Times New Roman" w:hAnsi="Times New Roman" w:cs="Times New Roman"/>
          <w:b/>
          <w:bCs/>
          <w:sz w:val="24"/>
          <w:szCs w:val="24"/>
        </w:rPr>
        <w:t>prawa nad racjami i interesami politycznymi</w:t>
      </w:r>
      <w:r w:rsidR="00572698" w:rsidRPr="00A45CAA">
        <w:rPr>
          <w:rFonts w:ascii="Times New Roman" w:hAnsi="Times New Roman" w:cs="Times New Roman"/>
          <w:sz w:val="24"/>
          <w:szCs w:val="24"/>
        </w:rPr>
        <w:t>. Istnienie instytucji gwarancyjnych nie daje pewności, lecz jedynie zwiększa prawdopodobieństwo, że racje prawne mogą wygrywać w konflikcie z racjami i interesami politycznymi.</w:t>
      </w:r>
      <w:r w:rsidR="00E0238E" w:rsidRPr="00A45CAA">
        <w:rPr>
          <w:rFonts w:ascii="Times New Roman" w:hAnsi="Times New Roman" w:cs="Times New Roman"/>
          <w:sz w:val="24"/>
          <w:szCs w:val="24"/>
        </w:rPr>
        <w:t xml:space="preserve"> W tym zakresie gwarancje są ograniczeniem samowoli, arbitralności, korupcji, nepotyzmu i innych niegodziwości, do których zdolne są osoby w ośrodkach władzy politycznej, ekonomicznej czy religijnej.</w:t>
      </w:r>
    </w:p>
    <w:p w14:paraId="7A8D3F0B" w14:textId="1BC0EE94" w:rsidR="00572698" w:rsidRPr="00A45CAA" w:rsidRDefault="00572698" w:rsidP="004F075B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CAA">
        <w:rPr>
          <w:rFonts w:ascii="Times New Roman" w:hAnsi="Times New Roman" w:cs="Times New Roman"/>
          <w:sz w:val="24"/>
          <w:szCs w:val="24"/>
        </w:rPr>
        <w:t>Wielość takich instytucji gwarancyjnych</w:t>
      </w:r>
      <w:r w:rsidR="000F4C2C" w:rsidRPr="00A45CAA">
        <w:rPr>
          <w:rFonts w:ascii="Times New Roman" w:hAnsi="Times New Roman" w:cs="Times New Roman"/>
          <w:sz w:val="24"/>
          <w:szCs w:val="24"/>
        </w:rPr>
        <w:t xml:space="preserve"> jest efektem </w:t>
      </w:r>
      <w:r w:rsidR="00A42DF3">
        <w:rPr>
          <w:rFonts w:ascii="Times New Roman" w:hAnsi="Times New Roman" w:cs="Times New Roman"/>
          <w:sz w:val="24"/>
          <w:szCs w:val="24"/>
        </w:rPr>
        <w:t>tego</w:t>
      </w:r>
      <w:r w:rsidR="000F4C2C" w:rsidRPr="00A45CAA">
        <w:rPr>
          <w:rFonts w:ascii="Times New Roman" w:hAnsi="Times New Roman" w:cs="Times New Roman"/>
          <w:sz w:val="24"/>
          <w:szCs w:val="24"/>
        </w:rPr>
        <w:t xml:space="preserve">, że </w:t>
      </w:r>
      <w:r w:rsidR="000F4C2C" w:rsidRPr="00A42DF3">
        <w:rPr>
          <w:rFonts w:ascii="Times New Roman" w:hAnsi="Times New Roman" w:cs="Times New Roman"/>
          <w:b/>
          <w:bCs/>
          <w:sz w:val="24"/>
          <w:szCs w:val="24"/>
        </w:rPr>
        <w:t>prawo</w:t>
      </w:r>
      <w:r w:rsidR="00461999" w:rsidRPr="00A42DF3">
        <w:rPr>
          <w:rFonts w:ascii="Times New Roman" w:hAnsi="Times New Roman" w:cs="Times New Roman"/>
          <w:b/>
          <w:bCs/>
          <w:sz w:val="24"/>
          <w:szCs w:val="24"/>
        </w:rPr>
        <w:t xml:space="preserve"> w działaniu</w:t>
      </w:r>
      <w:r w:rsidR="000F4C2C" w:rsidRPr="00A42DF3">
        <w:rPr>
          <w:rFonts w:ascii="Times New Roman" w:hAnsi="Times New Roman" w:cs="Times New Roman"/>
          <w:b/>
          <w:bCs/>
          <w:sz w:val="24"/>
          <w:szCs w:val="24"/>
        </w:rPr>
        <w:t xml:space="preserve"> jest złożoną, wielopodmiotow</w:t>
      </w:r>
      <w:r w:rsidR="00461999" w:rsidRPr="00A42DF3">
        <w:rPr>
          <w:rFonts w:ascii="Times New Roman" w:hAnsi="Times New Roman" w:cs="Times New Roman"/>
          <w:b/>
          <w:bCs/>
          <w:sz w:val="24"/>
          <w:szCs w:val="24"/>
        </w:rPr>
        <w:t>ą</w:t>
      </w:r>
      <w:r w:rsidR="000F4C2C" w:rsidRPr="00A42DF3">
        <w:rPr>
          <w:rFonts w:ascii="Times New Roman" w:hAnsi="Times New Roman" w:cs="Times New Roman"/>
          <w:b/>
          <w:bCs/>
          <w:sz w:val="24"/>
          <w:szCs w:val="24"/>
        </w:rPr>
        <w:t xml:space="preserve"> praktyką instytucjonalną</w:t>
      </w:r>
      <w:r w:rsidR="00461999" w:rsidRPr="00A42DF3">
        <w:rPr>
          <w:rFonts w:ascii="Times New Roman" w:hAnsi="Times New Roman" w:cs="Times New Roman"/>
          <w:b/>
          <w:bCs/>
          <w:sz w:val="24"/>
          <w:szCs w:val="24"/>
        </w:rPr>
        <w:t xml:space="preserve"> obejmującą akty woli i działania rozmaitych osób</w:t>
      </w:r>
      <w:r w:rsidR="004F075B" w:rsidRPr="00A42DF3">
        <w:rPr>
          <w:rFonts w:ascii="Times New Roman" w:hAnsi="Times New Roman" w:cs="Times New Roman"/>
          <w:b/>
          <w:bCs/>
          <w:sz w:val="24"/>
          <w:szCs w:val="24"/>
        </w:rPr>
        <w:t xml:space="preserve"> podejmowane w konkretnym kontekście kulturowym</w:t>
      </w:r>
      <w:r w:rsidR="000F4C2C" w:rsidRPr="00A45CAA">
        <w:rPr>
          <w:rFonts w:ascii="Times New Roman" w:hAnsi="Times New Roman" w:cs="Times New Roman"/>
          <w:sz w:val="24"/>
          <w:szCs w:val="24"/>
        </w:rPr>
        <w:t xml:space="preserve">, a nie </w:t>
      </w:r>
      <w:r w:rsidR="004F075B" w:rsidRPr="00A45CAA">
        <w:rPr>
          <w:rFonts w:ascii="Times New Roman" w:hAnsi="Times New Roman" w:cs="Times New Roman"/>
          <w:sz w:val="24"/>
          <w:szCs w:val="24"/>
        </w:rPr>
        <w:t>jedynie</w:t>
      </w:r>
      <w:r w:rsidR="000F4C2C" w:rsidRPr="00A45CAA">
        <w:rPr>
          <w:rFonts w:ascii="Times New Roman" w:hAnsi="Times New Roman" w:cs="Times New Roman"/>
          <w:sz w:val="24"/>
          <w:szCs w:val="24"/>
        </w:rPr>
        <w:t xml:space="preserve"> </w:t>
      </w:r>
      <w:r w:rsidR="00461999" w:rsidRPr="00A45CAA">
        <w:rPr>
          <w:rFonts w:ascii="Times New Roman" w:hAnsi="Times New Roman" w:cs="Times New Roman"/>
          <w:sz w:val="24"/>
          <w:szCs w:val="24"/>
        </w:rPr>
        <w:t xml:space="preserve">wyrażoną w konwencjonalnym języku </w:t>
      </w:r>
      <w:r w:rsidR="000F4C2C" w:rsidRPr="00A45CAA">
        <w:rPr>
          <w:rFonts w:ascii="Times New Roman" w:hAnsi="Times New Roman" w:cs="Times New Roman"/>
          <w:sz w:val="24"/>
          <w:szCs w:val="24"/>
        </w:rPr>
        <w:t xml:space="preserve">konfiguracją </w:t>
      </w:r>
      <w:r w:rsidR="004F075B" w:rsidRPr="00A45CAA">
        <w:rPr>
          <w:rFonts w:ascii="Times New Roman" w:hAnsi="Times New Roman" w:cs="Times New Roman"/>
          <w:sz w:val="24"/>
          <w:szCs w:val="24"/>
        </w:rPr>
        <w:t xml:space="preserve">abstrakcyjnych </w:t>
      </w:r>
      <w:r w:rsidR="000F4C2C" w:rsidRPr="00A45CAA">
        <w:rPr>
          <w:rFonts w:ascii="Times New Roman" w:hAnsi="Times New Roman" w:cs="Times New Roman"/>
          <w:sz w:val="24"/>
          <w:szCs w:val="24"/>
        </w:rPr>
        <w:t xml:space="preserve">norm </w:t>
      </w:r>
      <w:r w:rsidR="000F4C2C" w:rsidRPr="00A45CAA">
        <w:rPr>
          <w:rFonts w:ascii="Times New Roman" w:hAnsi="Times New Roman" w:cs="Times New Roman"/>
          <w:sz w:val="24"/>
          <w:szCs w:val="24"/>
        </w:rPr>
        <w:lastRenderedPageBreak/>
        <w:t>powszechnie obowiązujących.</w:t>
      </w:r>
      <w:r w:rsidR="00461999" w:rsidRPr="00A45CAA">
        <w:rPr>
          <w:rFonts w:ascii="Times New Roman" w:hAnsi="Times New Roman" w:cs="Times New Roman"/>
          <w:sz w:val="24"/>
          <w:szCs w:val="24"/>
        </w:rPr>
        <w:t xml:space="preserve"> Bez tych decyzji i działań</w:t>
      </w:r>
      <w:r w:rsidR="004F075B" w:rsidRPr="00A45CAA">
        <w:rPr>
          <w:rFonts w:ascii="Times New Roman" w:hAnsi="Times New Roman" w:cs="Times New Roman"/>
          <w:sz w:val="24"/>
          <w:szCs w:val="24"/>
        </w:rPr>
        <w:t xml:space="preserve"> ludzi</w:t>
      </w:r>
      <w:r w:rsidR="00461999" w:rsidRPr="00A45CAA">
        <w:rPr>
          <w:rFonts w:ascii="Times New Roman" w:hAnsi="Times New Roman" w:cs="Times New Roman"/>
          <w:sz w:val="24"/>
          <w:szCs w:val="24"/>
        </w:rPr>
        <w:t xml:space="preserve"> </w:t>
      </w:r>
      <w:r w:rsidR="00A42DF3">
        <w:rPr>
          <w:rFonts w:ascii="Times New Roman" w:hAnsi="Times New Roman" w:cs="Times New Roman"/>
          <w:sz w:val="24"/>
          <w:szCs w:val="24"/>
        </w:rPr>
        <w:t xml:space="preserve">broniących autorytetu i godności prawa </w:t>
      </w:r>
      <w:r w:rsidR="00461999" w:rsidRPr="00A45CAA">
        <w:rPr>
          <w:rFonts w:ascii="Times New Roman" w:hAnsi="Times New Roman" w:cs="Times New Roman"/>
          <w:sz w:val="24"/>
          <w:szCs w:val="24"/>
        </w:rPr>
        <w:t>normy prawne nie mogą same sobie zapewnić ani właściwej autonomii</w:t>
      </w:r>
      <w:r w:rsidR="003F48F7" w:rsidRPr="00A45CAA">
        <w:rPr>
          <w:rFonts w:ascii="Times New Roman" w:hAnsi="Times New Roman" w:cs="Times New Roman"/>
          <w:sz w:val="24"/>
          <w:szCs w:val="24"/>
        </w:rPr>
        <w:t xml:space="preserve"> wobec polityki</w:t>
      </w:r>
      <w:r w:rsidR="00461999" w:rsidRPr="00A45CAA">
        <w:rPr>
          <w:rFonts w:ascii="Times New Roman" w:hAnsi="Times New Roman" w:cs="Times New Roman"/>
          <w:sz w:val="24"/>
          <w:szCs w:val="24"/>
        </w:rPr>
        <w:t xml:space="preserve"> ani tym bardziej przewagi nad naciskami płynącymi z gry interesów politycznych.</w:t>
      </w:r>
    </w:p>
    <w:p w14:paraId="5DA58BAB" w14:textId="77777777" w:rsidR="00572698" w:rsidRPr="00A45CAA" w:rsidRDefault="003F48F7" w:rsidP="0057204B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5CAA">
        <w:rPr>
          <w:rFonts w:ascii="Times New Roman" w:hAnsi="Times New Roman" w:cs="Times New Roman"/>
          <w:sz w:val="24"/>
          <w:szCs w:val="24"/>
        </w:rPr>
        <w:t xml:space="preserve"> Aby instytucjonalne gwarancj</w:t>
      </w:r>
      <w:r w:rsidR="009F39CC" w:rsidRPr="00A45CAA">
        <w:rPr>
          <w:rFonts w:ascii="Times New Roman" w:hAnsi="Times New Roman" w:cs="Times New Roman"/>
          <w:sz w:val="24"/>
          <w:szCs w:val="24"/>
        </w:rPr>
        <w:t>e</w:t>
      </w:r>
      <w:r w:rsidRPr="00A45CAA">
        <w:rPr>
          <w:rFonts w:ascii="Times New Roman" w:hAnsi="Times New Roman" w:cs="Times New Roman"/>
          <w:sz w:val="24"/>
          <w:szCs w:val="24"/>
        </w:rPr>
        <w:t xml:space="preserve"> cokolwiek gwarantowały potrzebni są ludzie aktywnie używający tych form instytucjonalnych dla obrony rządów prawa.</w:t>
      </w:r>
      <w:r w:rsidR="006A77E0" w:rsidRPr="00A45CAA">
        <w:rPr>
          <w:rFonts w:ascii="Times New Roman" w:hAnsi="Times New Roman" w:cs="Times New Roman"/>
          <w:sz w:val="24"/>
          <w:szCs w:val="24"/>
        </w:rPr>
        <w:t xml:space="preserve"> </w:t>
      </w:r>
      <w:r w:rsidR="00D11551" w:rsidRPr="00A45CAA">
        <w:rPr>
          <w:rFonts w:ascii="Times New Roman" w:hAnsi="Times New Roman" w:cs="Times New Roman"/>
          <w:sz w:val="24"/>
          <w:szCs w:val="24"/>
        </w:rPr>
        <w:t xml:space="preserve">Zatem </w:t>
      </w:r>
      <w:r w:rsidR="00D11551" w:rsidRPr="00A45CAA">
        <w:rPr>
          <w:rFonts w:ascii="Times New Roman" w:hAnsi="Times New Roman" w:cs="Times New Roman"/>
          <w:b/>
          <w:bCs/>
          <w:sz w:val="24"/>
          <w:szCs w:val="24"/>
        </w:rPr>
        <w:t>rządy prawa nie są bezpośrednim efektem samoistnego działania norm prawnych, lecz są to nadal decyzje władcze ludzi, a decyzje te s</w:t>
      </w:r>
      <w:r w:rsidR="007D20D8" w:rsidRPr="00A45CAA">
        <w:rPr>
          <w:rFonts w:ascii="Times New Roman" w:hAnsi="Times New Roman" w:cs="Times New Roman"/>
          <w:b/>
          <w:bCs/>
          <w:sz w:val="24"/>
          <w:szCs w:val="24"/>
        </w:rPr>
        <w:t xml:space="preserve">ą </w:t>
      </w:r>
      <w:r w:rsidR="00D11551" w:rsidRPr="00A45CAA">
        <w:rPr>
          <w:rFonts w:ascii="Times New Roman" w:hAnsi="Times New Roman" w:cs="Times New Roman"/>
          <w:b/>
          <w:bCs/>
          <w:sz w:val="24"/>
          <w:szCs w:val="24"/>
        </w:rPr>
        <w:t xml:space="preserve">podejmowane w zgodzie z prawem, w ramach granic wyznaczonych przez normy i na ich podstawie. </w:t>
      </w:r>
    </w:p>
    <w:p w14:paraId="00824ADA" w14:textId="6FF5F4F1" w:rsidR="00E0238E" w:rsidRPr="00A45CAA" w:rsidRDefault="00635278" w:rsidP="00E0238E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5CAA">
        <w:rPr>
          <w:rFonts w:ascii="Times New Roman" w:hAnsi="Times New Roman" w:cs="Times New Roman"/>
          <w:sz w:val="24"/>
          <w:szCs w:val="24"/>
        </w:rPr>
        <w:t xml:space="preserve"> </w:t>
      </w:r>
      <w:r w:rsidR="00A42DF3">
        <w:rPr>
          <w:rFonts w:ascii="Times New Roman" w:hAnsi="Times New Roman" w:cs="Times New Roman"/>
          <w:sz w:val="24"/>
          <w:szCs w:val="24"/>
        </w:rPr>
        <w:t>D</w:t>
      </w:r>
      <w:r w:rsidRPr="00A45CAA">
        <w:rPr>
          <w:rFonts w:ascii="Times New Roman" w:hAnsi="Times New Roman" w:cs="Times New Roman"/>
          <w:sz w:val="24"/>
          <w:szCs w:val="24"/>
        </w:rPr>
        <w:t>la</w:t>
      </w:r>
      <w:r w:rsidR="00A42DF3">
        <w:rPr>
          <w:rFonts w:ascii="Times New Roman" w:hAnsi="Times New Roman" w:cs="Times New Roman"/>
          <w:sz w:val="24"/>
          <w:szCs w:val="24"/>
        </w:rPr>
        <w:t xml:space="preserve"> ochrony praw i wolności</w:t>
      </w:r>
      <w:r w:rsidRPr="00A45CAA">
        <w:rPr>
          <w:rFonts w:ascii="Times New Roman" w:hAnsi="Times New Roman" w:cs="Times New Roman"/>
          <w:sz w:val="24"/>
          <w:szCs w:val="24"/>
        </w:rPr>
        <w:t xml:space="preserve"> konkretnych osób </w:t>
      </w:r>
      <w:r w:rsidR="00A42DF3">
        <w:rPr>
          <w:rFonts w:ascii="Times New Roman" w:hAnsi="Times New Roman" w:cs="Times New Roman"/>
          <w:sz w:val="24"/>
          <w:szCs w:val="24"/>
        </w:rPr>
        <w:t>oraz</w:t>
      </w:r>
      <w:r w:rsidRPr="00A45CAA">
        <w:rPr>
          <w:rFonts w:ascii="Times New Roman" w:hAnsi="Times New Roman" w:cs="Times New Roman"/>
          <w:sz w:val="24"/>
          <w:szCs w:val="24"/>
        </w:rPr>
        <w:t xml:space="preserve"> ich statusów prawnych</w:t>
      </w:r>
      <w:r w:rsidR="00A42DF3">
        <w:rPr>
          <w:rFonts w:ascii="Times New Roman" w:hAnsi="Times New Roman" w:cs="Times New Roman"/>
          <w:sz w:val="24"/>
          <w:szCs w:val="24"/>
        </w:rPr>
        <w:t xml:space="preserve"> są niezbędne mocne gwarancje rządów prawa. W tej sferze</w:t>
      </w:r>
      <w:r w:rsidRPr="00A45CAA">
        <w:rPr>
          <w:rFonts w:ascii="Times New Roman" w:hAnsi="Times New Roman" w:cs="Times New Roman"/>
          <w:sz w:val="24"/>
          <w:szCs w:val="24"/>
        </w:rPr>
        <w:t xml:space="preserve"> celem</w:t>
      </w:r>
      <w:r w:rsidR="007D20D8" w:rsidRPr="00A45CAA">
        <w:rPr>
          <w:rFonts w:ascii="Times New Roman" w:hAnsi="Times New Roman" w:cs="Times New Roman"/>
          <w:sz w:val="24"/>
          <w:szCs w:val="24"/>
        </w:rPr>
        <w:t xml:space="preserve"> </w:t>
      </w:r>
      <w:r w:rsidR="00572698" w:rsidRPr="00A45CAA">
        <w:rPr>
          <w:rFonts w:ascii="Times New Roman" w:hAnsi="Times New Roman" w:cs="Times New Roman"/>
          <w:sz w:val="24"/>
          <w:szCs w:val="24"/>
        </w:rPr>
        <w:t xml:space="preserve">istnienia i działania </w:t>
      </w:r>
      <w:r w:rsidR="007D20D8" w:rsidRPr="00A45CAA">
        <w:rPr>
          <w:rFonts w:ascii="Times New Roman" w:hAnsi="Times New Roman" w:cs="Times New Roman"/>
          <w:sz w:val="24"/>
          <w:szCs w:val="24"/>
        </w:rPr>
        <w:t xml:space="preserve">instytucji nazywanych gwarancjami jest </w:t>
      </w:r>
      <w:r w:rsidR="007D20D8" w:rsidRPr="00A45CAA">
        <w:rPr>
          <w:rFonts w:ascii="Times New Roman" w:hAnsi="Times New Roman" w:cs="Times New Roman"/>
          <w:b/>
          <w:bCs/>
          <w:sz w:val="24"/>
          <w:szCs w:val="24"/>
        </w:rPr>
        <w:t>przywracanie równowagi statusów osób ( czyli konfiguracji ich uprawnień i obowiązków wzajemnych oraz związanego z tymi konfiguracjami uznania społecznego)</w:t>
      </w:r>
      <w:r w:rsidR="007D20D8" w:rsidRPr="00A45CAA">
        <w:rPr>
          <w:rFonts w:ascii="Times New Roman" w:hAnsi="Times New Roman" w:cs="Times New Roman"/>
          <w:sz w:val="24"/>
          <w:szCs w:val="24"/>
        </w:rPr>
        <w:t xml:space="preserve">. Tam gdzie w sferze faktów jakiś podmiot ma silniejszy status a drugi wyraźnie słabszy powstaje ryzyko </w:t>
      </w:r>
      <w:r w:rsidR="002350EA" w:rsidRPr="00A45CAA">
        <w:rPr>
          <w:rFonts w:ascii="Times New Roman" w:hAnsi="Times New Roman" w:cs="Times New Roman"/>
          <w:sz w:val="24"/>
          <w:szCs w:val="24"/>
        </w:rPr>
        <w:t xml:space="preserve">nadużywania lub łamania prawa, które krzywdzi podmiot słabszy lub wyrządza mu szkodę. Aby temu zapobiec lub przynajmniej zmniejszyć takie ryzyko tworzone są instytucje równoważące, które mają zapewnić harmonijność związku norm i faktów, mają sprawić, że każdy konkretny splot faktów i norm będzie wewnętrznie zrównoważony. </w:t>
      </w:r>
      <w:r w:rsidR="002350EA" w:rsidRPr="00A45CAA">
        <w:rPr>
          <w:rFonts w:ascii="Times New Roman" w:hAnsi="Times New Roman" w:cs="Times New Roman"/>
          <w:b/>
          <w:bCs/>
          <w:sz w:val="24"/>
          <w:szCs w:val="24"/>
        </w:rPr>
        <w:t xml:space="preserve">Tam gdzie ryzyko nadużywania władzy publicznej jest najwyższe najbardziej potrzebne </w:t>
      </w:r>
      <w:r w:rsidR="0057204B" w:rsidRPr="00A45CAA">
        <w:rPr>
          <w:rFonts w:ascii="Times New Roman" w:hAnsi="Times New Roman" w:cs="Times New Roman"/>
          <w:b/>
          <w:bCs/>
          <w:sz w:val="24"/>
          <w:szCs w:val="24"/>
        </w:rPr>
        <w:t>są</w:t>
      </w:r>
      <w:r w:rsidR="002350EA" w:rsidRPr="00A45CAA">
        <w:rPr>
          <w:rFonts w:ascii="Times New Roman" w:hAnsi="Times New Roman" w:cs="Times New Roman"/>
          <w:b/>
          <w:bCs/>
          <w:sz w:val="24"/>
          <w:szCs w:val="24"/>
        </w:rPr>
        <w:t xml:space="preserve"> dobrze zbudowane instytucje gwarancyjne </w:t>
      </w:r>
      <w:r w:rsidR="0057204B" w:rsidRPr="00A45CAA">
        <w:rPr>
          <w:rFonts w:ascii="Times New Roman" w:hAnsi="Times New Roman" w:cs="Times New Roman"/>
          <w:b/>
          <w:bCs/>
          <w:sz w:val="24"/>
          <w:szCs w:val="24"/>
        </w:rPr>
        <w:t>zdolne do przywracania zagrożonych równowag uprawnień i obowiązków.</w:t>
      </w:r>
      <w:r w:rsidR="00A42DF3">
        <w:rPr>
          <w:rFonts w:ascii="Times New Roman" w:hAnsi="Times New Roman" w:cs="Times New Roman"/>
          <w:b/>
          <w:bCs/>
          <w:sz w:val="24"/>
          <w:szCs w:val="24"/>
        </w:rPr>
        <w:t xml:space="preserve"> To są przede wszystkim organy administracji rządowej i samorządowej oraz organy dysponujące środkami przymusu.</w:t>
      </w:r>
    </w:p>
    <w:p w14:paraId="6A05E348" w14:textId="438F095B" w:rsidR="00E0238E" w:rsidRPr="00A45CAA" w:rsidRDefault="0057204B" w:rsidP="00E0238E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5CAA">
        <w:rPr>
          <w:rFonts w:ascii="Times New Roman" w:hAnsi="Times New Roman" w:cs="Times New Roman"/>
          <w:sz w:val="24"/>
          <w:szCs w:val="24"/>
        </w:rPr>
        <w:t>Doświadczenie historyczne dowodzi, że</w:t>
      </w:r>
      <w:r w:rsidR="006A77E0" w:rsidRPr="00A45CAA">
        <w:rPr>
          <w:rFonts w:ascii="Times New Roman" w:hAnsi="Times New Roman" w:cs="Times New Roman"/>
          <w:sz w:val="24"/>
          <w:szCs w:val="24"/>
        </w:rPr>
        <w:t xml:space="preserve"> </w:t>
      </w:r>
      <w:r w:rsidR="006A77E0" w:rsidRPr="00A45CAA">
        <w:rPr>
          <w:rFonts w:ascii="Times New Roman" w:hAnsi="Times New Roman" w:cs="Times New Roman"/>
          <w:b/>
          <w:bCs/>
          <w:sz w:val="24"/>
          <w:szCs w:val="24"/>
        </w:rPr>
        <w:t>żadna pojedyncza gwarancja nie może być wystarczająco skuteczna.</w:t>
      </w:r>
      <w:r w:rsidR="006A77E0" w:rsidRPr="00A45CAA">
        <w:rPr>
          <w:rFonts w:ascii="Times New Roman" w:hAnsi="Times New Roman" w:cs="Times New Roman"/>
          <w:sz w:val="24"/>
          <w:szCs w:val="24"/>
        </w:rPr>
        <w:t xml:space="preserve"> Potrzebna jest współpraca różnych typów gwarancji, a tę zapewnić mogą tylko decyzje i czyny osób starannie wykonujących swe obowiązki i rozsądnie </w:t>
      </w:r>
      <w:r w:rsidR="00D5671F" w:rsidRPr="00A45CAA">
        <w:rPr>
          <w:rFonts w:ascii="Times New Roman" w:hAnsi="Times New Roman" w:cs="Times New Roman"/>
          <w:sz w:val="24"/>
          <w:szCs w:val="24"/>
        </w:rPr>
        <w:t>korzystających</w:t>
      </w:r>
      <w:r w:rsidR="006A77E0" w:rsidRPr="00A45CAA">
        <w:rPr>
          <w:rFonts w:ascii="Times New Roman" w:hAnsi="Times New Roman" w:cs="Times New Roman"/>
          <w:sz w:val="24"/>
          <w:szCs w:val="24"/>
        </w:rPr>
        <w:t xml:space="preserve"> ze swych uprawnień. </w:t>
      </w:r>
      <w:r w:rsidR="00E0238E" w:rsidRPr="00A45CAA">
        <w:rPr>
          <w:rFonts w:ascii="Times New Roman" w:hAnsi="Times New Roman" w:cs="Times New Roman"/>
          <w:sz w:val="24"/>
          <w:szCs w:val="24"/>
        </w:rPr>
        <w:t>Wartość moralna i praktyczna skuteczność gwarancji instytucjonalnych jest tym większa im bardziej mogą one działać jako spójny system, bowiem tylko systemowość daje społeczną moc potrzebną do tego, aby ośrodki władzy politycznej i ekonomicznej działały na podstawie i w granicach norm prawnych starannie interpretowanych i uczciwie stosowanych. Harmonijna współpraca konkretnych gwarancji może wytworzyć efekt synergii pozwalający okiełznać pokusy elit władzy, aby rządzić obok lub ponad prawem, które same tworzą.</w:t>
      </w:r>
    </w:p>
    <w:p w14:paraId="188828D8" w14:textId="3EF221C2" w:rsidR="009F39CC" w:rsidRPr="00A45CAA" w:rsidRDefault="0037367D" w:rsidP="00E0238E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5CAA">
        <w:rPr>
          <w:rFonts w:ascii="Times New Roman" w:hAnsi="Times New Roman" w:cs="Times New Roman"/>
          <w:sz w:val="24"/>
          <w:szCs w:val="24"/>
        </w:rPr>
        <w:lastRenderedPageBreak/>
        <w:t>Im wyższa jest kultura polityczna obywateli tym bardziej jest prawdopodobne, że decyzje i działania osób pełniących</w:t>
      </w:r>
      <w:r w:rsidR="009F39CC" w:rsidRPr="00A45CAA">
        <w:rPr>
          <w:rFonts w:ascii="Times New Roman" w:hAnsi="Times New Roman" w:cs="Times New Roman"/>
          <w:sz w:val="24"/>
          <w:szCs w:val="24"/>
        </w:rPr>
        <w:t xml:space="preserve"> władcze</w:t>
      </w:r>
      <w:r w:rsidRPr="00A45CAA">
        <w:rPr>
          <w:rFonts w:ascii="Times New Roman" w:hAnsi="Times New Roman" w:cs="Times New Roman"/>
          <w:sz w:val="24"/>
          <w:szCs w:val="24"/>
        </w:rPr>
        <w:t xml:space="preserve"> role publiczne będ</w:t>
      </w:r>
      <w:r w:rsidR="007D20D8" w:rsidRPr="00A45CAA">
        <w:rPr>
          <w:rFonts w:ascii="Times New Roman" w:hAnsi="Times New Roman" w:cs="Times New Roman"/>
          <w:sz w:val="24"/>
          <w:szCs w:val="24"/>
        </w:rPr>
        <w:t>ą</w:t>
      </w:r>
      <w:r w:rsidRPr="00A45CAA">
        <w:rPr>
          <w:rFonts w:ascii="Times New Roman" w:hAnsi="Times New Roman" w:cs="Times New Roman"/>
          <w:sz w:val="24"/>
          <w:szCs w:val="24"/>
        </w:rPr>
        <w:t xml:space="preserve"> zgodne z zasadami rządów prawa.</w:t>
      </w:r>
      <w:r w:rsidR="00D4017A" w:rsidRPr="00A45CAA">
        <w:rPr>
          <w:rFonts w:ascii="Times New Roman" w:hAnsi="Times New Roman" w:cs="Times New Roman"/>
          <w:sz w:val="24"/>
          <w:szCs w:val="24"/>
        </w:rPr>
        <w:t xml:space="preserve"> </w:t>
      </w:r>
      <w:r w:rsidR="009F39CC" w:rsidRPr="00A45CAA">
        <w:rPr>
          <w:rFonts w:ascii="Times New Roman" w:hAnsi="Times New Roman" w:cs="Times New Roman"/>
          <w:sz w:val="24"/>
          <w:szCs w:val="24"/>
        </w:rPr>
        <w:t xml:space="preserve">Kulturową i na ogół nie wyrażoną w instytucjach gwarancją rządów prawa jest </w:t>
      </w:r>
      <w:r w:rsidR="009F39CC" w:rsidRPr="005A07CF">
        <w:rPr>
          <w:rFonts w:ascii="Times New Roman" w:hAnsi="Times New Roman" w:cs="Times New Roman"/>
          <w:b/>
          <w:bCs/>
          <w:sz w:val="24"/>
          <w:szCs w:val="24"/>
        </w:rPr>
        <w:t>zakres szacunku o wolność innych ludzi, a nie tylko o własną wolność. Tylko wtedy można być wolnym</w:t>
      </w:r>
      <w:r w:rsidR="0057204B" w:rsidRPr="005A07CF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9F39CC" w:rsidRPr="005A07CF">
        <w:rPr>
          <w:rFonts w:ascii="Times New Roman" w:hAnsi="Times New Roman" w:cs="Times New Roman"/>
          <w:b/>
          <w:bCs/>
          <w:sz w:val="24"/>
          <w:szCs w:val="24"/>
        </w:rPr>
        <w:t xml:space="preserve"> gdy żyje się wśród ludzi wolnych i cała społeczność jest wolna. </w:t>
      </w:r>
      <w:r w:rsidR="009F39CC" w:rsidRPr="00A45CAA">
        <w:rPr>
          <w:rFonts w:ascii="Times New Roman" w:hAnsi="Times New Roman" w:cs="Times New Roman"/>
          <w:sz w:val="24"/>
          <w:szCs w:val="24"/>
        </w:rPr>
        <w:t xml:space="preserve">Aby tak mogło być </w:t>
      </w:r>
      <w:r w:rsidR="009F39CC" w:rsidRPr="00A45CAA">
        <w:rPr>
          <w:rFonts w:ascii="Times New Roman" w:hAnsi="Times New Roman" w:cs="Times New Roman"/>
          <w:b/>
          <w:bCs/>
          <w:sz w:val="24"/>
          <w:szCs w:val="24"/>
        </w:rPr>
        <w:t xml:space="preserve">konieczna jest aktywna troska </w:t>
      </w:r>
      <w:r w:rsidR="00B3338A" w:rsidRPr="00A45CAA">
        <w:rPr>
          <w:rFonts w:ascii="Times New Roman" w:hAnsi="Times New Roman" w:cs="Times New Roman"/>
          <w:b/>
          <w:bCs/>
          <w:sz w:val="24"/>
          <w:szCs w:val="24"/>
        </w:rPr>
        <w:t xml:space="preserve">każdego z nas </w:t>
      </w:r>
      <w:r w:rsidR="009F39CC" w:rsidRPr="00A45CAA">
        <w:rPr>
          <w:rFonts w:ascii="Times New Roman" w:hAnsi="Times New Roman" w:cs="Times New Roman"/>
          <w:b/>
          <w:bCs/>
          <w:sz w:val="24"/>
          <w:szCs w:val="24"/>
        </w:rPr>
        <w:t>o to, aby inni byli wolni</w:t>
      </w:r>
      <w:r w:rsidR="00B3338A" w:rsidRPr="00A45CAA">
        <w:rPr>
          <w:rFonts w:ascii="Times New Roman" w:hAnsi="Times New Roman" w:cs="Times New Roman"/>
          <w:b/>
          <w:bCs/>
          <w:sz w:val="24"/>
          <w:szCs w:val="24"/>
        </w:rPr>
        <w:t xml:space="preserve"> – wówczas sami sobie nawzajem zapewniamy wolność i utrudniamy ludziom sprawującym władzę publiczną działanie przeciw</w:t>
      </w:r>
      <w:r w:rsidR="0057204B" w:rsidRPr="00A45CAA">
        <w:rPr>
          <w:rFonts w:ascii="Times New Roman" w:hAnsi="Times New Roman" w:cs="Times New Roman"/>
          <w:b/>
          <w:bCs/>
          <w:sz w:val="24"/>
          <w:szCs w:val="24"/>
        </w:rPr>
        <w:t xml:space="preserve"> prawu</w:t>
      </w:r>
      <w:r w:rsidR="00B3338A" w:rsidRPr="00A45CAA">
        <w:rPr>
          <w:rFonts w:ascii="Times New Roman" w:hAnsi="Times New Roman" w:cs="Times New Roman"/>
          <w:b/>
          <w:bCs/>
          <w:sz w:val="24"/>
          <w:szCs w:val="24"/>
        </w:rPr>
        <w:t xml:space="preserve"> lub obok prawa i także przeciw naszym wolnościom prawnie chronionym.</w:t>
      </w:r>
    </w:p>
    <w:p w14:paraId="15C913F3" w14:textId="77777777" w:rsidR="00E0238E" w:rsidRPr="00A45CAA" w:rsidRDefault="00E0238E" w:rsidP="00E0238E">
      <w:pPr>
        <w:spacing w:line="360" w:lineRule="auto"/>
        <w:ind w:firstLine="425"/>
        <w:rPr>
          <w:rFonts w:ascii="Times New Roman" w:hAnsi="Times New Roman" w:cs="Times New Roman"/>
          <w:sz w:val="24"/>
          <w:szCs w:val="24"/>
        </w:rPr>
      </w:pPr>
    </w:p>
    <w:p w14:paraId="03A01077" w14:textId="73F13A51" w:rsidR="00E0238E" w:rsidRPr="00A45CAA" w:rsidRDefault="00B42890" w:rsidP="00B42890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5CAA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E0238E" w:rsidRPr="00A45CAA">
        <w:rPr>
          <w:rFonts w:ascii="Times New Roman" w:hAnsi="Times New Roman" w:cs="Times New Roman"/>
          <w:sz w:val="24"/>
          <w:szCs w:val="24"/>
        </w:rPr>
        <w:t>Typologia gwarancji instytucjonalnych</w:t>
      </w:r>
    </w:p>
    <w:p w14:paraId="08571A82" w14:textId="77777777" w:rsidR="00B42890" w:rsidRPr="00A45CAA" w:rsidRDefault="00B42890" w:rsidP="00B42890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0E3C0A" w14:textId="0DF90EE2" w:rsidR="000F4C2C" w:rsidRPr="00A45CAA" w:rsidRDefault="000F4C2C" w:rsidP="000F54FB">
      <w:pPr>
        <w:spacing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A45CAA">
        <w:rPr>
          <w:rFonts w:ascii="Times New Roman" w:hAnsi="Times New Roman" w:cs="Times New Roman"/>
          <w:sz w:val="24"/>
          <w:szCs w:val="24"/>
        </w:rPr>
        <w:t>Wyróżnić można trzy typy gwarancji instytucjonalnych rządów prawa:</w:t>
      </w:r>
    </w:p>
    <w:p w14:paraId="756F958C" w14:textId="07B68789" w:rsidR="005216B3" w:rsidRPr="00A45CAA" w:rsidRDefault="005216B3" w:rsidP="00583858">
      <w:pPr>
        <w:pStyle w:val="Akapitzlis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45CAA">
        <w:rPr>
          <w:rFonts w:ascii="Times New Roman" w:hAnsi="Times New Roman" w:cs="Times New Roman"/>
          <w:sz w:val="24"/>
          <w:szCs w:val="24"/>
          <w:highlight w:val="yellow"/>
        </w:rPr>
        <w:t>Ustrojowe</w:t>
      </w:r>
      <w:r w:rsidR="00583858" w:rsidRPr="00A45CAA">
        <w:rPr>
          <w:rFonts w:ascii="Times New Roman" w:hAnsi="Times New Roman" w:cs="Times New Roman"/>
          <w:sz w:val="24"/>
          <w:szCs w:val="24"/>
          <w:highlight w:val="yellow"/>
        </w:rPr>
        <w:t xml:space="preserve"> czyli takie, które są cechami formy państwa</w:t>
      </w:r>
      <w:r w:rsidR="004C17E8" w:rsidRPr="00A45CAA">
        <w:rPr>
          <w:rFonts w:ascii="Times New Roman" w:hAnsi="Times New Roman" w:cs="Times New Roman"/>
          <w:sz w:val="24"/>
          <w:szCs w:val="24"/>
          <w:highlight w:val="yellow"/>
        </w:rPr>
        <w:t xml:space="preserve"> i jego ustroju politycznego</w:t>
      </w:r>
      <w:r w:rsidR="00EA58BE" w:rsidRPr="00A45CAA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14:paraId="007A5516" w14:textId="77777777" w:rsidR="00F778F2" w:rsidRPr="00A45CAA" w:rsidRDefault="00F778F2" w:rsidP="00F778F2">
      <w:pPr>
        <w:pStyle w:val="Akapitzlist"/>
        <w:spacing w:line="360" w:lineRule="auto"/>
        <w:ind w:left="785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C60AA4E" w14:textId="71642C80" w:rsidR="005216B3" w:rsidRPr="00A45CAA" w:rsidRDefault="005216B3" w:rsidP="009B5897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CAA">
        <w:rPr>
          <w:rFonts w:ascii="Times New Roman" w:hAnsi="Times New Roman" w:cs="Times New Roman"/>
          <w:b/>
          <w:bCs/>
          <w:sz w:val="24"/>
          <w:szCs w:val="24"/>
        </w:rPr>
        <w:t>Podział władczych funkcji w państwie</w:t>
      </w:r>
      <w:r w:rsidRPr="00A45CAA">
        <w:rPr>
          <w:rFonts w:ascii="Times New Roman" w:hAnsi="Times New Roman" w:cs="Times New Roman"/>
          <w:sz w:val="24"/>
          <w:szCs w:val="24"/>
        </w:rPr>
        <w:t>, dzięki któremu różne pionowe układy władzy będą od siebie nawzajem niezależne i będą mogły ograniczać i kontrolować się wzajemnie.</w:t>
      </w:r>
      <w:r w:rsidR="00EA58BE" w:rsidRPr="00A45CA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A58BE" w:rsidRPr="00A45CAA">
        <w:rPr>
          <w:rFonts w:ascii="Times New Roman" w:hAnsi="Times New Roman" w:cs="Times New Roman"/>
          <w:i/>
          <w:iCs/>
          <w:sz w:val="24"/>
          <w:szCs w:val="24"/>
        </w:rPr>
        <w:t>checks</w:t>
      </w:r>
      <w:proofErr w:type="spellEnd"/>
      <w:r w:rsidR="009B5897" w:rsidRPr="00A45CA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A58BE" w:rsidRPr="00A45CAA">
        <w:rPr>
          <w:rFonts w:ascii="Times New Roman" w:hAnsi="Times New Roman" w:cs="Times New Roman"/>
          <w:i/>
          <w:iCs/>
          <w:sz w:val="24"/>
          <w:szCs w:val="24"/>
        </w:rPr>
        <w:t xml:space="preserve">and </w:t>
      </w:r>
      <w:proofErr w:type="spellStart"/>
      <w:r w:rsidR="00EA58BE" w:rsidRPr="00A45CAA">
        <w:rPr>
          <w:rFonts w:ascii="Times New Roman" w:hAnsi="Times New Roman" w:cs="Times New Roman"/>
          <w:i/>
          <w:iCs/>
          <w:sz w:val="24"/>
          <w:szCs w:val="24"/>
        </w:rPr>
        <w:t>balance</w:t>
      </w:r>
      <w:proofErr w:type="spellEnd"/>
      <w:r w:rsidR="00EA58BE" w:rsidRPr="00A45CAA">
        <w:rPr>
          <w:rFonts w:ascii="Times New Roman" w:hAnsi="Times New Roman" w:cs="Times New Roman"/>
          <w:sz w:val="24"/>
          <w:szCs w:val="24"/>
        </w:rPr>
        <w:t>)</w:t>
      </w:r>
      <w:r w:rsidR="009B5897" w:rsidRPr="00A45CAA">
        <w:rPr>
          <w:rFonts w:ascii="Times New Roman" w:hAnsi="Times New Roman" w:cs="Times New Roman"/>
          <w:sz w:val="24"/>
          <w:szCs w:val="24"/>
        </w:rPr>
        <w:t>.</w:t>
      </w:r>
      <w:r w:rsidRPr="00A45CAA">
        <w:rPr>
          <w:rFonts w:ascii="Times New Roman" w:hAnsi="Times New Roman" w:cs="Times New Roman"/>
          <w:sz w:val="24"/>
          <w:szCs w:val="24"/>
        </w:rPr>
        <w:t xml:space="preserve"> Poza tradycyjnym trójpodziałem na władze prawodawcze, wykonawcze i sądowe</w:t>
      </w:r>
      <w:r w:rsidR="00644316" w:rsidRPr="00A45CAA">
        <w:rPr>
          <w:rFonts w:ascii="Times New Roman" w:hAnsi="Times New Roman" w:cs="Times New Roman"/>
          <w:sz w:val="24"/>
          <w:szCs w:val="24"/>
        </w:rPr>
        <w:t xml:space="preserve"> zaproponowanym przez de Montesquieu</w:t>
      </w:r>
      <w:r w:rsidRPr="00A45CAA">
        <w:rPr>
          <w:rFonts w:ascii="Times New Roman" w:hAnsi="Times New Roman" w:cs="Times New Roman"/>
          <w:sz w:val="24"/>
          <w:szCs w:val="24"/>
        </w:rPr>
        <w:t xml:space="preserve"> warto wyróżniać współcześnie także pion organów kontroli państwo</w:t>
      </w:r>
      <w:r w:rsidR="004A02ED" w:rsidRPr="00A45CAA">
        <w:rPr>
          <w:rFonts w:ascii="Times New Roman" w:hAnsi="Times New Roman" w:cs="Times New Roman"/>
          <w:sz w:val="24"/>
          <w:szCs w:val="24"/>
        </w:rPr>
        <w:t>w</w:t>
      </w:r>
      <w:r w:rsidRPr="00A45CAA">
        <w:rPr>
          <w:rFonts w:ascii="Times New Roman" w:hAnsi="Times New Roman" w:cs="Times New Roman"/>
          <w:sz w:val="24"/>
          <w:szCs w:val="24"/>
        </w:rPr>
        <w:t>ej o różnych profilach i zakresach kompetencji</w:t>
      </w:r>
      <w:r w:rsidR="009B5897" w:rsidRPr="00A45CAA">
        <w:rPr>
          <w:rFonts w:ascii="Times New Roman" w:hAnsi="Times New Roman" w:cs="Times New Roman"/>
          <w:sz w:val="24"/>
          <w:szCs w:val="24"/>
        </w:rPr>
        <w:t xml:space="preserve"> oraz układ informacyjnych organów państwa</w:t>
      </w:r>
      <w:r w:rsidR="00014E58" w:rsidRPr="00A45CAA">
        <w:rPr>
          <w:rFonts w:ascii="Times New Roman" w:hAnsi="Times New Roman" w:cs="Times New Roman"/>
          <w:sz w:val="24"/>
          <w:szCs w:val="24"/>
        </w:rPr>
        <w:t>, służb i sił specjalnych zachowujących znaczną autonomię wobec innych rodzajów władzy publicznej.</w:t>
      </w:r>
    </w:p>
    <w:p w14:paraId="2B0C102E" w14:textId="72F1107E" w:rsidR="009D7F0A" w:rsidRPr="00A45CAA" w:rsidRDefault="009D7F0A" w:rsidP="009B5897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5CAA">
        <w:rPr>
          <w:rFonts w:ascii="Times New Roman" w:hAnsi="Times New Roman" w:cs="Times New Roman"/>
          <w:sz w:val="24"/>
          <w:szCs w:val="24"/>
        </w:rPr>
        <w:t xml:space="preserve">Aby ta pierwsza gwarancja była skuteczna niezbędna jest </w:t>
      </w:r>
      <w:r w:rsidRPr="00A45CAA">
        <w:rPr>
          <w:rFonts w:ascii="Times New Roman" w:hAnsi="Times New Roman" w:cs="Times New Roman"/>
          <w:b/>
          <w:bCs/>
          <w:sz w:val="24"/>
          <w:szCs w:val="24"/>
        </w:rPr>
        <w:t>realna niezawisłość sądów</w:t>
      </w:r>
      <w:r w:rsidRPr="00A45CAA">
        <w:rPr>
          <w:rFonts w:ascii="Times New Roman" w:hAnsi="Times New Roman" w:cs="Times New Roman"/>
          <w:sz w:val="24"/>
          <w:szCs w:val="24"/>
        </w:rPr>
        <w:t xml:space="preserve"> od władz wykonawczych i prawodawczych utrwalona w konstytucji i tradycji jej stosowania. Realna niezawisłość w decyzjach stosowania ustaw przez sądy jest autonomią instytucjonalną dodatkowo wzmacnian</w:t>
      </w:r>
      <w:r w:rsidR="00BD095A" w:rsidRPr="00A45CAA">
        <w:rPr>
          <w:rFonts w:ascii="Times New Roman" w:hAnsi="Times New Roman" w:cs="Times New Roman"/>
          <w:sz w:val="24"/>
          <w:szCs w:val="24"/>
        </w:rPr>
        <w:t>ą</w:t>
      </w:r>
      <w:r w:rsidRPr="00A45CAA">
        <w:rPr>
          <w:rFonts w:ascii="Times New Roman" w:hAnsi="Times New Roman" w:cs="Times New Roman"/>
          <w:sz w:val="24"/>
          <w:szCs w:val="24"/>
        </w:rPr>
        <w:t xml:space="preserve"> przez </w:t>
      </w:r>
      <w:r w:rsidRPr="00A45CAA">
        <w:rPr>
          <w:rFonts w:ascii="Times New Roman" w:hAnsi="Times New Roman" w:cs="Times New Roman"/>
          <w:b/>
          <w:bCs/>
          <w:sz w:val="24"/>
          <w:szCs w:val="24"/>
        </w:rPr>
        <w:t>nieusuwalność sędziów i chroniące ich immunitety.</w:t>
      </w:r>
    </w:p>
    <w:p w14:paraId="3020C727" w14:textId="0728F761" w:rsidR="005216B3" w:rsidRPr="00A45CAA" w:rsidRDefault="005216B3" w:rsidP="00904FAB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5CAA">
        <w:rPr>
          <w:rFonts w:ascii="Times New Roman" w:hAnsi="Times New Roman" w:cs="Times New Roman"/>
          <w:b/>
          <w:bCs/>
          <w:sz w:val="24"/>
          <w:szCs w:val="24"/>
        </w:rPr>
        <w:t>Ochrona praw mniejszości</w:t>
      </w:r>
      <w:r w:rsidR="004A02ED" w:rsidRPr="00A45CAA">
        <w:rPr>
          <w:rFonts w:ascii="Times New Roman" w:hAnsi="Times New Roman" w:cs="Times New Roman"/>
          <w:sz w:val="24"/>
          <w:szCs w:val="24"/>
        </w:rPr>
        <w:t xml:space="preserve"> politycznych, kulturowych, religijnych, etnicznych</w:t>
      </w:r>
      <w:r w:rsidR="00583858" w:rsidRPr="00A45CAA">
        <w:rPr>
          <w:rFonts w:ascii="Times New Roman" w:hAnsi="Times New Roman" w:cs="Times New Roman"/>
          <w:sz w:val="24"/>
          <w:szCs w:val="24"/>
        </w:rPr>
        <w:t xml:space="preserve"> oraz </w:t>
      </w:r>
      <w:r w:rsidR="00583858" w:rsidRPr="00A45CAA">
        <w:rPr>
          <w:rFonts w:ascii="Times New Roman" w:hAnsi="Times New Roman" w:cs="Times New Roman"/>
          <w:b/>
          <w:bCs/>
          <w:sz w:val="24"/>
          <w:szCs w:val="24"/>
        </w:rPr>
        <w:t>praw pojedynczych obywateli, a zwłaszcza ich godności, wolności i własności</w:t>
      </w:r>
      <w:r w:rsidR="00EA58BE" w:rsidRPr="00A45C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58BE" w:rsidRPr="00A45CAA">
        <w:rPr>
          <w:rFonts w:ascii="Times New Roman" w:hAnsi="Times New Roman" w:cs="Times New Roman"/>
          <w:sz w:val="24"/>
          <w:szCs w:val="24"/>
        </w:rPr>
        <w:t>są traktowane jako fundamenty konstytucyjnego porządku w państwie.</w:t>
      </w:r>
      <w:r w:rsidR="0077348B" w:rsidRPr="00A45CAA">
        <w:rPr>
          <w:rFonts w:ascii="Times New Roman" w:hAnsi="Times New Roman" w:cs="Times New Roman"/>
          <w:sz w:val="24"/>
          <w:szCs w:val="24"/>
        </w:rPr>
        <w:t xml:space="preserve"> Prawa obywateli są niezbywalne i przyrodzone, a władze publiczne mają obowiązek je uznawać i </w:t>
      </w:r>
      <w:r w:rsidR="0077348B" w:rsidRPr="00A45CAA">
        <w:rPr>
          <w:rFonts w:ascii="Times New Roman" w:hAnsi="Times New Roman" w:cs="Times New Roman"/>
          <w:sz w:val="24"/>
          <w:szCs w:val="24"/>
        </w:rPr>
        <w:lastRenderedPageBreak/>
        <w:t>aktywnie chronić.</w:t>
      </w:r>
      <w:r w:rsidR="00904FAB" w:rsidRPr="00A45CAA">
        <w:rPr>
          <w:rFonts w:ascii="Times New Roman" w:hAnsi="Times New Roman" w:cs="Times New Roman"/>
          <w:sz w:val="24"/>
          <w:szCs w:val="24"/>
        </w:rPr>
        <w:t xml:space="preserve"> Szczególną instytucją ochronną w tej sferze jest</w:t>
      </w:r>
      <w:r w:rsidR="00904FAB" w:rsidRPr="00A45CAA">
        <w:rPr>
          <w:rFonts w:ascii="Times New Roman" w:hAnsi="Times New Roman" w:cs="Times New Roman"/>
          <w:b/>
          <w:bCs/>
          <w:sz w:val="24"/>
          <w:szCs w:val="24"/>
        </w:rPr>
        <w:t xml:space="preserve"> instytucja rzecznika praw obywatelskich, rzecznika praw dzieci i inne podobne formy organizacyjne.</w:t>
      </w:r>
    </w:p>
    <w:p w14:paraId="05CD8EF0" w14:textId="43B0BBD6" w:rsidR="005E2866" w:rsidRPr="00A45CAA" w:rsidRDefault="004A02ED" w:rsidP="00583858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CAA">
        <w:rPr>
          <w:rFonts w:ascii="Times New Roman" w:hAnsi="Times New Roman" w:cs="Times New Roman"/>
          <w:b/>
          <w:bCs/>
          <w:sz w:val="24"/>
          <w:szCs w:val="24"/>
        </w:rPr>
        <w:t>Status opozycji politycznej</w:t>
      </w:r>
      <w:r w:rsidRPr="00A45CAA">
        <w:rPr>
          <w:rFonts w:ascii="Times New Roman" w:hAnsi="Times New Roman" w:cs="Times New Roman"/>
          <w:sz w:val="24"/>
          <w:szCs w:val="24"/>
        </w:rPr>
        <w:t xml:space="preserve"> w sprawowaniu władzy. W państwie prawa opozycja ma cztery podstawowe uprawnienia: </w:t>
      </w:r>
      <w:r w:rsidR="00644316" w:rsidRPr="00A45CAA">
        <w:rPr>
          <w:rFonts w:ascii="Times New Roman" w:hAnsi="Times New Roman" w:cs="Times New Roman"/>
          <w:sz w:val="24"/>
          <w:szCs w:val="24"/>
        </w:rPr>
        <w:t xml:space="preserve">a. </w:t>
      </w:r>
      <w:r w:rsidRPr="00A45CAA">
        <w:rPr>
          <w:rFonts w:ascii="Times New Roman" w:hAnsi="Times New Roman" w:cs="Times New Roman"/>
          <w:sz w:val="24"/>
          <w:szCs w:val="24"/>
        </w:rPr>
        <w:t xml:space="preserve">do legalnego istnienia i działania na scenie publicznej, </w:t>
      </w:r>
      <w:r w:rsidR="00644316" w:rsidRPr="00A45CAA">
        <w:rPr>
          <w:rFonts w:ascii="Times New Roman" w:hAnsi="Times New Roman" w:cs="Times New Roman"/>
          <w:sz w:val="24"/>
          <w:szCs w:val="24"/>
        </w:rPr>
        <w:t xml:space="preserve">b. </w:t>
      </w:r>
      <w:r w:rsidRPr="00A45CAA">
        <w:rPr>
          <w:rFonts w:ascii="Times New Roman" w:hAnsi="Times New Roman" w:cs="Times New Roman"/>
          <w:sz w:val="24"/>
          <w:szCs w:val="24"/>
        </w:rPr>
        <w:t xml:space="preserve">do </w:t>
      </w:r>
      <w:r w:rsidR="00090C79" w:rsidRPr="00A45CAA">
        <w:rPr>
          <w:rFonts w:ascii="Times New Roman" w:hAnsi="Times New Roman" w:cs="Times New Roman"/>
          <w:sz w:val="24"/>
          <w:szCs w:val="24"/>
        </w:rPr>
        <w:t xml:space="preserve">publicznej </w:t>
      </w:r>
      <w:r w:rsidRPr="00A45CAA">
        <w:rPr>
          <w:rFonts w:ascii="Times New Roman" w:hAnsi="Times New Roman" w:cs="Times New Roman"/>
          <w:sz w:val="24"/>
          <w:szCs w:val="24"/>
        </w:rPr>
        <w:t xml:space="preserve">krytyki i protestu wobec decyzji grupy aktualnie rządzącej, </w:t>
      </w:r>
      <w:r w:rsidR="00644316" w:rsidRPr="00A45CAA">
        <w:rPr>
          <w:rFonts w:ascii="Times New Roman" w:hAnsi="Times New Roman" w:cs="Times New Roman"/>
          <w:sz w:val="24"/>
          <w:szCs w:val="24"/>
        </w:rPr>
        <w:t xml:space="preserve">c. </w:t>
      </w:r>
      <w:r w:rsidRPr="00A45CAA">
        <w:rPr>
          <w:rFonts w:ascii="Times New Roman" w:hAnsi="Times New Roman" w:cs="Times New Roman"/>
          <w:sz w:val="24"/>
          <w:szCs w:val="24"/>
        </w:rPr>
        <w:t xml:space="preserve">do jawnego dążenia do odebrania władzy w państwie grupie rządzącej oraz </w:t>
      </w:r>
      <w:r w:rsidR="00644316" w:rsidRPr="00A45CAA">
        <w:rPr>
          <w:rFonts w:ascii="Times New Roman" w:hAnsi="Times New Roman" w:cs="Times New Roman"/>
          <w:sz w:val="24"/>
          <w:szCs w:val="24"/>
        </w:rPr>
        <w:t xml:space="preserve">d. </w:t>
      </w:r>
      <w:r w:rsidRPr="00A45CAA">
        <w:rPr>
          <w:rFonts w:ascii="Times New Roman" w:hAnsi="Times New Roman" w:cs="Times New Roman"/>
          <w:sz w:val="24"/>
          <w:szCs w:val="24"/>
        </w:rPr>
        <w:t>do przejęcia pokojowymi środkami władzy od grupy rządzącej</w:t>
      </w:r>
      <w:r w:rsidR="00644316" w:rsidRPr="00A45CAA">
        <w:rPr>
          <w:rFonts w:ascii="Times New Roman" w:hAnsi="Times New Roman" w:cs="Times New Roman"/>
          <w:sz w:val="24"/>
          <w:szCs w:val="24"/>
        </w:rPr>
        <w:t xml:space="preserve">, jeżeli opozycja wygra w wolnych, uczciwych, powszechnych i bezpośrednich wyborach do parlamentu i/lub organów samorządu terytorialnego. </w:t>
      </w:r>
      <w:r w:rsidR="00090C79" w:rsidRPr="00A45CAA">
        <w:rPr>
          <w:rFonts w:ascii="Times New Roman" w:hAnsi="Times New Roman" w:cs="Times New Roman"/>
          <w:sz w:val="24"/>
          <w:szCs w:val="24"/>
        </w:rPr>
        <w:t>Wolne i uczciwe wybory w państwie prawa to nie tylko uczciwe i społecznie kontrolowane liczenie głosów, ale także wolne media i możliwie równy dostęp różnych partii do mediów dzięki czemu mogą one informować o swych programach i zdobywania poparcia wyborców.</w:t>
      </w:r>
    </w:p>
    <w:p w14:paraId="189ED211" w14:textId="2809937F" w:rsidR="004A02ED" w:rsidRDefault="00644316" w:rsidP="00583858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CAA">
        <w:rPr>
          <w:rFonts w:ascii="Times New Roman" w:hAnsi="Times New Roman" w:cs="Times New Roman"/>
          <w:sz w:val="24"/>
          <w:szCs w:val="24"/>
        </w:rPr>
        <w:t xml:space="preserve">Takie pokojowe przechodzenie władzy od jednej orientacji politycznej do innej co 4-5 lat to </w:t>
      </w:r>
      <w:r w:rsidRPr="00A45CAA">
        <w:rPr>
          <w:rFonts w:ascii="Times New Roman" w:hAnsi="Times New Roman" w:cs="Times New Roman"/>
          <w:b/>
          <w:bCs/>
          <w:sz w:val="24"/>
          <w:szCs w:val="24"/>
        </w:rPr>
        <w:t>zasada alternacji</w:t>
      </w:r>
      <w:r w:rsidRPr="00A45CAA">
        <w:rPr>
          <w:rFonts w:ascii="Times New Roman" w:hAnsi="Times New Roman" w:cs="Times New Roman"/>
          <w:sz w:val="24"/>
          <w:szCs w:val="24"/>
        </w:rPr>
        <w:t xml:space="preserve"> </w:t>
      </w:r>
      <w:r w:rsidR="005E2866" w:rsidRPr="00A45CAA">
        <w:rPr>
          <w:rFonts w:ascii="Times New Roman" w:hAnsi="Times New Roman" w:cs="Times New Roman"/>
          <w:sz w:val="24"/>
          <w:szCs w:val="24"/>
        </w:rPr>
        <w:t>gwarantująca</w:t>
      </w:r>
      <w:r w:rsidRPr="00A45CAA">
        <w:rPr>
          <w:rFonts w:ascii="Times New Roman" w:hAnsi="Times New Roman" w:cs="Times New Roman"/>
          <w:sz w:val="24"/>
          <w:szCs w:val="24"/>
        </w:rPr>
        <w:t xml:space="preserve">, że nikt nie może </w:t>
      </w:r>
      <w:r w:rsidR="005E2866" w:rsidRPr="00A45CAA">
        <w:rPr>
          <w:rFonts w:ascii="Times New Roman" w:hAnsi="Times New Roman" w:cs="Times New Roman"/>
          <w:sz w:val="24"/>
          <w:szCs w:val="24"/>
        </w:rPr>
        <w:t>dążyć</w:t>
      </w:r>
      <w:r w:rsidRPr="00A45CAA">
        <w:rPr>
          <w:rFonts w:ascii="Times New Roman" w:hAnsi="Times New Roman" w:cs="Times New Roman"/>
          <w:sz w:val="24"/>
          <w:szCs w:val="24"/>
        </w:rPr>
        <w:t xml:space="preserve"> do władzy nieograniczonej prawem</w:t>
      </w:r>
      <w:r w:rsidR="005E2866" w:rsidRPr="00A45CAA">
        <w:rPr>
          <w:rFonts w:ascii="Times New Roman" w:hAnsi="Times New Roman" w:cs="Times New Roman"/>
          <w:sz w:val="24"/>
          <w:szCs w:val="24"/>
        </w:rPr>
        <w:t xml:space="preserve"> i sprawowanej zawsze przez te same osoby i/lub ugrupowania polityczne. Władza nie może być przyznawana na zawsze lub na bardzo długi czas, bo to sprzyja ignorowaniu prawa przez rządzących, ułatwia korupcję i brak poszanowania praw obywateli. Temu samemu celowi co alternacja służy </w:t>
      </w:r>
      <w:r w:rsidR="005E2866" w:rsidRPr="00A45CAA">
        <w:rPr>
          <w:rFonts w:ascii="Times New Roman" w:hAnsi="Times New Roman" w:cs="Times New Roman"/>
          <w:b/>
          <w:bCs/>
          <w:sz w:val="24"/>
          <w:szCs w:val="24"/>
        </w:rPr>
        <w:t>instytucja kadencji</w:t>
      </w:r>
      <w:r w:rsidR="00583858" w:rsidRPr="00A45CAA">
        <w:rPr>
          <w:rFonts w:ascii="Times New Roman" w:hAnsi="Times New Roman" w:cs="Times New Roman"/>
          <w:sz w:val="24"/>
          <w:szCs w:val="24"/>
        </w:rPr>
        <w:t xml:space="preserve"> ograniczająca w czasie możliwość pełnienia władczych funkcji przez osoby wybrane lub nominowane do wykonywania takich funkcji.</w:t>
      </w:r>
    </w:p>
    <w:p w14:paraId="126C29CF" w14:textId="0D347D76" w:rsidR="00DC6388" w:rsidRPr="00A45CAA" w:rsidRDefault="00DC6388" w:rsidP="00583858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108C">
        <w:rPr>
          <w:rFonts w:ascii="Times New Roman" w:hAnsi="Times New Roman" w:cs="Times New Roman"/>
          <w:b/>
          <w:bCs/>
          <w:sz w:val="24"/>
          <w:szCs w:val="24"/>
        </w:rPr>
        <w:t xml:space="preserve">Prawa podmiotowe obywateli są chronione jednakowo skutecznie </w:t>
      </w:r>
      <w:r>
        <w:rPr>
          <w:rFonts w:ascii="Times New Roman" w:hAnsi="Times New Roman" w:cs="Times New Roman"/>
          <w:sz w:val="24"/>
          <w:szCs w:val="24"/>
        </w:rPr>
        <w:t xml:space="preserve">niezależnie od ich pozycji </w:t>
      </w:r>
      <w:r w:rsidR="00D0108C">
        <w:rPr>
          <w:rFonts w:ascii="Times New Roman" w:hAnsi="Times New Roman" w:cs="Times New Roman"/>
          <w:sz w:val="24"/>
          <w:szCs w:val="24"/>
        </w:rPr>
        <w:t>w hierarchii społecznej, ekonomicznej i kulturowej. Ta ochrona prawna ma dawać wszystkim wysoki poziom pewności, bowiem pewność prawa to konieczny składnik bezpieczeństwa prawnego ludzi.</w:t>
      </w:r>
    </w:p>
    <w:p w14:paraId="28A425E6" w14:textId="4DAA7399" w:rsidR="00B950B0" w:rsidRPr="00A45CAA" w:rsidRDefault="00B950B0" w:rsidP="00B950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219F22" w14:textId="701ED6F3" w:rsidR="00B950B0" w:rsidRPr="00A45CAA" w:rsidRDefault="00B950B0" w:rsidP="00B950B0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45CAA">
        <w:rPr>
          <w:rFonts w:ascii="Times New Roman" w:hAnsi="Times New Roman" w:cs="Times New Roman"/>
          <w:sz w:val="24"/>
          <w:szCs w:val="24"/>
          <w:highlight w:val="yellow"/>
        </w:rPr>
        <w:t>Legislacyjne czyli związane ze sposobami tworzenia prawa i formalnymi cechami systemu prawa.</w:t>
      </w:r>
    </w:p>
    <w:p w14:paraId="6A291DB0" w14:textId="77777777" w:rsidR="00F778F2" w:rsidRPr="00A45CAA" w:rsidRDefault="00F778F2" w:rsidP="00F778F2">
      <w:pPr>
        <w:pStyle w:val="Akapitzlist"/>
        <w:spacing w:line="360" w:lineRule="auto"/>
        <w:ind w:left="785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80CAB1A" w14:textId="0C66C34B" w:rsidR="00B950B0" w:rsidRPr="00A45CAA" w:rsidRDefault="00B950B0" w:rsidP="00B950B0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CAA">
        <w:rPr>
          <w:rFonts w:ascii="Times New Roman" w:hAnsi="Times New Roman" w:cs="Times New Roman"/>
          <w:b/>
          <w:bCs/>
          <w:sz w:val="24"/>
          <w:szCs w:val="24"/>
        </w:rPr>
        <w:t>Spójna treściowo i aksjologicznie struktura systemu prawa</w:t>
      </w:r>
      <w:r w:rsidRPr="00A45CAA">
        <w:rPr>
          <w:rFonts w:ascii="Times New Roman" w:hAnsi="Times New Roman" w:cs="Times New Roman"/>
          <w:sz w:val="24"/>
          <w:szCs w:val="24"/>
        </w:rPr>
        <w:t xml:space="preserve">  jest gwarantowana przez precyzyjną </w:t>
      </w:r>
      <w:r w:rsidRPr="00A45CAA">
        <w:rPr>
          <w:rFonts w:ascii="Times New Roman" w:hAnsi="Times New Roman" w:cs="Times New Roman"/>
          <w:b/>
          <w:bCs/>
          <w:sz w:val="24"/>
          <w:szCs w:val="24"/>
        </w:rPr>
        <w:t>hierarchię źródeł prawa</w:t>
      </w:r>
      <w:r w:rsidR="009F61A5" w:rsidRPr="00A45CAA">
        <w:rPr>
          <w:rFonts w:ascii="Times New Roman" w:hAnsi="Times New Roman" w:cs="Times New Roman"/>
          <w:b/>
          <w:bCs/>
          <w:sz w:val="24"/>
          <w:szCs w:val="24"/>
        </w:rPr>
        <w:t xml:space="preserve"> respektowaną przez organy prawotwórcze. </w:t>
      </w:r>
    </w:p>
    <w:p w14:paraId="5D5EC150" w14:textId="2D15E1DD" w:rsidR="005F355A" w:rsidRPr="00A45CAA" w:rsidRDefault="005F355A" w:rsidP="00B950B0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CAA">
        <w:rPr>
          <w:rFonts w:ascii="Times New Roman" w:hAnsi="Times New Roman" w:cs="Times New Roman"/>
          <w:sz w:val="24"/>
          <w:szCs w:val="24"/>
        </w:rPr>
        <w:lastRenderedPageBreak/>
        <w:t xml:space="preserve">Hierarchia źródeł i norm prawa oparta jest na zasadzie </w:t>
      </w:r>
      <w:r w:rsidRPr="00A45CAA">
        <w:rPr>
          <w:rFonts w:ascii="Times New Roman" w:hAnsi="Times New Roman" w:cs="Times New Roman"/>
          <w:b/>
          <w:bCs/>
          <w:sz w:val="24"/>
          <w:szCs w:val="24"/>
        </w:rPr>
        <w:t>prymatu konstytucji</w:t>
      </w:r>
      <w:r w:rsidRPr="00A45CAA">
        <w:rPr>
          <w:rFonts w:ascii="Times New Roman" w:hAnsi="Times New Roman" w:cs="Times New Roman"/>
          <w:sz w:val="24"/>
          <w:szCs w:val="24"/>
        </w:rPr>
        <w:t xml:space="preserve"> (domniemanie konstytucyjności ustaw zwykłych i aktów prawa pod ustawowego) i na </w:t>
      </w:r>
      <w:r w:rsidRPr="00A45CAA">
        <w:rPr>
          <w:rFonts w:ascii="Times New Roman" w:hAnsi="Times New Roman" w:cs="Times New Roman"/>
          <w:b/>
          <w:bCs/>
          <w:sz w:val="24"/>
          <w:szCs w:val="24"/>
        </w:rPr>
        <w:t>zasadzie zgodności aktów pod ustawowych z ustawami</w:t>
      </w:r>
      <w:r w:rsidRPr="00A45CAA">
        <w:rPr>
          <w:rFonts w:ascii="Times New Roman" w:hAnsi="Times New Roman" w:cs="Times New Roman"/>
          <w:sz w:val="24"/>
          <w:szCs w:val="24"/>
        </w:rPr>
        <w:t>.</w:t>
      </w:r>
    </w:p>
    <w:p w14:paraId="3B86B6D9" w14:textId="71E49D13" w:rsidR="007F1057" w:rsidRDefault="007F1057" w:rsidP="00B950B0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CAA">
        <w:rPr>
          <w:rFonts w:ascii="Times New Roman" w:hAnsi="Times New Roman" w:cs="Times New Roman"/>
          <w:sz w:val="24"/>
          <w:szCs w:val="24"/>
        </w:rPr>
        <w:t xml:space="preserve">Organy prawodawcze </w:t>
      </w:r>
      <w:r w:rsidRPr="00A45CAA">
        <w:rPr>
          <w:rFonts w:ascii="Times New Roman" w:hAnsi="Times New Roman" w:cs="Times New Roman"/>
          <w:b/>
          <w:bCs/>
          <w:sz w:val="24"/>
          <w:szCs w:val="24"/>
        </w:rPr>
        <w:t>nie delegują swych uprawnień legislacyjnych</w:t>
      </w:r>
      <w:r w:rsidRPr="00A45CAA">
        <w:rPr>
          <w:rFonts w:ascii="Times New Roman" w:hAnsi="Times New Roman" w:cs="Times New Roman"/>
          <w:sz w:val="24"/>
          <w:szCs w:val="24"/>
        </w:rPr>
        <w:t xml:space="preserve"> na organy wykonawcze, a jeśli to robią to jedynie w sytuacjach wyjątkowych.</w:t>
      </w:r>
      <w:r w:rsidR="00F3102D" w:rsidRPr="00A45CAA">
        <w:rPr>
          <w:rFonts w:ascii="Times New Roman" w:hAnsi="Times New Roman" w:cs="Times New Roman"/>
          <w:sz w:val="24"/>
          <w:szCs w:val="24"/>
        </w:rPr>
        <w:t xml:space="preserve"> Częste delegowanie uprawnień Sejmu Radzie Ministrów było w latach stalinizmu </w:t>
      </w:r>
      <w:r w:rsidR="00B650E4" w:rsidRPr="00A45CAA">
        <w:rPr>
          <w:rFonts w:ascii="Times New Roman" w:hAnsi="Times New Roman" w:cs="Times New Roman"/>
          <w:sz w:val="24"/>
          <w:szCs w:val="24"/>
        </w:rPr>
        <w:t xml:space="preserve">potwierdzeniem </w:t>
      </w:r>
      <w:r w:rsidR="00F3102D" w:rsidRPr="00A45CAA">
        <w:rPr>
          <w:rFonts w:ascii="Times New Roman" w:hAnsi="Times New Roman" w:cs="Times New Roman"/>
          <w:sz w:val="24"/>
          <w:szCs w:val="24"/>
        </w:rPr>
        <w:t>dyktatorskiego charakteru państwa.</w:t>
      </w:r>
    </w:p>
    <w:p w14:paraId="6A6AC721" w14:textId="7E6A145C" w:rsidR="00666203" w:rsidRPr="00A45CAA" w:rsidRDefault="00666203" w:rsidP="00B950B0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1755610"/>
      <w:r>
        <w:rPr>
          <w:rFonts w:ascii="Times New Roman" w:hAnsi="Times New Roman" w:cs="Times New Roman"/>
          <w:sz w:val="24"/>
          <w:szCs w:val="24"/>
        </w:rPr>
        <w:t xml:space="preserve">Zasada formalnej sprawiedliwości wymaga, aby </w:t>
      </w:r>
      <w:r w:rsidR="00DC6388">
        <w:rPr>
          <w:rFonts w:ascii="Times New Roman" w:hAnsi="Times New Roman" w:cs="Times New Roman"/>
          <w:sz w:val="24"/>
          <w:szCs w:val="24"/>
        </w:rPr>
        <w:t>podmioty wyróżnione przez prawo na podstawie jakiejś cechy uznanej za doniosła moralnie były traktowane równo, aby ich statusy prawne nie pozwalały na dyskryminację lub uprzywilejowanie kogokolwiek.</w:t>
      </w:r>
    </w:p>
    <w:bookmarkEnd w:id="0"/>
    <w:p w14:paraId="26F93EF7" w14:textId="5B3F384B" w:rsidR="0019763E" w:rsidRPr="00A45CAA" w:rsidRDefault="0019763E" w:rsidP="00B950B0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CAA">
        <w:rPr>
          <w:rFonts w:ascii="Times New Roman" w:hAnsi="Times New Roman" w:cs="Times New Roman"/>
          <w:sz w:val="24"/>
          <w:szCs w:val="24"/>
        </w:rPr>
        <w:t>Zasada zakazująca działanie prawa wstecz (</w:t>
      </w:r>
      <w:r w:rsidRPr="00A45CA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lex retro non </w:t>
      </w:r>
      <w:proofErr w:type="spellStart"/>
      <w:r w:rsidRPr="00A45CAA">
        <w:rPr>
          <w:rFonts w:ascii="Times New Roman" w:hAnsi="Times New Roman" w:cs="Times New Roman"/>
          <w:b/>
          <w:bCs/>
          <w:i/>
          <w:iCs/>
          <w:sz w:val="24"/>
          <w:szCs w:val="24"/>
        </w:rPr>
        <w:t>agit</w:t>
      </w:r>
      <w:proofErr w:type="spellEnd"/>
      <w:r w:rsidRPr="00A45CAA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A45CAA">
        <w:rPr>
          <w:rFonts w:ascii="Times New Roman" w:hAnsi="Times New Roman" w:cs="Times New Roman"/>
          <w:sz w:val="24"/>
          <w:szCs w:val="24"/>
        </w:rPr>
        <w:t>jest szanowana.</w:t>
      </w:r>
    </w:p>
    <w:p w14:paraId="235F7408" w14:textId="469C156B" w:rsidR="0019763E" w:rsidRPr="00DC6388" w:rsidRDefault="0019763E" w:rsidP="00B950B0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CAA">
        <w:rPr>
          <w:rFonts w:ascii="Times New Roman" w:hAnsi="Times New Roman" w:cs="Times New Roman"/>
          <w:sz w:val="24"/>
          <w:szCs w:val="24"/>
        </w:rPr>
        <w:t xml:space="preserve">Prawo jest wyrażane możliwie </w:t>
      </w:r>
      <w:r w:rsidRPr="00A45CAA">
        <w:rPr>
          <w:rFonts w:ascii="Times New Roman" w:hAnsi="Times New Roman" w:cs="Times New Roman"/>
          <w:b/>
          <w:bCs/>
          <w:sz w:val="24"/>
          <w:szCs w:val="24"/>
        </w:rPr>
        <w:t>prostym i jasnym językiem.</w:t>
      </w:r>
    </w:p>
    <w:p w14:paraId="6CEE776B" w14:textId="70561F2A" w:rsidR="00DC6388" w:rsidRPr="00DC6388" w:rsidRDefault="00DC6388" w:rsidP="00B950B0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388">
        <w:rPr>
          <w:rFonts w:ascii="Times New Roman" w:hAnsi="Times New Roman" w:cs="Times New Roman"/>
          <w:sz w:val="24"/>
          <w:szCs w:val="24"/>
        </w:rPr>
        <w:t xml:space="preserve">Prawo stanowione i inne źródła prawa ma </w:t>
      </w:r>
      <w:r w:rsidRPr="00DC6388">
        <w:rPr>
          <w:rFonts w:ascii="Times New Roman" w:hAnsi="Times New Roman" w:cs="Times New Roman"/>
          <w:b/>
          <w:bCs/>
          <w:sz w:val="24"/>
          <w:szCs w:val="24"/>
        </w:rPr>
        <w:t>wysoką moc predyktywną</w:t>
      </w:r>
      <w:r w:rsidRPr="00DC6388">
        <w:rPr>
          <w:rFonts w:ascii="Times New Roman" w:hAnsi="Times New Roman" w:cs="Times New Roman"/>
          <w:sz w:val="24"/>
          <w:szCs w:val="24"/>
        </w:rPr>
        <w:t>, co znaczy, że to co wyrażają normy jest dobrą podstawa do trafnego przewidywania zachowania podmiotów prawa, a zwłaszcza organów władzy publicznej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9E9271" w14:textId="4CCDC1D8" w:rsidR="0019763E" w:rsidRPr="00A45CAA" w:rsidRDefault="0019763E" w:rsidP="00B950B0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CAA">
        <w:rPr>
          <w:rFonts w:ascii="Times New Roman" w:hAnsi="Times New Roman" w:cs="Times New Roman"/>
          <w:sz w:val="24"/>
          <w:szCs w:val="24"/>
        </w:rPr>
        <w:t xml:space="preserve">Prawo zawiera </w:t>
      </w:r>
      <w:r w:rsidRPr="00A45CAA">
        <w:rPr>
          <w:rFonts w:ascii="Times New Roman" w:hAnsi="Times New Roman" w:cs="Times New Roman"/>
          <w:b/>
          <w:bCs/>
          <w:sz w:val="24"/>
          <w:szCs w:val="24"/>
        </w:rPr>
        <w:t>niewiele sprzeczności i luk</w:t>
      </w:r>
      <w:r w:rsidRPr="00A45CAA">
        <w:rPr>
          <w:rFonts w:ascii="Times New Roman" w:hAnsi="Times New Roman" w:cs="Times New Roman"/>
          <w:sz w:val="24"/>
          <w:szCs w:val="24"/>
        </w:rPr>
        <w:t>. J</w:t>
      </w:r>
      <w:r w:rsidR="00EB7B5D" w:rsidRPr="00A45CAA">
        <w:rPr>
          <w:rFonts w:ascii="Times New Roman" w:hAnsi="Times New Roman" w:cs="Times New Roman"/>
          <w:sz w:val="24"/>
          <w:szCs w:val="24"/>
        </w:rPr>
        <w:t xml:space="preserve">est w nim </w:t>
      </w:r>
      <w:r w:rsidR="0093246B" w:rsidRPr="00A45CAA">
        <w:rPr>
          <w:rFonts w:ascii="Times New Roman" w:hAnsi="Times New Roman" w:cs="Times New Roman"/>
          <w:sz w:val="24"/>
          <w:szCs w:val="24"/>
        </w:rPr>
        <w:t>bardzo niewiele</w:t>
      </w:r>
      <w:r w:rsidRPr="00A45CAA">
        <w:rPr>
          <w:rFonts w:ascii="Times New Roman" w:hAnsi="Times New Roman" w:cs="Times New Roman"/>
          <w:sz w:val="24"/>
          <w:szCs w:val="24"/>
        </w:rPr>
        <w:t xml:space="preserve"> przepisów pustych lub blankietowych.</w:t>
      </w:r>
    </w:p>
    <w:p w14:paraId="0DA27712" w14:textId="27966C97" w:rsidR="0019763E" w:rsidRPr="00A45CAA" w:rsidRDefault="0019763E" w:rsidP="00B950B0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CAA">
        <w:rPr>
          <w:rFonts w:ascii="Times New Roman" w:hAnsi="Times New Roman" w:cs="Times New Roman"/>
          <w:sz w:val="24"/>
          <w:szCs w:val="24"/>
        </w:rPr>
        <w:t>Prawo nie nakłada obowiązków niemożliwych do spełnienia.</w:t>
      </w:r>
    </w:p>
    <w:p w14:paraId="50D096D9" w14:textId="63657265" w:rsidR="004B1653" w:rsidRPr="00A45CAA" w:rsidRDefault="004B1653" w:rsidP="004B1653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CAA">
        <w:rPr>
          <w:rFonts w:ascii="Times New Roman" w:hAnsi="Times New Roman" w:cs="Times New Roman"/>
          <w:sz w:val="24"/>
          <w:szCs w:val="24"/>
        </w:rPr>
        <w:t xml:space="preserve">Prawo jest </w:t>
      </w:r>
      <w:r w:rsidR="00090C79" w:rsidRPr="00A45CAA">
        <w:rPr>
          <w:rFonts w:ascii="Times New Roman" w:hAnsi="Times New Roman" w:cs="Times New Roman"/>
          <w:b/>
          <w:bCs/>
          <w:sz w:val="24"/>
          <w:szCs w:val="24"/>
        </w:rPr>
        <w:t xml:space="preserve">porządnie </w:t>
      </w:r>
      <w:r w:rsidRPr="00A45CAA">
        <w:rPr>
          <w:rFonts w:ascii="Times New Roman" w:hAnsi="Times New Roman" w:cs="Times New Roman"/>
          <w:b/>
          <w:bCs/>
          <w:sz w:val="24"/>
          <w:szCs w:val="24"/>
        </w:rPr>
        <w:t>ogłaszane</w:t>
      </w:r>
      <w:r w:rsidRPr="00A45CAA">
        <w:rPr>
          <w:rFonts w:ascii="Times New Roman" w:hAnsi="Times New Roman" w:cs="Times New Roman"/>
          <w:sz w:val="24"/>
          <w:szCs w:val="24"/>
        </w:rPr>
        <w:t xml:space="preserve"> przez władze publiczne i nie ma prawa tajnego dla obywateli.</w:t>
      </w:r>
    </w:p>
    <w:p w14:paraId="14731B6F" w14:textId="7055D642" w:rsidR="00DC6388" w:rsidRPr="00DC6388" w:rsidRDefault="004B1653" w:rsidP="00DC6388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CAA">
        <w:rPr>
          <w:rFonts w:ascii="Times New Roman" w:hAnsi="Times New Roman" w:cs="Times New Roman"/>
          <w:sz w:val="24"/>
          <w:szCs w:val="24"/>
        </w:rPr>
        <w:t xml:space="preserve">Treść prawa respektuje zasadę formalnej </w:t>
      </w:r>
      <w:r w:rsidRPr="00A45CAA">
        <w:rPr>
          <w:rFonts w:ascii="Times New Roman" w:hAnsi="Times New Roman" w:cs="Times New Roman"/>
          <w:b/>
          <w:bCs/>
          <w:sz w:val="24"/>
          <w:szCs w:val="24"/>
        </w:rPr>
        <w:t>równości wobec prawa i w prawie</w:t>
      </w:r>
      <w:r w:rsidR="00F3102D" w:rsidRPr="00A45CAA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F3102D" w:rsidRPr="00A45CAA">
        <w:rPr>
          <w:rFonts w:ascii="Times New Roman" w:hAnsi="Times New Roman" w:cs="Times New Roman"/>
          <w:sz w:val="24"/>
          <w:szCs w:val="24"/>
        </w:rPr>
        <w:t xml:space="preserve"> które </w:t>
      </w:r>
      <w:r w:rsidR="00F778F2" w:rsidRPr="00A45CAA">
        <w:rPr>
          <w:rFonts w:ascii="Times New Roman" w:hAnsi="Times New Roman" w:cs="Times New Roman"/>
          <w:sz w:val="24"/>
          <w:szCs w:val="24"/>
        </w:rPr>
        <w:t>są</w:t>
      </w:r>
      <w:r w:rsidR="00F3102D" w:rsidRPr="00A45CAA">
        <w:rPr>
          <w:rFonts w:ascii="Times New Roman" w:hAnsi="Times New Roman" w:cs="Times New Roman"/>
          <w:sz w:val="24"/>
          <w:szCs w:val="24"/>
        </w:rPr>
        <w:t xml:space="preserve"> koniecznymi warunkami </w:t>
      </w:r>
      <w:r w:rsidR="007F1057" w:rsidRPr="00A45CAA">
        <w:rPr>
          <w:rFonts w:ascii="Times New Roman" w:hAnsi="Times New Roman" w:cs="Times New Roman"/>
          <w:b/>
          <w:bCs/>
          <w:sz w:val="24"/>
          <w:szCs w:val="24"/>
        </w:rPr>
        <w:t>formaln</w:t>
      </w:r>
      <w:r w:rsidR="00F3102D" w:rsidRPr="00A45CAA">
        <w:rPr>
          <w:rFonts w:ascii="Times New Roman" w:hAnsi="Times New Roman" w:cs="Times New Roman"/>
          <w:b/>
          <w:bCs/>
          <w:sz w:val="24"/>
          <w:szCs w:val="24"/>
        </w:rPr>
        <w:t>ej</w:t>
      </w:r>
      <w:r w:rsidR="007F1057" w:rsidRPr="00A45CAA">
        <w:rPr>
          <w:rFonts w:ascii="Times New Roman" w:hAnsi="Times New Roman" w:cs="Times New Roman"/>
          <w:b/>
          <w:bCs/>
          <w:sz w:val="24"/>
          <w:szCs w:val="24"/>
        </w:rPr>
        <w:t xml:space="preserve"> sprawiedliwoś</w:t>
      </w:r>
      <w:r w:rsidR="00F3102D" w:rsidRPr="00A45CAA">
        <w:rPr>
          <w:rFonts w:ascii="Times New Roman" w:hAnsi="Times New Roman" w:cs="Times New Roman"/>
          <w:b/>
          <w:bCs/>
          <w:sz w:val="24"/>
          <w:szCs w:val="24"/>
        </w:rPr>
        <w:t>ci</w:t>
      </w:r>
      <w:r w:rsidR="00F3102D" w:rsidRPr="00A45CAA">
        <w:rPr>
          <w:rFonts w:ascii="Times New Roman" w:hAnsi="Times New Roman" w:cs="Times New Roman"/>
          <w:sz w:val="24"/>
          <w:szCs w:val="24"/>
        </w:rPr>
        <w:t>.</w:t>
      </w:r>
      <w:r w:rsidR="00F778F2" w:rsidRPr="00A45CAA">
        <w:rPr>
          <w:rFonts w:ascii="Times New Roman" w:hAnsi="Times New Roman" w:cs="Times New Roman"/>
          <w:sz w:val="24"/>
          <w:szCs w:val="24"/>
        </w:rPr>
        <w:t xml:space="preserve"> Gdy obie te zasady są szanowane każdy człowiek lub inny podmiot prawa o takim samym statusie prawnym jest traktowany tak samo przez władze publiczne</w:t>
      </w:r>
      <w:r w:rsidR="0093246B" w:rsidRPr="00A45CAA">
        <w:rPr>
          <w:rFonts w:ascii="Times New Roman" w:hAnsi="Times New Roman" w:cs="Times New Roman"/>
          <w:sz w:val="24"/>
          <w:szCs w:val="24"/>
        </w:rPr>
        <w:t>; żaden z takich podmiotów nie jest dyskryminowany lub  uprzywilejowany.</w:t>
      </w:r>
      <w:r w:rsidR="00DC6388" w:rsidRPr="00DC6388">
        <w:rPr>
          <w:rFonts w:ascii="Times New Roman" w:hAnsi="Times New Roman" w:cs="Times New Roman"/>
          <w:sz w:val="24"/>
          <w:szCs w:val="24"/>
        </w:rPr>
        <w:t xml:space="preserve"> Zasada formalnej sprawiedliwości wymaga, aby podmioty wyróżnione przez prawo na podstawie jakiejś cechy uznanej za doniosła moralnie</w:t>
      </w:r>
      <w:r w:rsidR="00DC6388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="00DC6388">
        <w:rPr>
          <w:rFonts w:ascii="Times New Roman" w:hAnsi="Times New Roman" w:cs="Times New Roman"/>
          <w:sz w:val="24"/>
          <w:szCs w:val="24"/>
        </w:rPr>
        <w:t>np.wiek</w:t>
      </w:r>
      <w:proofErr w:type="spellEnd"/>
      <w:r w:rsidR="00DC6388">
        <w:rPr>
          <w:rFonts w:ascii="Times New Roman" w:hAnsi="Times New Roman" w:cs="Times New Roman"/>
          <w:sz w:val="24"/>
          <w:szCs w:val="24"/>
        </w:rPr>
        <w:t>, płeć, zawód, poziom dochodu do opodatkowania)</w:t>
      </w:r>
      <w:r w:rsidR="00DC6388" w:rsidRPr="00DC6388">
        <w:rPr>
          <w:rFonts w:ascii="Times New Roman" w:hAnsi="Times New Roman" w:cs="Times New Roman"/>
          <w:sz w:val="24"/>
          <w:szCs w:val="24"/>
        </w:rPr>
        <w:t xml:space="preserve"> były traktowane równo, aby ich statusy prawne nie pozwalały na dyskryminację lub uprzywilejowanie kogokolwiek.</w:t>
      </w:r>
    </w:p>
    <w:p w14:paraId="7B73EE9F" w14:textId="1EF03536" w:rsidR="004B1653" w:rsidRPr="00A45CAA" w:rsidRDefault="004B1653" w:rsidP="00D0108C">
      <w:pPr>
        <w:pStyle w:val="Akapitzlis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5163F2" w14:textId="77777777" w:rsidR="0077348B" w:rsidRPr="00A45CAA" w:rsidRDefault="0077348B" w:rsidP="0077348B">
      <w:pPr>
        <w:pStyle w:val="Akapitzlis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35F9EF" w14:textId="650C3095" w:rsidR="00BC66B7" w:rsidRPr="00A45CAA" w:rsidRDefault="00EB7B5D" w:rsidP="00BC66B7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A45CAA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Proceduralne</w:t>
      </w:r>
      <w:r w:rsidR="0077348B" w:rsidRPr="00A45CAA">
        <w:rPr>
          <w:rFonts w:ascii="Times New Roman" w:hAnsi="Times New Roman" w:cs="Times New Roman"/>
          <w:sz w:val="24"/>
          <w:szCs w:val="24"/>
          <w:highlight w:val="yellow"/>
        </w:rPr>
        <w:t xml:space="preserve"> lub  aplikacyjne</w:t>
      </w:r>
      <w:r w:rsidRPr="00A45CA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F3102D" w:rsidRPr="00A45CAA">
        <w:rPr>
          <w:rFonts w:ascii="Times New Roman" w:hAnsi="Times New Roman" w:cs="Times New Roman"/>
          <w:sz w:val="24"/>
          <w:szCs w:val="24"/>
          <w:highlight w:val="yellow"/>
        </w:rPr>
        <w:t xml:space="preserve">gwarancje </w:t>
      </w:r>
      <w:r w:rsidRPr="00A45CAA">
        <w:rPr>
          <w:rFonts w:ascii="Times New Roman" w:hAnsi="Times New Roman" w:cs="Times New Roman"/>
          <w:sz w:val="24"/>
          <w:szCs w:val="24"/>
          <w:highlight w:val="yellow"/>
        </w:rPr>
        <w:t xml:space="preserve">czyli </w:t>
      </w:r>
      <w:r w:rsidR="0077348B" w:rsidRPr="00A45CAA">
        <w:rPr>
          <w:rFonts w:ascii="Times New Roman" w:hAnsi="Times New Roman" w:cs="Times New Roman"/>
          <w:sz w:val="24"/>
          <w:szCs w:val="24"/>
          <w:highlight w:val="yellow"/>
        </w:rPr>
        <w:t>związane z rzeczywistą praktyką stosowania prawa</w:t>
      </w:r>
      <w:r w:rsidR="00BC66B7" w:rsidRPr="00A45CAA">
        <w:rPr>
          <w:rFonts w:ascii="Times New Roman" w:hAnsi="Times New Roman" w:cs="Times New Roman"/>
          <w:sz w:val="24"/>
          <w:szCs w:val="24"/>
          <w:highlight w:val="yellow"/>
        </w:rPr>
        <w:t>, ze stylem egzekwowania prawa, sposobami interpretacji i argumentacji w sporach prawnych.</w:t>
      </w:r>
    </w:p>
    <w:p w14:paraId="1FB0B86B" w14:textId="195813D4" w:rsidR="0093246B" w:rsidRPr="00A45CAA" w:rsidRDefault="0093246B" w:rsidP="0093246B">
      <w:pPr>
        <w:pStyle w:val="Akapitzlist"/>
        <w:spacing w:line="360" w:lineRule="auto"/>
        <w:ind w:left="785"/>
        <w:jc w:val="both"/>
        <w:rPr>
          <w:rFonts w:ascii="Times New Roman" w:hAnsi="Times New Roman" w:cs="Times New Roman"/>
          <w:sz w:val="24"/>
          <w:szCs w:val="24"/>
        </w:rPr>
      </w:pPr>
    </w:p>
    <w:p w14:paraId="3DD6998B" w14:textId="77BF8CC3" w:rsidR="00C36C74" w:rsidRPr="00A45CAA" w:rsidRDefault="00C36C74" w:rsidP="003911D8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CAA">
        <w:rPr>
          <w:rFonts w:ascii="Times New Roman" w:hAnsi="Times New Roman" w:cs="Times New Roman"/>
          <w:b/>
          <w:bCs/>
          <w:sz w:val="24"/>
          <w:szCs w:val="24"/>
        </w:rPr>
        <w:t>Prawo człowieka do ochrony swego statusu ze strony niezawisłego s</w:t>
      </w:r>
      <w:r w:rsidR="00DA518B">
        <w:rPr>
          <w:rFonts w:ascii="Times New Roman" w:hAnsi="Times New Roman" w:cs="Times New Roman"/>
          <w:b/>
          <w:bCs/>
          <w:sz w:val="24"/>
          <w:szCs w:val="24"/>
        </w:rPr>
        <w:t>ą</w:t>
      </w:r>
      <w:r w:rsidRPr="00A45CAA">
        <w:rPr>
          <w:rFonts w:ascii="Times New Roman" w:hAnsi="Times New Roman" w:cs="Times New Roman"/>
          <w:b/>
          <w:bCs/>
          <w:sz w:val="24"/>
          <w:szCs w:val="24"/>
        </w:rPr>
        <w:t xml:space="preserve">du we wszystkich sprawach spornych prawnie. </w:t>
      </w:r>
      <w:r w:rsidRPr="00A45CAA">
        <w:rPr>
          <w:rFonts w:ascii="Times New Roman" w:hAnsi="Times New Roman" w:cs="Times New Roman"/>
          <w:sz w:val="24"/>
          <w:szCs w:val="24"/>
        </w:rPr>
        <w:t>Poza obywatelami także inni ludzie przebywający na terytorium danego państwa maja prawo wnosić do s</w:t>
      </w:r>
      <w:r w:rsidR="001B283D">
        <w:rPr>
          <w:rFonts w:ascii="Times New Roman" w:hAnsi="Times New Roman" w:cs="Times New Roman"/>
          <w:sz w:val="24"/>
          <w:szCs w:val="24"/>
        </w:rPr>
        <w:t>ą</w:t>
      </w:r>
      <w:r w:rsidRPr="00A45CAA">
        <w:rPr>
          <w:rFonts w:ascii="Times New Roman" w:hAnsi="Times New Roman" w:cs="Times New Roman"/>
          <w:sz w:val="24"/>
          <w:szCs w:val="24"/>
        </w:rPr>
        <w:t>du swe spory prawne.</w:t>
      </w:r>
    </w:p>
    <w:p w14:paraId="62FD78AA" w14:textId="6B6B8A14" w:rsidR="003911D8" w:rsidRPr="00A45CAA" w:rsidRDefault="003911D8" w:rsidP="003911D8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CAA">
        <w:rPr>
          <w:rFonts w:ascii="Times New Roman" w:hAnsi="Times New Roman" w:cs="Times New Roman"/>
          <w:b/>
          <w:bCs/>
          <w:sz w:val="24"/>
          <w:szCs w:val="24"/>
        </w:rPr>
        <w:t>Wielo</w:t>
      </w:r>
      <w:r w:rsidR="00902530" w:rsidRPr="00A45CAA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A45CAA">
        <w:rPr>
          <w:rFonts w:ascii="Times New Roman" w:hAnsi="Times New Roman" w:cs="Times New Roman"/>
          <w:b/>
          <w:bCs/>
          <w:sz w:val="24"/>
          <w:szCs w:val="24"/>
        </w:rPr>
        <w:t>instancyjność postępowania sądowego</w:t>
      </w:r>
      <w:r w:rsidRPr="00A45CAA">
        <w:rPr>
          <w:rFonts w:ascii="Times New Roman" w:hAnsi="Times New Roman" w:cs="Times New Roman"/>
          <w:sz w:val="24"/>
          <w:szCs w:val="24"/>
        </w:rPr>
        <w:t xml:space="preserve"> pozwala na usuwanie ewentualnych błędów w decyzjach sadowych</w:t>
      </w:r>
      <w:r w:rsidR="00844B40" w:rsidRPr="00A45CAA">
        <w:rPr>
          <w:rFonts w:ascii="Times New Roman" w:hAnsi="Times New Roman" w:cs="Times New Roman"/>
          <w:sz w:val="24"/>
          <w:szCs w:val="24"/>
        </w:rPr>
        <w:t>. W państwie prawa zakłada się realistycznie, że takie błędy są realnym ryzykiem i dlatego trzeba tworzyć instytucje pozwalające naprawiać błędy.</w:t>
      </w:r>
      <w:r w:rsidR="001718C8" w:rsidRPr="00A45CAA">
        <w:rPr>
          <w:rFonts w:ascii="Times New Roman" w:hAnsi="Times New Roman" w:cs="Times New Roman"/>
          <w:sz w:val="24"/>
          <w:szCs w:val="24"/>
        </w:rPr>
        <w:t xml:space="preserve"> Odwołanie w polskim prawie współczesnym ma dwie podstawowe formy: </w:t>
      </w:r>
      <w:r w:rsidR="001718C8" w:rsidRPr="00A45CAA">
        <w:rPr>
          <w:rFonts w:ascii="Times New Roman" w:hAnsi="Times New Roman" w:cs="Times New Roman"/>
          <w:b/>
          <w:bCs/>
          <w:sz w:val="24"/>
          <w:szCs w:val="24"/>
        </w:rPr>
        <w:t>apelacja</w:t>
      </w:r>
      <w:r w:rsidR="001718C8" w:rsidRPr="00A45CAA">
        <w:rPr>
          <w:rFonts w:ascii="Times New Roman" w:hAnsi="Times New Roman" w:cs="Times New Roman"/>
          <w:sz w:val="24"/>
          <w:szCs w:val="24"/>
        </w:rPr>
        <w:t xml:space="preserve"> powołuje się na względy sprawiedliwości, słuszności oraz </w:t>
      </w:r>
      <w:r w:rsidR="0036459D" w:rsidRPr="00A45CAA">
        <w:rPr>
          <w:rFonts w:ascii="Times New Roman" w:hAnsi="Times New Roman" w:cs="Times New Roman"/>
          <w:sz w:val="24"/>
          <w:szCs w:val="24"/>
        </w:rPr>
        <w:t xml:space="preserve">zakres </w:t>
      </w:r>
      <w:r w:rsidR="001718C8" w:rsidRPr="00A45CAA">
        <w:rPr>
          <w:rFonts w:ascii="Times New Roman" w:hAnsi="Times New Roman" w:cs="Times New Roman"/>
          <w:sz w:val="24"/>
          <w:szCs w:val="24"/>
        </w:rPr>
        <w:t xml:space="preserve">zgodności wyroku I instancji z ustalonymi faktami sprawy, a </w:t>
      </w:r>
      <w:r w:rsidR="001718C8" w:rsidRPr="00A45CAA">
        <w:rPr>
          <w:rFonts w:ascii="Times New Roman" w:hAnsi="Times New Roman" w:cs="Times New Roman"/>
          <w:b/>
          <w:bCs/>
          <w:sz w:val="24"/>
          <w:szCs w:val="24"/>
        </w:rPr>
        <w:t>kasacja</w:t>
      </w:r>
      <w:r w:rsidR="001718C8" w:rsidRPr="00A45CAA">
        <w:rPr>
          <w:rFonts w:ascii="Times New Roman" w:hAnsi="Times New Roman" w:cs="Times New Roman"/>
          <w:sz w:val="24"/>
          <w:szCs w:val="24"/>
        </w:rPr>
        <w:t xml:space="preserve"> powołuj</w:t>
      </w:r>
      <w:r w:rsidR="0036459D" w:rsidRPr="00A45CAA">
        <w:rPr>
          <w:rFonts w:ascii="Times New Roman" w:hAnsi="Times New Roman" w:cs="Times New Roman"/>
          <w:sz w:val="24"/>
          <w:szCs w:val="24"/>
        </w:rPr>
        <w:t>e</w:t>
      </w:r>
      <w:r w:rsidR="001718C8" w:rsidRPr="00A45CAA">
        <w:rPr>
          <w:rFonts w:ascii="Times New Roman" w:hAnsi="Times New Roman" w:cs="Times New Roman"/>
          <w:sz w:val="24"/>
          <w:szCs w:val="24"/>
        </w:rPr>
        <w:t xml:space="preserve"> się na niezgodność orzeczenia sądu z prawem materialnym i proceduralnym.</w:t>
      </w:r>
    </w:p>
    <w:p w14:paraId="69CD82B7" w14:textId="45DF3449" w:rsidR="00E2568A" w:rsidRPr="00A45CAA" w:rsidRDefault="00E2568A" w:rsidP="003911D8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CAA">
        <w:rPr>
          <w:rFonts w:ascii="Times New Roman" w:hAnsi="Times New Roman" w:cs="Times New Roman"/>
          <w:b/>
          <w:bCs/>
          <w:sz w:val="24"/>
          <w:szCs w:val="24"/>
        </w:rPr>
        <w:t>Kolegialność orzekania</w:t>
      </w:r>
      <w:r w:rsidRPr="00A45CAA">
        <w:rPr>
          <w:rFonts w:ascii="Times New Roman" w:hAnsi="Times New Roman" w:cs="Times New Roman"/>
          <w:sz w:val="24"/>
          <w:szCs w:val="24"/>
        </w:rPr>
        <w:t xml:space="preserve"> w sądowych post</w:t>
      </w:r>
      <w:r w:rsidR="00543BCD" w:rsidRPr="00A45CAA">
        <w:rPr>
          <w:rFonts w:ascii="Times New Roman" w:hAnsi="Times New Roman" w:cs="Times New Roman"/>
          <w:sz w:val="24"/>
          <w:szCs w:val="24"/>
        </w:rPr>
        <w:t>ę</w:t>
      </w:r>
      <w:r w:rsidRPr="00A45CAA">
        <w:rPr>
          <w:rFonts w:ascii="Times New Roman" w:hAnsi="Times New Roman" w:cs="Times New Roman"/>
          <w:sz w:val="24"/>
          <w:szCs w:val="24"/>
        </w:rPr>
        <w:t>powaniach</w:t>
      </w:r>
      <w:r w:rsidR="001718C8" w:rsidRPr="00A45CAA">
        <w:rPr>
          <w:rFonts w:ascii="Times New Roman" w:hAnsi="Times New Roman" w:cs="Times New Roman"/>
          <w:sz w:val="24"/>
          <w:szCs w:val="24"/>
        </w:rPr>
        <w:t xml:space="preserve"> karnych ( model z ławnikami lub z </w:t>
      </w:r>
      <w:r w:rsidR="00543BCD" w:rsidRPr="00A45CAA">
        <w:rPr>
          <w:rFonts w:ascii="Times New Roman" w:hAnsi="Times New Roman" w:cs="Times New Roman"/>
          <w:sz w:val="24"/>
          <w:szCs w:val="24"/>
        </w:rPr>
        <w:t>ławą przysięgłych zapewnia udział czynnika społecznego w decyzjach profesjonalnych sędziów).</w:t>
      </w:r>
    </w:p>
    <w:p w14:paraId="7EF4CC22" w14:textId="004D5560" w:rsidR="00844B40" w:rsidRPr="00A45CAA" w:rsidRDefault="00844B40" w:rsidP="003911D8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CAA">
        <w:rPr>
          <w:rFonts w:ascii="Times New Roman" w:hAnsi="Times New Roman" w:cs="Times New Roman"/>
          <w:sz w:val="24"/>
          <w:szCs w:val="24"/>
        </w:rPr>
        <w:t xml:space="preserve">Prawo do </w:t>
      </w:r>
      <w:r w:rsidRPr="00A45CAA">
        <w:rPr>
          <w:rFonts w:ascii="Times New Roman" w:hAnsi="Times New Roman" w:cs="Times New Roman"/>
          <w:b/>
          <w:bCs/>
          <w:sz w:val="24"/>
          <w:szCs w:val="24"/>
        </w:rPr>
        <w:t>skarg i zażaleń na decyzje sądowe i prokuratorskie</w:t>
      </w:r>
      <w:r w:rsidRPr="00A45CAA">
        <w:rPr>
          <w:rFonts w:ascii="Times New Roman" w:hAnsi="Times New Roman" w:cs="Times New Roman"/>
          <w:sz w:val="24"/>
          <w:szCs w:val="24"/>
        </w:rPr>
        <w:t xml:space="preserve"> podejmowane w trakcie postępowania przygotowawczego.</w:t>
      </w:r>
    </w:p>
    <w:p w14:paraId="31D0F94D" w14:textId="5DFF60FB" w:rsidR="00844B40" w:rsidRPr="00A45CAA" w:rsidRDefault="00D72C29" w:rsidP="003911D8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CAA">
        <w:rPr>
          <w:rFonts w:ascii="Times New Roman" w:hAnsi="Times New Roman" w:cs="Times New Roman"/>
          <w:sz w:val="24"/>
          <w:szCs w:val="24"/>
        </w:rPr>
        <w:t xml:space="preserve">Prawo </w:t>
      </w:r>
      <w:r w:rsidRPr="001B283D">
        <w:rPr>
          <w:rFonts w:ascii="Times New Roman" w:hAnsi="Times New Roman" w:cs="Times New Roman"/>
          <w:b/>
          <w:bCs/>
          <w:sz w:val="24"/>
          <w:szCs w:val="24"/>
        </w:rPr>
        <w:t>zaskarżania decyzji administracyjnych do sądów</w:t>
      </w:r>
      <w:r w:rsidRPr="00A45CAA">
        <w:rPr>
          <w:rFonts w:ascii="Times New Roman" w:hAnsi="Times New Roman" w:cs="Times New Roman"/>
          <w:sz w:val="24"/>
          <w:szCs w:val="24"/>
        </w:rPr>
        <w:t xml:space="preserve"> powszechnych lub administracyjnych.</w:t>
      </w:r>
    </w:p>
    <w:p w14:paraId="2938548D" w14:textId="539E6FED" w:rsidR="00D72C29" w:rsidRPr="00A45CAA" w:rsidRDefault="00D72C29" w:rsidP="003911D8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CAA">
        <w:rPr>
          <w:rFonts w:ascii="Times New Roman" w:hAnsi="Times New Roman" w:cs="Times New Roman"/>
          <w:sz w:val="24"/>
          <w:szCs w:val="24"/>
        </w:rPr>
        <w:t>Odpowiedzialność Skarbu Państwa za szkody wyrządzone przez urzędników  państwowych.</w:t>
      </w:r>
    </w:p>
    <w:p w14:paraId="07AC441A" w14:textId="7CC2CB4E" w:rsidR="00F82E43" w:rsidRDefault="00D72C29" w:rsidP="00F82E43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CAA">
        <w:rPr>
          <w:rFonts w:ascii="Times New Roman" w:hAnsi="Times New Roman" w:cs="Times New Roman"/>
          <w:b/>
          <w:bCs/>
          <w:sz w:val="24"/>
          <w:szCs w:val="24"/>
        </w:rPr>
        <w:t>Gwarancje rzetelnego procesu karnego</w:t>
      </w:r>
      <w:r w:rsidRPr="00A45CAA">
        <w:rPr>
          <w:rFonts w:ascii="Times New Roman" w:hAnsi="Times New Roman" w:cs="Times New Roman"/>
          <w:sz w:val="24"/>
          <w:szCs w:val="24"/>
        </w:rPr>
        <w:t xml:space="preserve"> takie jak</w:t>
      </w:r>
      <w:r w:rsidR="00B650E4" w:rsidRPr="00A45CAA">
        <w:rPr>
          <w:rFonts w:ascii="Times New Roman" w:hAnsi="Times New Roman" w:cs="Times New Roman"/>
          <w:sz w:val="24"/>
          <w:szCs w:val="24"/>
        </w:rPr>
        <w:t xml:space="preserve"> np.</w:t>
      </w:r>
      <w:r w:rsidR="00E2568A" w:rsidRPr="00A45CAA">
        <w:rPr>
          <w:rFonts w:ascii="Times New Roman" w:hAnsi="Times New Roman" w:cs="Times New Roman"/>
          <w:sz w:val="24"/>
          <w:szCs w:val="24"/>
        </w:rPr>
        <w:t xml:space="preserve"> rozdzielenie funkcji procesowych</w:t>
      </w:r>
      <w:r w:rsidR="00B650E4" w:rsidRPr="00A45CAA">
        <w:rPr>
          <w:rFonts w:ascii="Times New Roman" w:hAnsi="Times New Roman" w:cs="Times New Roman"/>
          <w:sz w:val="24"/>
          <w:szCs w:val="24"/>
        </w:rPr>
        <w:t xml:space="preserve"> między różne osoby</w:t>
      </w:r>
      <w:r w:rsidR="00E2568A" w:rsidRPr="00A45CAA">
        <w:rPr>
          <w:rFonts w:ascii="Times New Roman" w:hAnsi="Times New Roman" w:cs="Times New Roman"/>
          <w:sz w:val="24"/>
          <w:szCs w:val="24"/>
        </w:rPr>
        <w:t>, zakaz tortur i innego wymuszania wyjaśnień od podejrzanego,</w:t>
      </w:r>
      <w:r w:rsidRPr="00A45CAA">
        <w:rPr>
          <w:rFonts w:ascii="Times New Roman" w:hAnsi="Times New Roman" w:cs="Times New Roman"/>
          <w:sz w:val="24"/>
          <w:szCs w:val="24"/>
        </w:rPr>
        <w:t xml:space="preserve"> prawo podejrzanego i oskarżonego do profesjonalnej obrony, do odmowy wyjaśnień, do mówienia nieprawdy</w:t>
      </w:r>
      <w:r w:rsidR="00F82E43">
        <w:rPr>
          <w:rFonts w:ascii="Times New Roman" w:hAnsi="Times New Roman" w:cs="Times New Roman"/>
          <w:sz w:val="24"/>
          <w:szCs w:val="24"/>
        </w:rPr>
        <w:t xml:space="preserve">, sądowa kontrola legalności i sposobu dokonania zatrzymania lub tymczasowego aresztowani czyli gwarancja </w:t>
      </w:r>
      <w:proofErr w:type="spellStart"/>
      <w:r w:rsidR="00F82E43">
        <w:rPr>
          <w:rFonts w:ascii="Times New Roman" w:hAnsi="Times New Roman" w:cs="Times New Roman"/>
          <w:sz w:val="24"/>
          <w:szCs w:val="24"/>
        </w:rPr>
        <w:t>habeas</w:t>
      </w:r>
      <w:proofErr w:type="spellEnd"/>
      <w:r w:rsidR="00F82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E43">
        <w:rPr>
          <w:rFonts w:ascii="Times New Roman" w:hAnsi="Times New Roman" w:cs="Times New Roman"/>
          <w:sz w:val="24"/>
          <w:szCs w:val="24"/>
        </w:rPr>
        <w:t>corpus</w:t>
      </w:r>
      <w:proofErr w:type="spellEnd"/>
      <w:r w:rsidR="00F82E43">
        <w:rPr>
          <w:rFonts w:ascii="Times New Roman" w:hAnsi="Times New Roman" w:cs="Times New Roman"/>
          <w:sz w:val="24"/>
          <w:szCs w:val="24"/>
        </w:rPr>
        <w:t>.</w:t>
      </w:r>
    </w:p>
    <w:p w14:paraId="6CB41E75" w14:textId="44522EA7" w:rsidR="000536E6" w:rsidRPr="00766A37" w:rsidRDefault="00766A37" w:rsidP="00766A3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</w:t>
      </w:r>
      <w:r w:rsidR="000536E6" w:rsidRPr="00766A37">
        <w:rPr>
          <w:rFonts w:ascii="Times New Roman" w:hAnsi="Times New Roman" w:cs="Times New Roman"/>
          <w:b/>
          <w:bCs/>
          <w:sz w:val="24"/>
          <w:szCs w:val="24"/>
        </w:rPr>
        <w:t>Pojęcie państwa prawnego ( praworządnego)</w:t>
      </w:r>
    </w:p>
    <w:p w14:paraId="71DC48FF" w14:textId="570162A5" w:rsidR="000536E6" w:rsidRPr="00766A37" w:rsidRDefault="000536E6" w:rsidP="00766A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A37">
        <w:rPr>
          <w:rFonts w:ascii="Times New Roman" w:hAnsi="Times New Roman" w:cs="Times New Roman"/>
          <w:sz w:val="24"/>
          <w:szCs w:val="24"/>
        </w:rPr>
        <w:t xml:space="preserve">Państwo prawne to taka </w:t>
      </w:r>
      <w:r w:rsidR="00F82E43" w:rsidRPr="00766A37">
        <w:rPr>
          <w:rFonts w:ascii="Times New Roman" w:hAnsi="Times New Roman" w:cs="Times New Roman"/>
          <w:sz w:val="24"/>
          <w:szCs w:val="24"/>
        </w:rPr>
        <w:t xml:space="preserve">władcza </w:t>
      </w:r>
      <w:r w:rsidRPr="00766A37">
        <w:rPr>
          <w:rFonts w:ascii="Times New Roman" w:hAnsi="Times New Roman" w:cs="Times New Roman"/>
          <w:sz w:val="24"/>
          <w:szCs w:val="24"/>
        </w:rPr>
        <w:t xml:space="preserve">organizacja terytorialna, w której </w:t>
      </w:r>
      <w:r w:rsidR="009A28AF" w:rsidRPr="00766A37">
        <w:rPr>
          <w:rFonts w:ascii="Times New Roman" w:hAnsi="Times New Roman" w:cs="Times New Roman"/>
          <w:sz w:val="24"/>
          <w:szCs w:val="24"/>
        </w:rPr>
        <w:t>stan prawny i stan rzeczywisty ma następujące cechy</w:t>
      </w:r>
      <w:r w:rsidRPr="00766A37">
        <w:rPr>
          <w:rFonts w:ascii="Times New Roman" w:hAnsi="Times New Roman" w:cs="Times New Roman"/>
          <w:sz w:val="24"/>
          <w:szCs w:val="24"/>
        </w:rPr>
        <w:t>–</w:t>
      </w:r>
    </w:p>
    <w:p w14:paraId="435C35AC" w14:textId="3DDF6F53" w:rsidR="000536E6" w:rsidRDefault="000536E6" w:rsidP="000536E6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Wszystkie ośrodki władzy publicznej (rządowe i samorządowe, centralne i lokalne)</w:t>
      </w:r>
    </w:p>
    <w:p w14:paraId="3FBE8550" w14:textId="18B7561E" w:rsidR="000536E6" w:rsidRDefault="000536E6" w:rsidP="000536E6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Są zorganizowane, wyłonione, kontrolowane i legitymizowane na podstawie norm prawa i zgodnie z nimi</w:t>
      </w:r>
    </w:p>
    <w:p w14:paraId="4C6F6B81" w14:textId="3224E8D9" w:rsidR="000536E6" w:rsidRDefault="000536E6" w:rsidP="000536E6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Metody rządzenia są zgodne z prawem, a zwłaszcza zakres dopuszczalnego przymusu, </w:t>
      </w:r>
      <w:r w:rsidR="009A28A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prawo jest skuteczną </w:t>
      </w:r>
      <w:r w:rsidR="009A28AF">
        <w:rPr>
          <w:rFonts w:ascii="Times New Roman" w:hAnsi="Times New Roman" w:cs="Times New Roman"/>
          <w:sz w:val="24"/>
          <w:szCs w:val="24"/>
        </w:rPr>
        <w:t>granica arbitralności ludzi władzy</w:t>
      </w:r>
    </w:p>
    <w:p w14:paraId="2273C4D5" w14:textId="6B3245FB" w:rsidR="000536E6" w:rsidRDefault="009A28AF" w:rsidP="009A28AF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Kompetencje ośrodków władzy są precyzyjnie uregulowane przez prawo i rzeczywiście respektowane w praktyce rządzenia.</w:t>
      </w:r>
    </w:p>
    <w:p w14:paraId="02B3998F" w14:textId="2CBD3CF9" w:rsidR="00F82E43" w:rsidRDefault="00F82E43" w:rsidP="009A28AF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Gwarancje instytucjonalne są </w:t>
      </w:r>
      <w:r w:rsidR="005C0E82">
        <w:rPr>
          <w:rFonts w:ascii="Times New Roman" w:hAnsi="Times New Roman" w:cs="Times New Roman"/>
          <w:sz w:val="24"/>
          <w:szCs w:val="24"/>
        </w:rPr>
        <w:t xml:space="preserve">poważnie traktowane i </w:t>
      </w:r>
      <w:r>
        <w:rPr>
          <w:rFonts w:ascii="Times New Roman" w:hAnsi="Times New Roman" w:cs="Times New Roman"/>
          <w:sz w:val="24"/>
          <w:szCs w:val="24"/>
        </w:rPr>
        <w:t>realnie stosowane.</w:t>
      </w:r>
    </w:p>
    <w:p w14:paraId="2F972990" w14:textId="089C97ED" w:rsidR="009A28AF" w:rsidRDefault="009A28AF" w:rsidP="009A28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Początk</w:t>
      </w:r>
      <w:r w:rsidR="00E12165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państwa prawnego w kulturze europejskiej to </w:t>
      </w:r>
    </w:p>
    <w:p w14:paraId="4F869292" w14:textId="03667F4D" w:rsidR="009A28AF" w:rsidRDefault="009A28AF" w:rsidP="009A28AF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Wypracowana w średniowiecznych koncepcjach prawa naturalnego</w:t>
      </w:r>
      <w:r w:rsidR="00E12F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(np. Tomasz z Akwinu</w:t>
      </w:r>
      <w:r w:rsidR="00E12FF7">
        <w:rPr>
          <w:rFonts w:ascii="Times New Roman" w:hAnsi="Times New Roman" w:cs="Times New Roman"/>
          <w:sz w:val="24"/>
          <w:szCs w:val="24"/>
        </w:rPr>
        <w:t>) koncepcja prawa do oporu wobec władzy niesprawiedliwej</w:t>
      </w:r>
      <w:r w:rsidR="00E12165">
        <w:rPr>
          <w:rFonts w:ascii="Times New Roman" w:hAnsi="Times New Roman" w:cs="Times New Roman"/>
          <w:sz w:val="24"/>
          <w:szCs w:val="24"/>
        </w:rPr>
        <w:t xml:space="preserve"> i koncepcja godności osoby ludzkiej. Te ideowe fundamenty mimo swych walorów moralnych nie doprowadziły jednak do stosownych zmian w</w:t>
      </w:r>
      <w:r w:rsidR="00E12165" w:rsidRPr="00E12165">
        <w:rPr>
          <w:rFonts w:ascii="Times New Roman" w:hAnsi="Times New Roman" w:cs="Times New Roman"/>
          <w:sz w:val="24"/>
          <w:szCs w:val="24"/>
        </w:rPr>
        <w:t xml:space="preserve"> </w:t>
      </w:r>
      <w:r w:rsidR="00E12165">
        <w:rPr>
          <w:rFonts w:ascii="Times New Roman" w:hAnsi="Times New Roman" w:cs="Times New Roman"/>
          <w:sz w:val="24"/>
          <w:szCs w:val="24"/>
        </w:rPr>
        <w:t>systemach prawa</w:t>
      </w:r>
      <w:r w:rsidR="005C0E82">
        <w:rPr>
          <w:rFonts w:ascii="Times New Roman" w:hAnsi="Times New Roman" w:cs="Times New Roman"/>
          <w:sz w:val="24"/>
          <w:szCs w:val="24"/>
        </w:rPr>
        <w:t xml:space="preserve"> epoki feudalnych monarchii</w:t>
      </w:r>
      <w:r w:rsidR="00E12165">
        <w:rPr>
          <w:rFonts w:ascii="Times New Roman" w:hAnsi="Times New Roman" w:cs="Times New Roman"/>
          <w:sz w:val="24"/>
          <w:szCs w:val="24"/>
        </w:rPr>
        <w:t xml:space="preserve"> i w praktyce ich stosowania</w:t>
      </w:r>
    </w:p>
    <w:p w14:paraId="5BE16090" w14:textId="6A46CBB0" w:rsidR="00E12FF7" w:rsidRDefault="00E12FF7" w:rsidP="009A28AF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Legislacyjne osiągnięcia angielskie ograniczające </w:t>
      </w:r>
      <w:r w:rsidR="000B25E9">
        <w:rPr>
          <w:rFonts w:ascii="Times New Roman" w:hAnsi="Times New Roman" w:cs="Times New Roman"/>
          <w:sz w:val="24"/>
          <w:szCs w:val="24"/>
        </w:rPr>
        <w:t xml:space="preserve">trwale </w:t>
      </w:r>
      <w:r>
        <w:rPr>
          <w:rFonts w:ascii="Times New Roman" w:hAnsi="Times New Roman" w:cs="Times New Roman"/>
          <w:sz w:val="24"/>
          <w:szCs w:val="24"/>
        </w:rPr>
        <w:t xml:space="preserve">władzę króla (np. </w:t>
      </w:r>
      <w:proofErr w:type="spellStart"/>
      <w:r>
        <w:rPr>
          <w:rFonts w:ascii="Times New Roman" w:hAnsi="Times New Roman" w:cs="Times New Roman"/>
          <w:sz w:val="24"/>
          <w:szCs w:val="24"/>
        </w:rPr>
        <w:t>Magna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Charta Libertatum z 1215 roku</w:t>
      </w:r>
      <w:r w:rsidR="0093673D">
        <w:rPr>
          <w:rStyle w:val="Odwoanieprzypisudolnego"/>
          <w:rFonts w:ascii="Times New Roman" w:hAnsi="Times New Roman" w:cs="Times New Roman"/>
          <w:sz w:val="24"/>
          <w:szCs w:val="24"/>
        </w:rPr>
        <w:footnoteReference w:id="2"/>
      </w:r>
      <w:r w:rsidR="00B432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43271">
        <w:rPr>
          <w:rFonts w:ascii="Times New Roman" w:hAnsi="Times New Roman" w:cs="Times New Roman"/>
          <w:sz w:val="24"/>
          <w:szCs w:val="24"/>
        </w:rPr>
        <w:t>Habeas</w:t>
      </w:r>
      <w:proofErr w:type="spellEnd"/>
      <w:r w:rsidR="00B43271">
        <w:rPr>
          <w:rFonts w:ascii="Times New Roman" w:hAnsi="Times New Roman" w:cs="Times New Roman"/>
          <w:sz w:val="24"/>
          <w:szCs w:val="24"/>
        </w:rPr>
        <w:t xml:space="preserve"> Corpus </w:t>
      </w:r>
      <w:proofErr w:type="spellStart"/>
      <w:r w:rsidR="00B43271">
        <w:rPr>
          <w:rFonts w:ascii="Times New Roman" w:hAnsi="Times New Roman" w:cs="Times New Roman"/>
          <w:sz w:val="24"/>
          <w:szCs w:val="24"/>
        </w:rPr>
        <w:t>Act</w:t>
      </w:r>
      <w:proofErr w:type="spellEnd"/>
      <w:r w:rsidR="00B43271">
        <w:rPr>
          <w:rFonts w:ascii="Times New Roman" w:hAnsi="Times New Roman" w:cs="Times New Roman"/>
          <w:sz w:val="24"/>
          <w:szCs w:val="24"/>
        </w:rPr>
        <w:t xml:space="preserve"> z 1679 roku</w:t>
      </w:r>
      <w:r>
        <w:rPr>
          <w:rFonts w:ascii="Times New Roman" w:hAnsi="Times New Roman" w:cs="Times New Roman"/>
          <w:sz w:val="24"/>
          <w:szCs w:val="24"/>
        </w:rPr>
        <w:t xml:space="preserve"> czy Bill of Rights z </w:t>
      </w:r>
      <w:r w:rsidR="000B25E9">
        <w:rPr>
          <w:rFonts w:ascii="Times New Roman" w:hAnsi="Times New Roman" w:cs="Times New Roman"/>
          <w:sz w:val="24"/>
          <w:szCs w:val="24"/>
        </w:rPr>
        <w:t xml:space="preserve">1689 </w:t>
      </w:r>
      <w:r>
        <w:rPr>
          <w:rFonts w:ascii="Times New Roman" w:hAnsi="Times New Roman" w:cs="Times New Roman"/>
          <w:sz w:val="24"/>
          <w:szCs w:val="24"/>
        </w:rPr>
        <w:t>roku</w:t>
      </w:r>
      <w:r w:rsidR="000B25E9">
        <w:rPr>
          <w:rFonts w:ascii="Times New Roman" w:hAnsi="Times New Roman" w:cs="Times New Roman"/>
          <w:sz w:val="24"/>
          <w:szCs w:val="24"/>
        </w:rPr>
        <w:t xml:space="preserve"> zaakceptowana po obaleniu dynastii Stuartów i objęcie tronu przez Wilhelma Orańskiego</w:t>
      </w:r>
      <w:r>
        <w:rPr>
          <w:rFonts w:ascii="Times New Roman" w:hAnsi="Times New Roman" w:cs="Times New Roman"/>
          <w:sz w:val="24"/>
          <w:szCs w:val="24"/>
        </w:rPr>
        <w:t>) czy polskiego prawodawstwa w szlacheckiej Rzeczypospolitej (np. Neminem captivabimus z 143</w:t>
      </w:r>
      <w:r w:rsidR="0093673D">
        <w:rPr>
          <w:rFonts w:ascii="Times New Roman" w:hAnsi="Times New Roman" w:cs="Times New Roman"/>
          <w:sz w:val="24"/>
          <w:szCs w:val="24"/>
        </w:rPr>
        <w:t>0</w:t>
      </w:r>
      <w:r w:rsidR="00E12165">
        <w:rPr>
          <w:rFonts w:ascii="Times New Roman" w:hAnsi="Times New Roman" w:cs="Times New Roman"/>
          <w:sz w:val="24"/>
          <w:szCs w:val="24"/>
        </w:rPr>
        <w:t xml:space="preserve"> </w:t>
      </w:r>
      <w:r w:rsidR="0093673D">
        <w:rPr>
          <w:rFonts w:ascii="Times New Roman" w:hAnsi="Times New Roman" w:cs="Times New Roman"/>
          <w:sz w:val="24"/>
          <w:szCs w:val="24"/>
        </w:rPr>
        <w:t>- 1433</w:t>
      </w:r>
      <w:r>
        <w:rPr>
          <w:rFonts w:ascii="Times New Roman" w:hAnsi="Times New Roman" w:cs="Times New Roman"/>
          <w:sz w:val="24"/>
          <w:szCs w:val="24"/>
        </w:rPr>
        <w:t xml:space="preserve"> roku</w:t>
      </w:r>
      <w:r w:rsidR="000B25E9">
        <w:rPr>
          <w:rFonts w:ascii="Times New Roman" w:hAnsi="Times New Roman" w:cs="Times New Roman"/>
          <w:sz w:val="24"/>
          <w:szCs w:val="24"/>
        </w:rPr>
        <w:t>,</w:t>
      </w:r>
      <w:r w:rsidR="0093673D">
        <w:rPr>
          <w:rStyle w:val="Odwoanieprzypisudolnego"/>
          <w:rFonts w:ascii="Times New Roman" w:hAnsi="Times New Roman" w:cs="Times New Roman"/>
          <w:sz w:val="24"/>
          <w:szCs w:val="24"/>
        </w:rPr>
        <w:footnoteReference w:id="3"/>
      </w:r>
      <w:r w:rsidR="000B25E9">
        <w:rPr>
          <w:rFonts w:ascii="Times New Roman" w:hAnsi="Times New Roman" w:cs="Times New Roman"/>
          <w:sz w:val="24"/>
          <w:szCs w:val="24"/>
        </w:rPr>
        <w:t xml:space="preserve"> Artykuły Henrykowskie z 1573 roku</w:t>
      </w:r>
      <w:r>
        <w:rPr>
          <w:rFonts w:ascii="Times New Roman" w:hAnsi="Times New Roman" w:cs="Times New Roman"/>
          <w:sz w:val="24"/>
          <w:szCs w:val="24"/>
        </w:rPr>
        <w:t>)</w:t>
      </w:r>
      <w:r w:rsidR="00E12165">
        <w:rPr>
          <w:rFonts w:ascii="Times New Roman" w:hAnsi="Times New Roman" w:cs="Times New Roman"/>
          <w:sz w:val="24"/>
          <w:szCs w:val="24"/>
        </w:rPr>
        <w:t>.</w:t>
      </w:r>
    </w:p>
    <w:p w14:paraId="3901201D" w14:textId="63507768" w:rsidR="00E12165" w:rsidRPr="009A28AF" w:rsidRDefault="00E12165" w:rsidP="009A28AF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Republikańskie</w:t>
      </w:r>
      <w:r w:rsidR="005C0E82">
        <w:rPr>
          <w:rFonts w:ascii="Times New Roman" w:hAnsi="Times New Roman" w:cs="Times New Roman"/>
          <w:sz w:val="24"/>
          <w:szCs w:val="24"/>
        </w:rPr>
        <w:t>, liberalne, egalitarne</w:t>
      </w:r>
      <w:r>
        <w:rPr>
          <w:rFonts w:ascii="Times New Roman" w:hAnsi="Times New Roman" w:cs="Times New Roman"/>
          <w:sz w:val="24"/>
          <w:szCs w:val="24"/>
        </w:rPr>
        <w:t xml:space="preserve"> i humanistyczne ideały Deklaracji Praw Człowieka i Obywatela uchwalonej w toku Rewolucji Francuskiej </w:t>
      </w:r>
      <w:r w:rsidR="005C0E82">
        <w:rPr>
          <w:rFonts w:ascii="Times New Roman" w:hAnsi="Times New Roman" w:cs="Times New Roman"/>
          <w:sz w:val="24"/>
          <w:szCs w:val="24"/>
        </w:rPr>
        <w:t xml:space="preserve">26 sierpnia </w:t>
      </w:r>
      <w:r>
        <w:rPr>
          <w:rFonts w:ascii="Times New Roman" w:hAnsi="Times New Roman" w:cs="Times New Roman"/>
          <w:sz w:val="24"/>
          <w:szCs w:val="24"/>
        </w:rPr>
        <w:t>1789 roku.</w:t>
      </w:r>
    </w:p>
    <w:sectPr w:rsidR="00E12165" w:rsidRPr="009A28AF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7B186" w14:textId="77777777" w:rsidR="007F5B0C" w:rsidRDefault="007F5B0C" w:rsidP="00F778F2">
      <w:pPr>
        <w:spacing w:after="0" w:line="240" w:lineRule="auto"/>
      </w:pPr>
      <w:r>
        <w:separator/>
      </w:r>
    </w:p>
  </w:endnote>
  <w:endnote w:type="continuationSeparator" w:id="0">
    <w:p w14:paraId="44E9F50D" w14:textId="77777777" w:rsidR="007F5B0C" w:rsidRDefault="007F5B0C" w:rsidP="00F77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3C59C" w14:textId="77777777" w:rsidR="007F5B0C" w:rsidRDefault="007F5B0C" w:rsidP="00F778F2">
      <w:pPr>
        <w:spacing w:after="0" w:line="240" w:lineRule="auto"/>
      </w:pPr>
      <w:r>
        <w:separator/>
      </w:r>
    </w:p>
  </w:footnote>
  <w:footnote w:type="continuationSeparator" w:id="0">
    <w:p w14:paraId="4CAC0280" w14:textId="77777777" w:rsidR="007F5B0C" w:rsidRDefault="007F5B0C" w:rsidP="00F778F2">
      <w:pPr>
        <w:spacing w:after="0" w:line="240" w:lineRule="auto"/>
      </w:pPr>
      <w:r>
        <w:continuationSeparator/>
      </w:r>
    </w:p>
  </w:footnote>
  <w:footnote w:id="1">
    <w:p w14:paraId="71CB3C79" w14:textId="4B60011D" w:rsidR="00DA4D0F" w:rsidRPr="00DA4D0F" w:rsidRDefault="00DA4D0F">
      <w:pPr>
        <w:pStyle w:val="Tekstprzypisudolnego"/>
        <w:rPr>
          <w:rFonts w:ascii="Times New Roman" w:hAnsi="Times New Roman" w:cs="Times New Roman"/>
        </w:rPr>
      </w:pPr>
      <w:r w:rsidRPr="00DA4D0F">
        <w:rPr>
          <w:rStyle w:val="Odwoanieprzypisudolnego"/>
          <w:rFonts w:ascii="Times New Roman" w:hAnsi="Times New Roman" w:cs="Times New Roman"/>
        </w:rPr>
        <w:footnoteRef/>
      </w:r>
      <w:r w:rsidRPr="00DA4D0F">
        <w:rPr>
          <w:rFonts w:ascii="Times New Roman" w:hAnsi="Times New Roman" w:cs="Times New Roman"/>
        </w:rPr>
        <w:t xml:space="preserve"> L. </w:t>
      </w:r>
      <w:proofErr w:type="spellStart"/>
      <w:r w:rsidRPr="00DA4D0F">
        <w:rPr>
          <w:rFonts w:ascii="Times New Roman" w:hAnsi="Times New Roman" w:cs="Times New Roman"/>
        </w:rPr>
        <w:t>Duguit</w:t>
      </w:r>
      <w:proofErr w:type="spellEnd"/>
      <w:r w:rsidRPr="00DA4D0F">
        <w:rPr>
          <w:rFonts w:ascii="Times New Roman" w:hAnsi="Times New Roman" w:cs="Times New Roman"/>
        </w:rPr>
        <w:t xml:space="preserve">, </w:t>
      </w:r>
      <w:r w:rsidRPr="00DA4D0F">
        <w:rPr>
          <w:rFonts w:ascii="Times New Roman" w:hAnsi="Times New Roman" w:cs="Times New Roman"/>
          <w:i/>
          <w:iCs/>
          <w:sz w:val="22"/>
          <w:szCs w:val="22"/>
        </w:rPr>
        <w:t>Kierunki rozwoju prawa cywilnego od początku XIX wieku</w:t>
      </w:r>
      <w:r w:rsidRPr="00DA4D0F">
        <w:rPr>
          <w:rFonts w:ascii="Times New Roman" w:hAnsi="Times New Roman" w:cs="Times New Roman"/>
          <w:sz w:val="22"/>
          <w:szCs w:val="22"/>
        </w:rPr>
        <w:t xml:space="preserve"> (1920,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DA4D0F">
        <w:rPr>
          <w:rFonts w:ascii="Times New Roman" w:hAnsi="Times New Roman" w:cs="Times New Roman"/>
          <w:sz w:val="22"/>
          <w:szCs w:val="22"/>
        </w:rPr>
        <w:t xml:space="preserve"> wyd. pol.</w:t>
      </w:r>
      <w:r>
        <w:rPr>
          <w:rFonts w:ascii="Times New Roman" w:hAnsi="Times New Roman" w:cs="Times New Roman"/>
          <w:sz w:val="22"/>
          <w:szCs w:val="22"/>
        </w:rPr>
        <w:t xml:space="preserve"> Warszawa - Kraków</w:t>
      </w:r>
      <w:r w:rsidRPr="00DA4D0F">
        <w:rPr>
          <w:rFonts w:ascii="Times New Roman" w:hAnsi="Times New Roman" w:cs="Times New Roman"/>
          <w:sz w:val="22"/>
          <w:szCs w:val="22"/>
        </w:rPr>
        <w:t xml:space="preserve"> 1938</w:t>
      </w:r>
      <w:r>
        <w:rPr>
          <w:rFonts w:ascii="Times New Roman" w:hAnsi="Times New Roman" w:cs="Times New Roman"/>
          <w:sz w:val="22"/>
          <w:szCs w:val="22"/>
        </w:rPr>
        <w:t>.</w:t>
      </w:r>
      <w:r w:rsidRPr="00DA4D0F">
        <w:rPr>
          <w:rFonts w:ascii="Times New Roman" w:hAnsi="Times New Roman" w:cs="Times New Roman"/>
        </w:rPr>
        <w:t xml:space="preserve"> </w:t>
      </w:r>
    </w:p>
  </w:footnote>
  <w:footnote w:id="2">
    <w:p w14:paraId="502F21DB" w14:textId="6EF6C051" w:rsidR="0093673D" w:rsidRDefault="0093673D" w:rsidP="00B43271">
      <w:pPr>
        <w:pStyle w:val="Tekstprzypisudolnego"/>
        <w:jc w:val="both"/>
      </w:pPr>
      <w:r>
        <w:rPr>
          <w:rStyle w:val="Odwoanieprzypisudolnego"/>
        </w:rPr>
        <w:footnoteRef/>
      </w:r>
      <w:r>
        <w:t xml:space="preserve"> </w:t>
      </w:r>
      <w:r w:rsidRPr="0093673D">
        <w:rPr>
          <w:rFonts w:ascii="Times New Roman" w:hAnsi="Times New Roman" w:cs="Times New Roman"/>
        </w:rPr>
        <w:t>W Wielkiej Karcie Swobód znalazł się przepis, który miał przetrwać wieki, będąc</w:t>
      </w:r>
      <w:r w:rsidRPr="0093673D">
        <w:rPr>
          <w:rFonts w:ascii="Times New Roman" w:hAnsi="Times New Roman" w:cs="Times New Roman"/>
        </w:rPr>
        <w:br/>
        <w:t>zarazem inspiracją dla innych państw. Artykuł 39 stanowił, że żaden wolny człowiek nie</w:t>
      </w:r>
      <w:r>
        <w:rPr>
          <w:rFonts w:ascii="Times New Roman" w:hAnsi="Times New Roman" w:cs="Times New Roman"/>
        </w:rPr>
        <w:t xml:space="preserve"> </w:t>
      </w:r>
      <w:r w:rsidRPr="0093673D">
        <w:rPr>
          <w:rFonts w:ascii="Times New Roman" w:hAnsi="Times New Roman" w:cs="Times New Roman"/>
        </w:rPr>
        <w:t>może być aresztowany, więziony albo pozbawiony mienia bez prawomocnego wyroku</w:t>
      </w:r>
      <w:r>
        <w:rPr>
          <w:rFonts w:ascii="Times New Roman" w:hAnsi="Times New Roman" w:cs="Times New Roman"/>
        </w:rPr>
        <w:t xml:space="preserve"> </w:t>
      </w:r>
      <w:r w:rsidRPr="0093673D">
        <w:rPr>
          <w:rFonts w:ascii="Times New Roman" w:hAnsi="Times New Roman" w:cs="Times New Roman"/>
        </w:rPr>
        <w:t>sądowego, natomiast hrabiom i baronom przyznano gwarancję, iż będą sądzeni tylko przez</w:t>
      </w:r>
      <w:r>
        <w:rPr>
          <w:rFonts w:ascii="Times New Roman" w:hAnsi="Times New Roman" w:cs="Times New Roman"/>
        </w:rPr>
        <w:t xml:space="preserve"> </w:t>
      </w:r>
      <w:r w:rsidRPr="0093673D">
        <w:rPr>
          <w:rFonts w:ascii="Times New Roman" w:hAnsi="Times New Roman" w:cs="Times New Roman"/>
        </w:rPr>
        <w:t>równych sobie (</w:t>
      </w:r>
      <w:proofErr w:type="spellStart"/>
      <w:r w:rsidRPr="0093673D">
        <w:rPr>
          <w:rFonts w:ascii="Times New Roman" w:hAnsi="Times New Roman" w:cs="Times New Roman"/>
        </w:rPr>
        <w:t>Nullus</w:t>
      </w:r>
      <w:proofErr w:type="spellEnd"/>
      <w:r w:rsidRPr="0093673D">
        <w:rPr>
          <w:rFonts w:ascii="Times New Roman" w:hAnsi="Times New Roman" w:cs="Times New Roman"/>
        </w:rPr>
        <w:t xml:space="preserve"> Liber homo capia tur vel </w:t>
      </w:r>
      <w:proofErr w:type="spellStart"/>
      <w:r w:rsidRPr="0093673D">
        <w:rPr>
          <w:rFonts w:ascii="Times New Roman" w:hAnsi="Times New Roman" w:cs="Times New Roman"/>
        </w:rPr>
        <w:t>imprisonetur</w:t>
      </w:r>
      <w:proofErr w:type="spellEnd"/>
      <w:r w:rsidRPr="0093673D">
        <w:rPr>
          <w:rFonts w:ascii="Times New Roman" w:hAnsi="Times New Roman" w:cs="Times New Roman"/>
        </w:rPr>
        <w:t xml:space="preserve">, (...) </w:t>
      </w:r>
      <w:proofErr w:type="spellStart"/>
      <w:r w:rsidRPr="0093673D">
        <w:rPr>
          <w:rFonts w:ascii="Times New Roman" w:hAnsi="Times New Roman" w:cs="Times New Roman"/>
        </w:rPr>
        <w:t>nisi</w:t>
      </w:r>
      <w:proofErr w:type="spellEnd"/>
      <w:r w:rsidRPr="0093673D">
        <w:rPr>
          <w:rFonts w:ascii="Times New Roman" w:hAnsi="Times New Roman" w:cs="Times New Roman"/>
        </w:rPr>
        <w:t xml:space="preserve"> per </w:t>
      </w:r>
      <w:proofErr w:type="spellStart"/>
      <w:r w:rsidRPr="0093673D">
        <w:rPr>
          <w:rFonts w:ascii="Times New Roman" w:hAnsi="Times New Roman" w:cs="Times New Roman"/>
        </w:rPr>
        <w:t>legale</w:t>
      </w:r>
      <w:proofErr w:type="spellEnd"/>
      <w:r w:rsidRPr="0093673D">
        <w:rPr>
          <w:rFonts w:ascii="Times New Roman" w:hAnsi="Times New Roman" w:cs="Times New Roman"/>
        </w:rPr>
        <w:t xml:space="preserve"> </w:t>
      </w:r>
      <w:proofErr w:type="spellStart"/>
      <w:r w:rsidRPr="0093673D">
        <w:rPr>
          <w:rFonts w:ascii="Times New Roman" w:hAnsi="Times New Roman" w:cs="Times New Roman"/>
        </w:rPr>
        <w:t>judicium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3673D">
        <w:rPr>
          <w:rFonts w:ascii="Times New Roman" w:hAnsi="Times New Roman" w:cs="Times New Roman"/>
        </w:rPr>
        <w:t>parum</w:t>
      </w:r>
      <w:proofErr w:type="spellEnd"/>
      <w:r w:rsidRPr="0093673D">
        <w:rPr>
          <w:rFonts w:ascii="Times New Roman" w:hAnsi="Times New Roman" w:cs="Times New Roman"/>
        </w:rPr>
        <w:t xml:space="preserve"> quorum vel per legem </w:t>
      </w:r>
      <w:proofErr w:type="spellStart"/>
      <w:r w:rsidRPr="0093673D">
        <w:rPr>
          <w:rFonts w:ascii="Times New Roman" w:hAnsi="Times New Roman" w:cs="Times New Roman"/>
        </w:rPr>
        <w:t>terrae</w:t>
      </w:r>
      <w:proofErr w:type="spellEnd"/>
      <w:r w:rsidRPr="0093673D">
        <w:rPr>
          <w:rFonts w:ascii="Times New Roman" w:hAnsi="Times New Roman" w:cs="Times New Roman"/>
        </w:rPr>
        <w:t>)</w:t>
      </w:r>
    </w:p>
  </w:footnote>
  <w:footnote w:id="3">
    <w:p w14:paraId="4DECB5A3" w14:textId="46C1BF27" w:rsidR="0093673D" w:rsidRPr="0093673D" w:rsidRDefault="0093673D" w:rsidP="0093673D">
      <w:pPr>
        <w:pStyle w:val="Tekstprzypisudolnego"/>
        <w:jc w:val="both"/>
        <w:rPr>
          <w:rFonts w:ascii="Times New Roman" w:hAnsi="Times New Roman" w:cs="Times New Roman"/>
        </w:rPr>
      </w:pPr>
      <w:r w:rsidRPr="0093673D">
        <w:rPr>
          <w:rStyle w:val="Odwoanieprzypisudolnego"/>
          <w:rFonts w:ascii="Times New Roman" w:hAnsi="Times New Roman" w:cs="Times New Roman"/>
        </w:rPr>
        <w:footnoteRef/>
      </w:r>
      <w:r w:rsidRPr="0093673D">
        <w:rPr>
          <w:rFonts w:ascii="Times New Roman" w:hAnsi="Times New Roman" w:cs="Times New Roman"/>
        </w:rPr>
        <w:t xml:space="preserve"> Zasada ta została pierwotnie sformułowana w </w:t>
      </w:r>
      <w:hyperlink r:id="rId1" w:tooltip="Przywilej" w:history="1">
        <w:r w:rsidRPr="0093673D">
          <w:rPr>
            <w:rStyle w:val="Hipercze"/>
            <w:rFonts w:ascii="Times New Roman" w:hAnsi="Times New Roman" w:cs="Times New Roman"/>
            <w:color w:val="auto"/>
            <w:u w:val="none"/>
          </w:rPr>
          <w:t>przywileju</w:t>
        </w:r>
      </w:hyperlink>
      <w:r w:rsidRPr="0093673D">
        <w:rPr>
          <w:rFonts w:ascii="Times New Roman" w:hAnsi="Times New Roman" w:cs="Times New Roman"/>
        </w:rPr>
        <w:t xml:space="preserve"> nadanym przez </w:t>
      </w:r>
      <w:hyperlink r:id="rId2" w:tooltip="Władysław II Jagiełło" w:history="1">
        <w:r w:rsidRPr="0093673D">
          <w:rPr>
            <w:rStyle w:val="Hipercze"/>
            <w:rFonts w:ascii="Times New Roman" w:hAnsi="Times New Roman" w:cs="Times New Roman"/>
            <w:color w:val="auto"/>
            <w:u w:val="none"/>
          </w:rPr>
          <w:t>Władysława Jagiełłę</w:t>
        </w:r>
      </w:hyperlink>
      <w:r w:rsidRPr="0093673D">
        <w:rPr>
          <w:rFonts w:ascii="Times New Roman" w:hAnsi="Times New Roman" w:cs="Times New Roman"/>
        </w:rPr>
        <w:t xml:space="preserve"> w </w:t>
      </w:r>
      <w:hyperlink r:id="rId3" w:tooltip="Brześć Kujawski" w:history="1">
        <w:r w:rsidRPr="0093673D">
          <w:rPr>
            <w:rStyle w:val="Hipercze"/>
            <w:rFonts w:ascii="Times New Roman" w:hAnsi="Times New Roman" w:cs="Times New Roman"/>
            <w:color w:val="auto"/>
            <w:u w:val="none"/>
          </w:rPr>
          <w:t>Brześciu Kujawskim</w:t>
        </w:r>
      </w:hyperlink>
      <w:r w:rsidRPr="0093673D">
        <w:rPr>
          <w:rFonts w:ascii="Times New Roman" w:hAnsi="Times New Roman" w:cs="Times New Roman"/>
        </w:rPr>
        <w:t xml:space="preserve"> 25 kwietnia 1425, jednak nie wszedł on w życie. Ostatecznie wprowadzono ją przywilejem </w:t>
      </w:r>
      <w:hyperlink r:id="rId4" w:tooltip="Jedlnia" w:history="1">
        <w:proofErr w:type="spellStart"/>
        <w:r w:rsidRPr="0093673D">
          <w:rPr>
            <w:rStyle w:val="Hipercze"/>
            <w:rFonts w:ascii="Times New Roman" w:hAnsi="Times New Roman" w:cs="Times New Roman"/>
            <w:color w:val="auto"/>
            <w:u w:val="none"/>
          </w:rPr>
          <w:t>jedlneńskim</w:t>
        </w:r>
        <w:proofErr w:type="spellEnd"/>
      </w:hyperlink>
      <w:r w:rsidRPr="0093673D">
        <w:rPr>
          <w:rFonts w:ascii="Times New Roman" w:hAnsi="Times New Roman" w:cs="Times New Roman"/>
        </w:rPr>
        <w:t xml:space="preserve"> z 4 marca 1430 i </w:t>
      </w:r>
      <w:hyperlink r:id="rId5" w:tooltip="Przywilej jedlneńsko-krakowski" w:history="1">
        <w:r w:rsidRPr="0093673D">
          <w:rPr>
            <w:rStyle w:val="Hipercze"/>
            <w:rFonts w:ascii="Times New Roman" w:hAnsi="Times New Roman" w:cs="Times New Roman"/>
            <w:color w:val="auto"/>
            <w:u w:val="none"/>
          </w:rPr>
          <w:t>krakowskim</w:t>
        </w:r>
      </w:hyperlink>
      <w:r w:rsidRPr="0093673D">
        <w:rPr>
          <w:rFonts w:ascii="Times New Roman" w:hAnsi="Times New Roman" w:cs="Times New Roman"/>
        </w:rPr>
        <w:t xml:space="preserve"> z 9 stycznia 1433. Prawo nietykalności osobistej zostało wówczas nadane </w:t>
      </w:r>
      <w:hyperlink r:id="rId6" w:tooltip="Posesjonat" w:history="1">
        <w:r w:rsidRPr="0093673D">
          <w:rPr>
            <w:rStyle w:val="Hipercze"/>
            <w:rFonts w:ascii="Times New Roman" w:hAnsi="Times New Roman" w:cs="Times New Roman"/>
            <w:color w:val="auto"/>
            <w:u w:val="none"/>
          </w:rPr>
          <w:t>posesjonatom</w:t>
        </w:r>
      </w:hyperlink>
      <w:r w:rsidRPr="0093673D">
        <w:rPr>
          <w:rFonts w:ascii="Times New Roman" w:hAnsi="Times New Roman" w:cs="Times New Roman"/>
        </w:rPr>
        <w:t>. W 1447 przywilej ten został rozszerzony na szlachtę litewską (</w:t>
      </w:r>
      <w:hyperlink r:id="rId7" w:tooltip="Bojarzy" w:history="1">
        <w:r w:rsidRPr="0093673D">
          <w:rPr>
            <w:rStyle w:val="Hipercze"/>
            <w:rFonts w:ascii="Times New Roman" w:hAnsi="Times New Roman" w:cs="Times New Roman"/>
            <w:color w:val="auto"/>
            <w:u w:val="none"/>
          </w:rPr>
          <w:t>bojarów</w:t>
        </w:r>
      </w:hyperlink>
      <w:r w:rsidRPr="0093673D">
        <w:rPr>
          <w:rFonts w:ascii="Times New Roman" w:hAnsi="Times New Roman" w:cs="Times New Roman"/>
        </w:rPr>
        <w:t xml:space="preserve">). Na mocy ustawy </w:t>
      </w:r>
      <w:hyperlink r:id="rId8" w:tooltip="Prawo o miastach" w:history="1">
        <w:r w:rsidRPr="0093673D">
          <w:rPr>
            <w:rStyle w:val="Hipercze"/>
            <w:rFonts w:ascii="Times New Roman" w:hAnsi="Times New Roman" w:cs="Times New Roman"/>
            <w:color w:val="auto"/>
            <w:u w:val="none"/>
          </w:rPr>
          <w:t>Prawo o miastach</w:t>
        </w:r>
      </w:hyperlink>
      <w:r w:rsidRPr="0093673D">
        <w:rPr>
          <w:rFonts w:ascii="Times New Roman" w:hAnsi="Times New Roman" w:cs="Times New Roman"/>
        </w:rPr>
        <w:t xml:space="preserve"> (1791) przywilej ten rozszerzono na </w:t>
      </w:r>
      <w:hyperlink r:id="rId9" w:tooltip="Mieszczaństwo" w:history="1">
        <w:r w:rsidRPr="0093673D">
          <w:rPr>
            <w:rStyle w:val="Hipercze"/>
            <w:rFonts w:ascii="Times New Roman" w:hAnsi="Times New Roman" w:cs="Times New Roman"/>
            <w:color w:val="auto"/>
            <w:u w:val="none"/>
          </w:rPr>
          <w:t>mieszczan</w:t>
        </w:r>
      </w:hyperlink>
      <w:r w:rsidRPr="0093673D">
        <w:rPr>
          <w:rFonts w:ascii="Times New Roman" w:hAnsi="Times New Roman" w:cs="Times New Roman"/>
        </w:rPr>
        <w:t xml:space="preserve"> z </w:t>
      </w:r>
      <w:hyperlink r:id="rId10" w:tooltip="Miasto królewskie" w:history="1">
        <w:r w:rsidRPr="0093673D">
          <w:rPr>
            <w:rStyle w:val="Hipercze"/>
            <w:rFonts w:ascii="Times New Roman" w:hAnsi="Times New Roman" w:cs="Times New Roman"/>
            <w:color w:val="auto"/>
            <w:u w:val="none"/>
          </w:rPr>
          <w:t>miast królewskich</w:t>
        </w:r>
      </w:hyperlink>
      <w:r w:rsidRPr="0093673D">
        <w:rPr>
          <w:rFonts w:ascii="Times New Roman" w:hAnsi="Times New Roman" w:cs="Times New Roman"/>
        </w:rPr>
        <w:t xml:space="preserve"> posiadających </w:t>
      </w:r>
      <w:hyperlink r:id="rId11" w:tooltip="Nieruchomość" w:history="1">
        <w:r w:rsidRPr="0093673D">
          <w:rPr>
            <w:rStyle w:val="Hipercze"/>
            <w:rFonts w:ascii="Times New Roman" w:hAnsi="Times New Roman" w:cs="Times New Roman"/>
            <w:color w:val="auto"/>
            <w:u w:val="none"/>
          </w:rPr>
          <w:t>majątek nieruchomy</w:t>
        </w:r>
      </w:hyperlink>
      <w:r w:rsidRPr="0093673D">
        <w:rPr>
          <w:rFonts w:ascii="Times New Roman" w:hAnsi="Times New Roman" w:cs="Times New Roman"/>
        </w:rPr>
        <w:t xml:space="preserve">. </w:t>
      </w:r>
      <w:hyperlink r:id="rId12" w:tooltip="Konstytucja Królestwa Polskiego" w:history="1">
        <w:r w:rsidRPr="0093673D">
          <w:rPr>
            <w:rStyle w:val="Hipercze"/>
            <w:rFonts w:ascii="Times New Roman" w:hAnsi="Times New Roman" w:cs="Times New Roman"/>
            <w:color w:val="auto"/>
            <w:u w:val="none"/>
          </w:rPr>
          <w:t>Konstytucja Królestwa Polskiego</w:t>
        </w:r>
      </w:hyperlink>
      <w:r w:rsidRPr="0093673D">
        <w:rPr>
          <w:rFonts w:ascii="Times New Roman" w:hAnsi="Times New Roman" w:cs="Times New Roman"/>
        </w:rPr>
        <w:t xml:space="preserve"> z 1815 w art. 18 głosiła, że prawo </w:t>
      </w:r>
      <w:proofErr w:type="spellStart"/>
      <w:r w:rsidRPr="0093673D">
        <w:rPr>
          <w:rFonts w:ascii="Times New Roman" w:hAnsi="Times New Roman" w:cs="Times New Roman"/>
          <w:i/>
          <w:iCs/>
        </w:rPr>
        <w:t>neminem</w:t>
      </w:r>
      <w:proofErr w:type="spellEnd"/>
      <w:r w:rsidRPr="0093673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3673D">
        <w:rPr>
          <w:rFonts w:ascii="Times New Roman" w:hAnsi="Times New Roman" w:cs="Times New Roman"/>
          <w:i/>
          <w:iCs/>
        </w:rPr>
        <w:t>captivari</w:t>
      </w:r>
      <w:proofErr w:type="spellEnd"/>
      <w:r w:rsidRPr="0093673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3673D">
        <w:rPr>
          <w:rFonts w:ascii="Times New Roman" w:hAnsi="Times New Roman" w:cs="Times New Roman"/>
          <w:i/>
          <w:iCs/>
        </w:rPr>
        <w:t>permittemus</w:t>
      </w:r>
      <w:proofErr w:type="spellEnd"/>
      <w:r w:rsidRPr="0093673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3673D">
        <w:rPr>
          <w:rFonts w:ascii="Times New Roman" w:hAnsi="Times New Roman" w:cs="Times New Roman"/>
          <w:i/>
          <w:iCs/>
        </w:rPr>
        <w:t>nisi</w:t>
      </w:r>
      <w:proofErr w:type="spellEnd"/>
      <w:r w:rsidRPr="0093673D">
        <w:rPr>
          <w:rFonts w:ascii="Times New Roman" w:hAnsi="Times New Roman" w:cs="Times New Roman"/>
          <w:i/>
          <w:iCs/>
        </w:rPr>
        <w:t xml:space="preserve"> iure </w:t>
      </w:r>
      <w:proofErr w:type="spellStart"/>
      <w:r w:rsidRPr="0093673D">
        <w:rPr>
          <w:rFonts w:ascii="Times New Roman" w:hAnsi="Times New Roman" w:cs="Times New Roman"/>
          <w:i/>
          <w:iCs/>
        </w:rPr>
        <w:t>victum</w:t>
      </w:r>
      <w:proofErr w:type="spellEnd"/>
      <w:r w:rsidRPr="0093673D">
        <w:rPr>
          <w:rFonts w:ascii="Times New Roman" w:hAnsi="Times New Roman" w:cs="Times New Roman"/>
        </w:rPr>
        <w:t xml:space="preserve"> stosować się ma do wszystkich mieszkańców wszelkiego stanu. </w:t>
      </w:r>
    </w:p>
    <w:p w14:paraId="6ECDCBD1" w14:textId="0D0114CC" w:rsidR="0093673D" w:rsidRDefault="0093673D">
      <w:pPr>
        <w:pStyle w:val="Tekstprzypisudolneg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0170283"/>
      <w:docPartObj>
        <w:docPartGallery w:val="Page Numbers (Top of Page)"/>
        <w:docPartUnique/>
      </w:docPartObj>
    </w:sdtPr>
    <w:sdtContent>
      <w:p w14:paraId="30070A3F" w14:textId="1F82691B" w:rsidR="00F778F2" w:rsidRDefault="00F778F2">
        <w:pPr>
          <w:pStyle w:val="Nagwek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8AEEF6" w14:textId="77777777" w:rsidR="00F778F2" w:rsidRDefault="00F778F2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0231D"/>
    <w:multiLevelType w:val="hybridMultilevel"/>
    <w:tmpl w:val="5FC2EF1C"/>
    <w:lvl w:ilvl="0" w:tplc="0415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B6F6C"/>
    <w:multiLevelType w:val="hybridMultilevel"/>
    <w:tmpl w:val="320A1402"/>
    <w:lvl w:ilvl="0" w:tplc="2E54B4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C4A06"/>
    <w:multiLevelType w:val="hybridMultilevel"/>
    <w:tmpl w:val="91260C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45ADD"/>
    <w:multiLevelType w:val="hybridMultilevel"/>
    <w:tmpl w:val="923ED6E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072843">
    <w:abstractNumId w:val="0"/>
  </w:num>
  <w:num w:numId="2" w16cid:durableId="1680353294">
    <w:abstractNumId w:val="1"/>
  </w:num>
  <w:num w:numId="3" w16cid:durableId="125008662">
    <w:abstractNumId w:val="2"/>
  </w:num>
  <w:num w:numId="4" w16cid:durableId="5498481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6B3"/>
    <w:rsid w:val="00014E58"/>
    <w:rsid w:val="000536E6"/>
    <w:rsid w:val="00090C79"/>
    <w:rsid w:val="000B25E9"/>
    <w:rsid w:val="000F4C2C"/>
    <w:rsid w:val="000F54FB"/>
    <w:rsid w:val="001009AD"/>
    <w:rsid w:val="001539EC"/>
    <w:rsid w:val="001718C8"/>
    <w:rsid w:val="0019763E"/>
    <w:rsid w:val="001B283D"/>
    <w:rsid w:val="001E1956"/>
    <w:rsid w:val="001F4078"/>
    <w:rsid w:val="002350EA"/>
    <w:rsid w:val="00285671"/>
    <w:rsid w:val="002A277E"/>
    <w:rsid w:val="002D40CA"/>
    <w:rsid w:val="0036459D"/>
    <w:rsid w:val="0037367D"/>
    <w:rsid w:val="003911D8"/>
    <w:rsid w:val="003F48F7"/>
    <w:rsid w:val="00426C24"/>
    <w:rsid w:val="00461999"/>
    <w:rsid w:val="004A02ED"/>
    <w:rsid w:val="004B1653"/>
    <w:rsid w:val="004C17E8"/>
    <w:rsid w:val="004F075B"/>
    <w:rsid w:val="005216B3"/>
    <w:rsid w:val="005232EF"/>
    <w:rsid w:val="00543BCD"/>
    <w:rsid w:val="005477B6"/>
    <w:rsid w:val="0057204B"/>
    <w:rsid w:val="00572698"/>
    <w:rsid w:val="00583858"/>
    <w:rsid w:val="005A07CF"/>
    <w:rsid w:val="005C0E82"/>
    <w:rsid w:val="005E2866"/>
    <w:rsid w:val="005F355A"/>
    <w:rsid w:val="00626769"/>
    <w:rsid w:val="00631F9F"/>
    <w:rsid w:val="00635278"/>
    <w:rsid w:val="00644316"/>
    <w:rsid w:val="00666203"/>
    <w:rsid w:val="00671089"/>
    <w:rsid w:val="006A77E0"/>
    <w:rsid w:val="00747DD9"/>
    <w:rsid w:val="00766A37"/>
    <w:rsid w:val="0077348B"/>
    <w:rsid w:val="007D20D8"/>
    <w:rsid w:val="007F1057"/>
    <w:rsid w:val="007F5B0C"/>
    <w:rsid w:val="00844B40"/>
    <w:rsid w:val="00892A06"/>
    <w:rsid w:val="008B42F4"/>
    <w:rsid w:val="008E7782"/>
    <w:rsid w:val="00902530"/>
    <w:rsid w:val="00904FAB"/>
    <w:rsid w:val="0091059D"/>
    <w:rsid w:val="0091718C"/>
    <w:rsid w:val="0093246B"/>
    <w:rsid w:val="0093673D"/>
    <w:rsid w:val="009A28AF"/>
    <w:rsid w:val="009B5897"/>
    <w:rsid w:val="009C03C8"/>
    <w:rsid w:val="009D7F0A"/>
    <w:rsid w:val="009F39CC"/>
    <w:rsid w:val="009F61A5"/>
    <w:rsid w:val="00A42DF3"/>
    <w:rsid w:val="00A45CAA"/>
    <w:rsid w:val="00A56AA3"/>
    <w:rsid w:val="00AD7DF5"/>
    <w:rsid w:val="00B3338A"/>
    <w:rsid w:val="00B42890"/>
    <w:rsid w:val="00B43271"/>
    <w:rsid w:val="00B52F93"/>
    <w:rsid w:val="00B53862"/>
    <w:rsid w:val="00B650E4"/>
    <w:rsid w:val="00B950B0"/>
    <w:rsid w:val="00B97CED"/>
    <w:rsid w:val="00BB715F"/>
    <w:rsid w:val="00BC66B7"/>
    <w:rsid w:val="00BD095A"/>
    <w:rsid w:val="00C12C4F"/>
    <w:rsid w:val="00C36C74"/>
    <w:rsid w:val="00C85D09"/>
    <w:rsid w:val="00CA56E3"/>
    <w:rsid w:val="00D0108C"/>
    <w:rsid w:val="00D01A55"/>
    <w:rsid w:val="00D11551"/>
    <w:rsid w:val="00D4017A"/>
    <w:rsid w:val="00D5671F"/>
    <w:rsid w:val="00D64696"/>
    <w:rsid w:val="00D72C29"/>
    <w:rsid w:val="00DA4D0F"/>
    <w:rsid w:val="00DA518B"/>
    <w:rsid w:val="00DC6388"/>
    <w:rsid w:val="00E0238E"/>
    <w:rsid w:val="00E12165"/>
    <w:rsid w:val="00E12FF7"/>
    <w:rsid w:val="00E2568A"/>
    <w:rsid w:val="00EA58BE"/>
    <w:rsid w:val="00EB7B5D"/>
    <w:rsid w:val="00F3102D"/>
    <w:rsid w:val="00F778F2"/>
    <w:rsid w:val="00F8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F249F"/>
  <w15:chartTrackingRefBased/>
  <w15:docId w15:val="{50144B94-35BF-4C22-914C-BDD317733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216B3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F778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778F2"/>
  </w:style>
  <w:style w:type="paragraph" w:styleId="Stopka">
    <w:name w:val="footer"/>
    <w:basedOn w:val="Normalny"/>
    <w:link w:val="StopkaZnak"/>
    <w:uiPriority w:val="99"/>
    <w:unhideWhenUsed/>
    <w:rsid w:val="00F778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778F2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3673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3673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3673D"/>
    <w:rPr>
      <w:vertAlign w:val="superscript"/>
    </w:rPr>
  </w:style>
  <w:style w:type="paragraph" w:styleId="NormalnyWeb">
    <w:name w:val="Normal (Web)"/>
    <w:basedOn w:val="Normalny"/>
    <w:uiPriority w:val="99"/>
    <w:semiHidden/>
    <w:unhideWhenUsed/>
    <w:rsid w:val="0093673D"/>
    <w:rPr>
      <w:rFonts w:ascii="Times New Roman" w:hAnsi="Times New Roman" w:cs="Times New Roman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93673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367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9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Prawo_o_miastach" TargetMode="External"/><Relationship Id="rId3" Type="http://schemas.openxmlformats.org/officeDocument/2006/relationships/hyperlink" Target="https://pl.wikipedia.org/wiki/Brze%C5%9B%C4%87_Kujawski" TargetMode="External"/><Relationship Id="rId7" Type="http://schemas.openxmlformats.org/officeDocument/2006/relationships/hyperlink" Target="https://pl.wikipedia.org/wiki/Bojarzy" TargetMode="External"/><Relationship Id="rId12" Type="http://schemas.openxmlformats.org/officeDocument/2006/relationships/hyperlink" Target="https://pl.wikipedia.org/wiki/Konstytucja_Kr%C3%B3lestwa_Polskiego" TargetMode="External"/><Relationship Id="rId2" Type="http://schemas.openxmlformats.org/officeDocument/2006/relationships/hyperlink" Target="https://pl.wikipedia.org/wiki/W%C5%82adys%C5%82aw_II_Jagie%C5%82%C5%82o" TargetMode="External"/><Relationship Id="rId1" Type="http://schemas.openxmlformats.org/officeDocument/2006/relationships/hyperlink" Target="https://pl.wikipedia.org/wiki/Przywilej" TargetMode="External"/><Relationship Id="rId6" Type="http://schemas.openxmlformats.org/officeDocument/2006/relationships/hyperlink" Target="https://pl.wikipedia.org/wiki/Posesjonat" TargetMode="External"/><Relationship Id="rId11" Type="http://schemas.openxmlformats.org/officeDocument/2006/relationships/hyperlink" Target="https://pl.wikipedia.org/wiki/Nieruchomo%C5%9B%C4%87" TargetMode="External"/><Relationship Id="rId5" Type="http://schemas.openxmlformats.org/officeDocument/2006/relationships/hyperlink" Target="https://pl.wikipedia.org/wiki/Przywilej_jedlne%C5%84sko-krakowski" TargetMode="External"/><Relationship Id="rId10" Type="http://schemas.openxmlformats.org/officeDocument/2006/relationships/hyperlink" Target="https://pl.wikipedia.org/wiki/Miasto_kr%C3%B3lewskie" TargetMode="External"/><Relationship Id="rId4" Type="http://schemas.openxmlformats.org/officeDocument/2006/relationships/hyperlink" Target="https://pl.wikipedia.org/wiki/Jedlnia" TargetMode="External"/><Relationship Id="rId9" Type="http://schemas.openxmlformats.org/officeDocument/2006/relationships/hyperlink" Target="https://pl.wikipedia.org/wiki/Mieszcza%C5%84stwo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2BEA7-B6F3-40F8-8DAD-44DA29D7F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2017</Words>
  <Characters>12107</Characters>
  <Application>Microsoft Office Word</Application>
  <DocSecurity>0</DocSecurity>
  <Lines>100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Wojtek Lamentowicz</dc:creator>
  <cp:keywords/>
  <dc:description/>
  <cp:lastModifiedBy>Wojtek Lamentowicz</cp:lastModifiedBy>
  <cp:revision>3</cp:revision>
  <dcterms:created xsi:type="dcterms:W3CDTF">2023-11-14T23:20:00Z</dcterms:created>
  <dcterms:modified xsi:type="dcterms:W3CDTF">2023-11-14T23:25:00Z</dcterms:modified>
</cp:coreProperties>
</file>