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E008E" w14:textId="0AE1F107" w:rsidR="00034A81" w:rsidRDefault="007B311A" w:rsidP="003F30B4">
      <w:pPr>
        <w:rPr>
          <w:b/>
        </w:rPr>
      </w:pPr>
      <w:r w:rsidRPr="00DE7296">
        <w:rPr>
          <w:b/>
        </w:rPr>
        <w:t>TYPY  ODPOWIEDZIALNOŚCI  PRAWNEJ</w:t>
      </w:r>
      <w:r w:rsidR="00DE7296">
        <w:rPr>
          <w:b/>
        </w:rPr>
        <w:t xml:space="preserve">                  Pomoc dydaktyczna dla studentów prawa i adminis</w:t>
      </w:r>
      <w:r w:rsidR="00DE5A07">
        <w:rPr>
          <w:b/>
        </w:rPr>
        <w:t>t</w:t>
      </w:r>
      <w:r w:rsidR="00DE7296">
        <w:rPr>
          <w:b/>
        </w:rPr>
        <w:t>racji</w:t>
      </w:r>
    </w:p>
    <w:p w14:paraId="18E84F32" w14:textId="066730E4" w:rsidR="00216DB4" w:rsidRPr="00DE7296" w:rsidRDefault="00216DB4" w:rsidP="003F30B4">
      <w:pPr>
        <w:rPr>
          <w:b/>
        </w:rPr>
      </w:pPr>
      <w:r>
        <w:rPr>
          <w:b/>
        </w:rPr>
        <w:t xml:space="preserve">© Wojtek Lamentowicz profesor </w:t>
      </w:r>
      <w:proofErr w:type="spellStart"/>
      <w:r>
        <w:rPr>
          <w:b/>
        </w:rPr>
        <w:t>WSAiB</w:t>
      </w:r>
      <w:proofErr w:type="spellEnd"/>
      <w:r>
        <w:rPr>
          <w:b/>
        </w:rPr>
        <w:t xml:space="preserve"> w Gdyni</w:t>
      </w:r>
    </w:p>
    <w:tbl>
      <w:tblPr>
        <w:tblStyle w:val="Tabela-Siatka"/>
        <w:tblW w:w="0" w:type="auto"/>
        <w:tblLook w:val="04A0" w:firstRow="1" w:lastRow="0" w:firstColumn="1" w:lastColumn="0" w:noHBand="0" w:noVBand="1"/>
      </w:tblPr>
      <w:tblGrid>
        <w:gridCol w:w="4714"/>
        <w:gridCol w:w="4715"/>
        <w:gridCol w:w="4715"/>
      </w:tblGrid>
      <w:tr w:rsidR="007B311A" w14:paraId="5B4A6109" w14:textId="77777777" w:rsidTr="007B311A">
        <w:tc>
          <w:tcPr>
            <w:tcW w:w="4714" w:type="dxa"/>
          </w:tcPr>
          <w:p w14:paraId="14A83FEC" w14:textId="77777777" w:rsidR="007B311A" w:rsidRPr="003E29DB" w:rsidRDefault="00352254">
            <w:pPr>
              <w:rPr>
                <w:b/>
              </w:rPr>
            </w:pPr>
            <w:r>
              <w:rPr>
                <w:b/>
              </w:rPr>
              <w:t xml:space="preserve">                            </w:t>
            </w:r>
            <w:r w:rsidR="007B311A" w:rsidRPr="003E29DB">
              <w:rPr>
                <w:b/>
              </w:rPr>
              <w:t>KARNA</w:t>
            </w:r>
          </w:p>
        </w:tc>
        <w:tc>
          <w:tcPr>
            <w:tcW w:w="4715" w:type="dxa"/>
          </w:tcPr>
          <w:p w14:paraId="15A90FC9" w14:textId="77777777" w:rsidR="007B311A" w:rsidRPr="003E29DB" w:rsidRDefault="00352254">
            <w:pPr>
              <w:rPr>
                <w:b/>
              </w:rPr>
            </w:pPr>
            <w:r>
              <w:rPr>
                <w:b/>
              </w:rPr>
              <w:t xml:space="preserve">                                                       </w:t>
            </w:r>
            <w:r w:rsidR="007B311A" w:rsidRPr="003E29DB">
              <w:rPr>
                <w:b/>
              </w:rPr>
              <w:t>CYWILNA</w:t>
            </w:r>
          </w:p>
        </w:tc>
        <w:tc>
          <w:tcPr>
            <w:tcW w:w="4715" w:type="dxa"/>
          </w:tcPr>
          <w:p w14:paraId="11CF5DB3" w14:textId="77777777" w:rsidR="007B311A" w:rsidRDefault="007B311A"/>
        </w:tc>
      </w:tr>
      <w:tr w:rsidR="007B311A" w14:paraId="65A0FA5C" w14:textId="77777777" w:rsidTr="007B311A">
        <w:tc>
          <w:tcPr>
            <w:tcW w:w="4714" w:type="dxa"/>
          </w:tcPr>
          <w:p w14:paraId="4F797B46" w14:textId="77777777" w:rsidR="007B311A" w:rsidRDefault="007B311A"/>
        </w:tc>
        <w:tc>
          <w:tcPr>
            <w:tcW w:w="4715" w:type="dxa"/>
          </w:tcPr>
          <w:p w14:paraId="027B0094" w14:textId="77777777" w:rsidR="007B311A" w:rsidRDefault="00352254">
            <w:r>
              <w:t xml:space="preserve">      </w:t>
            </w:r>
            <w:r w:rsidR="007B311A">
              <w:t>KONTRAKTOWA</w:t>
            </w:r>
            <w:r w:rsidR="003F30B4">
              <w:t xml:space="preserve">    </w:t>
            </w:r>
            <w:r w:rsidR="007B311A">
              <w:t xml:space="preserve"> ex contractu</w:t>
            </w:r>
          </w:p>
        </w:tc>
        <w:tc>
          <w:tcPr>
            <w:tcW w:w="4715" w:type="dxa"/>
          </w:tcPr>
          <w:p w14:paraId="43D1E091" w14:textId="77777777" w:rsidR="007B311A" w:rsidRDefault="00352254">
            <w:r>
              <w:t xml:space="preserve">         </w:t>
            </w:r>
            <w:r w:rsidR="00D870E0">
              <w:t xml:space="preserve">DELIKTOWA </w:t>
            </w:r>
            <w:r w:rsidR="003F30B4">
              <w:t xml:space="preserve">   </w:t>
            </w:r>
            <w:r w:rsidR="00D870E0">
              <w:t xml:space="preserve">ex </w:t>
            </w:r>
            <w:proofErr w:type="spellStart"/>
            <w:r w:rsidR="00D870E0">
              <w:t>delicto</w:t>
            </w:r>
            <w:proofErr w:type="spellEnd"/>
          </w:p>
        </w:tc>
      </w:tr>
      <w:tr w:rsidR="007B311A" w14:paraId="0C118D28" w14:textId="77777777" w:rsidTr="007B311A">
        <w:tc>
          <w:tcPr>
            <w:tcW w:w="4714" w:type="dxa"/>
          </w:tcPr>
          <w:p w14:paraId="6BB18A8A" w14:textId="77777777" w:rsidR="007B311A" w:rsidRDefault="007B311A">
            <w:r>
              <w:t xml:space="preserve">Na </w:t>
            </w:r>
            <w:r w:rsidRPr="00C2655C">
              <w:rPr>
                <w:highlight w:val="yellow"/>
              </w:rPr>
              <w:t xml:space="preserve">podstawie winy umyślnej lub nieumyślnej oraz udowodnionego sprawstwa czynu </w:t>
            </w:r>
            <w:r w:rsidR="00DE7296">
              <w:rPr>
                <w:highlight w:val="yellow"/>
              </w:rPr>
              <w:t xml:space="preserve">bezprawnego i </w:t>
            </w:r>
            <w:r w:rsidRPr="00C2655C">
              <w:rPr>
                <w:highlight w:val="yellow"/>
              </w:rPr>
              <w:t>zabronionego przez ustawę karną wcześniejszą wobec czynu</w:t>
            </w:r>
            <w:r w:rsidR="00DE7296">
              <w:t>.</w:t>
            </w:r>
          </w:p>
          <w:p w14:paraId="151CB849" w14:textId="77777777" w:rsidR="00352254" w:rsidRPr="00352254" w:rsidRDefault="00DE7296" w:rsidP="00352254">
            <w:r>
              <w:t xml:space="preserve">         </w:t>
            </w:r>
            <w:r w:rsidR="009630DA">
              <w:t xml:space="preserve">Zasady </w:t>
            </w:r>
            <w:r w:rsidR="00352254" w:rsidRPr="00352254">
              <w:t>ustrojowe</w:t>
            </w:r>
            <w:r w:rsidR="00352254">
              <w:t xml:space="preserve"> egzekwowania odpowiedzialności karnej:</w:t>
            </w:r>
          </w:p>
          <w:p w14:paraId="09D68E95" w14:textId="77777777" w:rsidR="00352254" w:rsidRPr="00352254" w:rsidRDefault="00DE7296" w:rsidP="00352254">
            <w:pPr>
              <w:rPr>
                <w:b/>
                <w:bCs/>
              </w:rPr>
            </w:pPr>
            <w:r>
              <w:rPr>
                <w:b/>
                <w:bCs/>
              </w:rPr>
              <w:t>1.</w:t>
            </w:r>
            <w:r w:rsidR="00352254" w:rsidRPr="00352254">
              <w:rPr>
                <w:b/>
                <w:bCs/>
              </w:rPr>
              <w:t>Zasada poszanowania godności człowieka</w:t>
            </w:r>
          </w:p>
          <w:p w14:paraId="0728973D" w14:textId="77777777" w:rsidR="00352254" w:rsidRPr="00352254" w:rsidRDefault="00352254" w:rsidP="00352254">
            <w:r w:rsidRPr="00352254">
              <w:t>Sprawcy </w:t>
            </w:r>
            <w:hyperlink r:id="rId7" w:tooltip="Przestępstwo" w:history="1">
              <w:r w:rsidRPr="00352254">
                <w:rPr>
                  <w:rStyle w:val="Hipercze"/>
                  <w:color w:val="auto"/>
                  <w:u w:val="none"/>
                </w:rPr>
                <w:t>przestępstwa</w:t>
              </w:r>
            </w:hyperlink>
            <w:r w:rsidRPr="00352254">
              <w:t> nie wolno traktować przedmiotowo ani w sposób poniżający.</w:t>
            </w:r>
          </w:p>
          <w:p w14:paraId="3B3EBFF9" w14:textId="77777777" w:rsidR="00352254" w:rsidRPr="00352254" w:rsidRDefault="00DE7296" w:rsidP="00352254">
            <w:pPr>
              <w:rPr>
                <w:b/>
                <w:bCs/>
              </w:rPr>
            </w:pPr>
            <w:r>
              <w:rPr>
                <w:b/>
                <w:bCs/>
              </w:rPr>
              <w:t xml:space="preserve">2. </w:t>
            </w:r>
            <w:r w:rsidR="00352254" w:rsidRPr="00352254">
              <w:rPr>
                <w:b/>
                <w:bCs/>
              </w:rPr>
              <w:t>Zasada humanitaryzmu polityki karnej</w:t>
            </w:r>
          </w:p>
          <w:p w14:paraId="715791DD" w14:textId="77777777" w:rsidR="00352254" w:rsidRPr="00352254" w:rsidRDefault="00352254" w:rsidP="00352254">
            <w:r w:rsidRPr="00352254">
              <w:t>Sąd przy wymiarze kary lub innych środków ma szanować godność osoby karanej. Wiąże się z nią nakaz traktowania kary pozbawienia wolności jako </w:t>
            </w:r>
            <w:r w:rsidRPr="00352254">
              <w:rPr>
                <w:i/>
                <w:iCs/>
              </w:rPr>
              <w:t>ultima ratio</w:t>
            </w:r>
            <w:r w:rsidRPr="00352254">
              <w:t>. Z zasadą humanitaryzmu związany jest zakaz stosowania tortur i okrutnego traktowania.</w:t>
            </w:r>
          </w:p>
          <w:p w14:paraId="4783C664" w14:textId="77777777" w:rsidR="00352254" w:rsidRPr="00352254" w:rsidRDefault="00DE7296" w:rsidP="00352254">
            <w:pPr>
              <w:rPr>
                <w:b/>
                <w:bCs/>
              </w:rPr>
            </w:pPr>
            <w:r>
              <w:rPr>
                <w:b/>
                <w:bCs/>
              </w:rPr>
              <w:t xml:space="preserve">3. </w:t>
            </w:r>
            <w:r w:rsidR="00352254" w:rsidRPr="00352254">
              <w:rPr>
                <w:b/>
                <w:bCs/>
              </w:rPr>
              <w:t>Zasada równości wobec prawa</w:t>
            </w:r>
          </w:p>
          <w:p w14:paraId="255ED4F4" w14:textId="77777777" w:rsidR="00352254" w:rsidRPr="00352254" w:rsidRDefault="00352254" w:rsidP="00352254">
            <w:r w:rsidRPr="00352254">
              <w:t xml:space="preserve">W przypadku przestępstw </w:t>
            </w:r>
            <w:r w:rsidR="00C2655C">
              <w:t>popełnionych we współdziałaniu zakaz</w:t>
            </w:r>
            <w:r w:rsidRPr="00352254">
              <w:t xml:space="preserve"> bezzasadnego różnicowania sytuacji współdziałających (wyjątek: jeżeli zróżnicowanie wynika z odmiennej zawartości bezprawia popełnionych czynów lub okoliczności związanych z osobą sprawcy).</w:t>
            </w:r>
          </w:p>
          <w:p w14:paraId="421C5A53" w14:textId="77777777" w:rsidR="00352254" w:rsidRPr="00352254" w:rsidRDefault="00DE7296" w:rsidP="00352254">
            <w:pPr>
              <w:rPr>
                <w:b/>
                <w:bCs/>
              </w:rPr>
            </w:pPr>
            <w:r>
              <w:rPr>
                <w:b/>
                <w:bCs/>
              </w:rPr>
              <w:t xml:space="preserve">4. </w:t>
            </w:r>
            <w:r w:rsidR="00352254" w:rsidRPr="00352254">
              <w:rPr>
                <w:b/>
                <w:bCs/>
              </w:rPr>
              <w:t>Zasada proporcjonalności</w:t>
            </w:r>
          </w:p>
          <w:p w14:paraId="54C1F925" w14:textId="77777777" w:rsidR="00352254" w:rsidRDefault="00352254" w:rsidP="00352254">
            <w:r w:rsidRPr="00352254">
              <w:t xml:space="preserve">Ograniczenia w zakresie korzystania z </w:t>
            </w:r>
            <w:r w:rsidRPr="00352254">
              <w:lastRenderedPageBreak/>
              <w:t>konstytucyjnych wolności i praw mogą być ustanawiane tylko w </w:t>
            </w:r>
            <w:hyperlink r:id="rId8" w:tooltip="Ustawa" w:history="1">
              <w:r w:rsidRPr="00C2655C">
                <w:rPr>
                  <w:rStyle w:val="Hipercze"/>
                  <w:color w:val="auto"/>
                  <w:u w:val="none"/>
                </w:rPr>
                <w:t>ustawie</w:t>
              </w:r>
            </w:hyperlink>
            <w:r w:rsidRPr="00352254">
              <w:t> i jedynie wtedy, gdy są konieczne w demokratycznym państwie prawnym dla jego bezpieczeństwa, porządku publicznego, ochrony środowiska, zdrowia, moralności publicznej albo wolności i praw innych osób. Każda kara, nie tylko pozbawienia wolności, ma być traktowana jako</w:t>
            </w:r>
            <w:r w:rsidR="00C2655C">
              <w:t xml:space="preserve"> </w:t>
            </w:r>
            <w:r w:rsidRPr="00352254">
              <w:rPr>
                <w:i/>
                <w:iCs/>
              </w:rPr>
              <w:t>ultima ratio</w:t>
            </w:r>
            <w:r w:rsidRPr="00352254">
              <w:t>.</w:t>
            </w:r>
          </w:p>
          <w:p w14:paraId="307FD5DC" w14:textId="77777777" w:rsidR="009630DA" w:rsidRDefault="009630DA" w:rsidP="00352254"/>
          <w:p w14:paraId="333C3576" w14:textId="77777777" w:rsidR="009630DA" w:rsidRPr="00DE7296" w:rsidRDefault="009630DA" w:rsidP="00352254">
            <w:pPr>
              <w:rPr>
                <w:b/>
                <w:sz w:val="28"/>
                <w:szCs w:val="28"/>
              </w:rPr>
            </w:pPr>
            <w:r w:rsidRPr="00DE7296">
              <w:rPr>
                <w:b/>
                <w:sz w:val="28"/>
                <w:szCs w:val="28"/>
              </w:rPr>
              <w:t>Zasady kodeksu karnego:</w:t>
            </w:r>
          </w:p>
          <w:p w14:paraId="27DBAFDC" w14:textId="77777777" w:rsidR="00C2655C" w:rsidRPr="00DE7296" w:rsidRDefault="00C2655C" w:rsidP="00DE7296">
            <w:pPr>
              <w:pStyle w:val="Akapitzlist"/>
              <w:numPr>
                <w:ilvl w:val="0"/>
                <w:numId w:val="15"/>
              </w:numPr>
              <w:rPr>
                <w:b/>
                <w:bCs/>
              </w:rPr>
            </w:pPr>
            <w:r w:rsidRPr="00DE7296">
              <w:rPr>
                <w:b/>
                <w:bCs/>
              </w:rPr>
              <w:t>Zasada swobodnego uznania sędziowskiego w granicach określonych w ustawie</w:t>
            </w:r>
          </w:p>
          <w:p w14:paraId="31F6430B" w14:textId="77777777" w:rsidR="00C2655C" w:rsidRPr="00C2655C" w:rsidRDefault="00C2655C" w:rsidP="00C2655C">
            <w:r w:rsidRPr="00C2655C">
              <w:t>Zasada ściśle związana z zasadą niezawisłości sędziowskiej i niezależności sądów. </w:t>
            </w:r>
            <w:hyperlink r:id="rId9" w:tooltip="Kodeks karny (1997)" w:history="1">
              <w:r w:rsidRPr="00C2655C">
                <w:rPr>
                  <w:rStyle w:val="Hipercze"/>
                  <w:color w:val="auto"/>
                  <w:u w:val="none"/>
                </w:rPr>
                <w:t>Kodeks karny</w:t>
              </w:r>
            </w:hyperlink>
            <w:r>
              <w:t xml:space="preserve"> </w:t>
            </w:r>
            <w:r w:rsidRPr="00C2655C">
              <w:t>przyznaje sędziemu swobodne uznanie w wymiarze kary lub środka karnego w granicach przewidzianych przez ustawę. Sąd może poruszać się w granicach oznaczonych</w:t>
            </w:r>
            <w:r>
              <w:t xml:space="preserve"> dolną i górną granicą zagrożenia</w:t>
            </w:r>
            <w:r w:rsidRPr="00C2655C">
              <w:t xml:space="preserve"> sankcją. Ogra</w:t>
            </w:r>
            <w:r>
              <w:t>niczony jest okolicznościami ;</w:t>
            </w:r>
            <w:r w:rsidRPr="00C2655C">
              <w:t xml:space="preserve"> w szczególności:</w:t>
            </w:r>
          </w:p>
          <w:p w14:paraId="4F76D8B5" w14:textId="77777777" w:rsidR="00C2655C" w:rsidRPr="00C2655C" w:rsidRDefault="00C2655C" w:rsidP="00C2655C">
            <w:pPr>
              <w:numPr>
                <w:ilvl w:val="0"/>
                <w:numId w:val="10"/>
              </w:numPr>
            </w:pPr>
            <w:r w:rsidRPr="00C2655C">
              <w:t>motywacja i sposób zachowania się sprawcy,</w:t>
            </w:r>
          </w:p>
          <w:p w14:paraId="1D647E2F" w14:textId="77777777" w:rsidR="00C2655C" w:rsidRPr="00C2655C" w:rsidRDefault="00C2655C" w:rsidP="00C2655C">
            <w:pPr>
              <w:numPr>
                <w:ilvl w:val="0"/>
                <w:numId w:val="10"/>
              </w:numPr>
            </w:pPr>
            <w:r w:rsidRPr="00C2655C">
              <w:t>popełnienie przestępstwa wspólnie z nieletnim,</w:t>
            </w:r>
          </w:p>
          <w:p w14:paraId="3349902A" w14:textId="77777777" w:rsidR="00C2655C" w:rsidRPr="00C2655C" w:rsidRDefault="00C2655C" w:rsidP="00C2655C">
            <w:pPr>
              <w:numPr>
                <w:ilvl w:val="0"/>
                <w:numId w:val="10"/>
              </w:numPr>
            </w:pPr>
            <w:r w:rsidRPr="00C2655C">
              <w:t>rodzaj i stopień naruszenia ciążących na sprawcy obowiązków,</w:t>
            </w:r>
          </w:p>
          <w:p w14:paraId="282C72DA" w14:textId="77777777" w:rsidR="00C2655C" w:rsidRPr="00C2655C" w:rsidRDefault="00C2655C" w:rsidP="00C2655C">
            <w:pPr>
              <w:numPr>
                <w:ilvl w:val="0"/>
                <w:numId w:val="10"/>
              </w:numPr>
            </w:pPr>
            <w:r w:rsidRPr="00C2655C">
              <w:t>rodzaj i rozmiar ujemnych następstw przestępstwa,</w:t>
            </w:r>
          </w:p>
          <w:p w14:paraId="4C3ED5A2" w14:textId="77777777" w:rsidR="00C2655C" w:rsidRPr="00C2655C" w:rsidRDefault="00C2655C" w:rsidP="00C2655C">
            <w:pPr>
              <w:numPr>
                <w:ilvl w:val="0"/>
                <w:numId w:val="10"/>
              </w:numPr>
            </w:pPr>
            <w:r w:rsidRPr="00C2655C">
              <w:t xml:space="preserve">właściwości i warunki osobiste </w:t>
            </w:r>
            <w:r w:rsidRPr="00C2655C">
              <w:lastRenderedPageBreak/>
              <w:t>sprawcy,</w:t>
            </w:r>
          </w:p>
          <w:p w14:paraId="219689C9" w14:textId="77777777" w:rsidR="00C2655C" w:rsidRPr="00C2655C" w:rsidRDefault="00C2655C" w:rsidP="00C2655C">
            <w:pPr>
              <w:numPr>
                <w:ilvl w:val="0"/>
                <w:numId w:val="10"/>
              </w:numPr>
            </w:pPr>
            <w:r w:rsidRPr="00C2655C">
              <w:t>sposób życia przed popełnieniem przestępstwa i zachowanie się po jego popełnieniu,</w:t>
            </w:r>
          </w:p>
          <w:p w14:paraId="2730A702" w14:textId="77777777" w:rsidR="00C2655C" w:rsidRPr="00C2655C" w:rsidRDefault="00C2655C" w:rsidP="00C2655C">
            <w:pPr>
              <w:numPr>
                <w:ilvl w:val="0"/>
                <w:numId w:val="10"/>
              </w:numPr>
            </w:pPr>
            <w:r w:rsidRPr="00C2655C">
              <w:t>dążenie do naprawienia szkody lub zadośćuczynienia w innej formie społecznemu poczuciu sprawiedliwości,</w:t>
            </w:r>
          </w:p>
          <w:p w14:paraId="1083BA0B" w14:textId="77777777" w:rsidR="00C2655C" w:rsidRPr="00C2655C" w:rsidRDefault="00C2655C" w:rsidP="00C2655C">
            <w:pPr>
              <w:numPr>
                <w:ilvl w:val="0"/>
                <w:numId w:val="10"/>
              </w:numPr>
            </w:pPr>
            <w:r w:rsidRPr="00C2655C">
              <w:t>zachowanie się pokrzywdzonego.</w:t>
            </w:r>
          </w:p>
          <w:p w14:paraId="2884E1F5" w14:textId="77777777" w:rsidR="00DE7296" w:rsidRPr="00DE7296" w:rsidRDefault="00DE7296" w:rsidP="00DE7296">
            <w:pPr>
              <w:pStyle w:val="Akapitzlist"/>
              <w:numPr>
                <w:ilvl w:val="0"/>
                <w:numId w:val="15"/>
              </w:numPr>
              <w:rPr>
                <w:b/>
                <w:bCs/>
              </w:rPr>
            </w:pPr>
            <w:r w:rsidRPr="00DE7296">
              <w:rPr>
                <w:b/>
                <w:bCs/>
              </w:rPr>
              <w:t>Zasada społecznej szkodliwości</w:t>
            </w:r>
            <w:r w:rsidR="008356C7">
              <w:rPr>
                <w:b/>
                <w:bCs/>
              </w:rPr>
              <w:t xml:space="preserve"> czynu</w:t>
            </w:r>
          </w:p>
          <w:p w14:paraId="0CDD430F" w14:textId="77777777" w:rsidR="00DE7296" w:rsidRPr="009630DA" w:rsidRDefault="00DE7296" w:rsidP="00DE7296">
            <w:r w:rsidRPr="009630DA">
              <w:t>Szkodliwość społeczną czynu ustala się osobno w każdym przypadku. Oceniając społeczną szkodliwość sąd bierze pod uwagę:</w:t>
            </w:r>
          </w:p>
          <w:p w14:paraId="1F623BC4" w14:textId="77777777" w:rsidR="00DE7296" w:rsidRPr="009630DA" w:rsidRDefault="00DE7296" w:rsidP="00DE7296">
            <w:pPr>
              <w:numPr>
                <w:ilvl w:val="0"/>
                <w:numId w:val="14"/>
              </w:numPr>
            </w:pPr>
            <w:r w:rsidRPr="009630DA">
              <w:t>rodzaj i charakter naruszonego dobra,</w:t>
            </w:r>
          </w:p>
          <w:p w14:paraId="169B9337" w14:textId="77777777" w:rsidR="00DE7296" w:rsidRPr="009630DA" w:rsidRDefault="00DE7296" w:rsidP="00DE7296">
            <w:pPr>
              <w:numPr>
                <w:ilvl w:val="0"/>
                <w:numId w:val="14"/>
              </w:numPr>
            </w:pPr>
            <w:r w:rsidRPr="009630DA">
              <w:t>rozmiary wyrządzonej lub grożącej szkody,</w:t>
            </w:r>
          </w:p>
          <w:p w14:paraId="696B639E" w14:textId="77777777" w:rsidR="00DE7296" w:rsidRPr="009630DA" w:rsidRDefault="00DE7296" w:rsidP="00DE7296">
            <w:pPr>
              <w:numPr>
                <w:ilvl w:val="0"/>
                <w:numId w:val="14"/>
              </w:numPr>
            </w:pPr>
            <w:r w:rsidRPr="009630DA">
              <w:t>sposób i okoliczności popełnienia czynu,</w:t>
            </w:r>
          </w:p>
          <w:p w14:paraId="57D99EE8" w14:textId="77777777" w:rsidR="00DE7296" w:rsidRPr="009630DA" w:rsidRDefault="00DE7296" w:rsidP="00DE7296">
            <w:pPr>
              <w:numPr>
                <w:ilvl w:val="0"/>
                <w:numId w:val="14"/>
              </w:numPr>
            </w:pPr>
            <w:r w:rsidRPr="009630DA">
              <w:t>wagę naruszonych przez sprawcę obowiązków,</w:t>
            </w:r>
          </w:p>
          <w:p w14:paraId="52B20372" w14:textId="77777777" w:rsidR="00DE7296" w:rsidRPr="009630DA" w:rsidRDefault="00DE7296" w:rsidP="00DE7296">
            <w:pPr>
              <w:numPr>
                <w:ilvl w:val="0"/>
                <w:numId w:val="14"/>
              </w:numPr>
            </w:pPr>
            <w:r w:rsidRPr="009630DA">
              <w:t>postać </w:t>
            </w:r>
            <w:hyperlink r:id="rId10" w:tooltip="Zamiar" w:history="1">
              <w:r w:rsidRPr="009630DA">
                <w:rPr>
                  <w:rStyle w:val="Hipercze"/>
                  <w:color w:val="auto"/>
                  <w:u w:val="none"/>
                </w:rPr>
                <w:t>zamiaru</w:t>
              </w:r>
            </w:hyperlink>
            <w:r w:rsidRPr="009630DA">
              <w:t>,</w:t>
            </w:r>
          </w:p>
          <w:p w14:paraId="123B0C1A" w14:textId="77777777" w:rsidR="00DE7296" w:rsidRPr="009630DA" w:rsidRDefault="00DE7296" w:rsidP="00DE7296">
            <w:pPr>
              <w:numPr>
                <w:ilvl w:val="0"/>
                <w:numId w:val="14"/>
              </w:numPr>
            </w:pPr>
            <w:r w:rsidRPr="009630DA">
              <w:t>motywację sprawcy,</w:t>
            </w:r>
          </w:p>
          <w:p w14:paraId="7E4BF332" w14:textId="77777777" w:rsidR="00DE7296" w:rsidRPr="009630DA" w:rsidRDefault="00DE7296" w:rsidP="00DE7296">
            <w:pPr>
              <w:numPr>
                <w:ilvl w:val="0"/>
                <w:numId w:val="14"/>
              </w:numPr>
            </w:pPr>
            <w:r w:rsidRPr="009630DA">
              <w:t>rodzaj naruszonych reguł ostrożności i stopień ich naruszenia.</w:t>
            </w:r>
          </w:p>
          <w:p w14:paraId="42BDB662" w14:textId="77777777" w:rsidR="00C2655C" w:rsidRPr="00352254" w:rsidRDefault="00C2655C" w:rsidP="00352254"/>
          <w:p w14:paraId="030A92C4" w14:textId="77777777" w:rsidR="00352254" w:rsidRDefault="00352254"/>
        </w:tc>
        <w:tc>
          <w:tcPr>
            <w:tcW w:w="4715" w:type="dxa"/>
          </w:tcPr>
          <w:p w14:paraId="47AD0F6B" w14:textId="77777777" w:rsidR="003E29DB" w:rsidRDefault="00D870E0" w:rsidP="003E29DB">
            <w:r w:rsidRPr="003F30B4">
              <w:rPr>
                <w:highlight w:val="yellow"/>
              </w:rPr>
              <w:lastRenderedPageBreak/>
              <w:t>Z treści umowy</w:t>
            </w:r>
            <w:r w:rsidR="003E1F8C">
              <w:t xml:space="preserve"> -</w:t>
            </w:r>
            <w:r>
              <w:t xml:space="preserve"> </w:t>
            </w:r>
            <w:r w:rsidR="003E29DB" w:rsidRPr="003E29DB">
              <w:t>wynikająca z niewykonania lub nienależytego wykonania obowiązku, który powstał na podstawie czynności prawnej i obejmująca obowiązek naprawienia wynikłej z tego szkody.</w:t>
            </w:r>
          </w:p>
          <w:p w14:paraId="553547C6" w14:textId="77777777" w:rsidR="00DD325F" w:rsidRDefault="00A13757" w:rsidP="003E29DB">
            <w:r>
              <w:t>J</w:t>
            </w:r>
            <w:r w:rsidR="00DD325F">
              <w:t xml:space="preserve">ak w przypadku każdej </w:t>
            </w:r>
            <w:r w:rsidR="00DD325F" w:rsidRPr="00DD325F">
              <w:t>odpowiedzia</w:t>
            </w:r>
            <w:r w:rsidR="00DD325F">
              <w:t>lno</w:t>
            </w:r>
            <w:r w:rsidR="00DD325F" w:rsidRPr="00DD325F">
              <w:t>ści cywilnej, jej przesłankami są:</w:t>
            </w:r>
          </w:p>
          <w:p w14:paraId="780F67D8" w14:textId="77777777" w:rsidR="00DD325F" w:rsidRDefault="00DD325F" w:rsidP="003E29DB">
            <w:r>
              <w:t>*</w:t>
            </w:r>
            <w:r w:rsidRPr="00DD325F">
              <w:t xml:space="preserve"> zdarzenie, z którym prawo wiąże czyjąś odpowiedzialność,</w:t>
            </w:r>
          </w:p>
          <w:p w14:paraId="020FBF69" w14:textId="77777777" w:rsidR="00DD325F" w:rsidRDefault="00DD325F" w:rsidP="003E29DB">
            <w:r>
              <w:t>*</w:t>
            </w:r>
            <w:r w:rsidRPr="00DD325F">
              <w:t xml:space="preserve"> szkoda (przy czym chodzi tu wyłącznie o szkodę majątkową, jaką poniósł sam poszkodowany) oraz</w:t>
            </w:r>
          </w:p>
          <w:p w14:paraId="312ECF06" w14:textId="77777777" w:rsidR="00DD325F" w:rsidRDefault="00DD325F" w:rsidP="003E29DB">
            <w:r>
              <w:t>*</w:t>
            </w:r>
            <w:r w:rsidRPr="00DD325F">
              <w:t xml:space="preserve"> związek przyczynowy między zdarzeniem a szkodą.</w:t>
            </w:r>
          </w:p>
          <w:p w14:paraId="6BC8F5A4" w14:textId="77777777" w:rsidR="00DD325F" w:rsidRDefault="00DD325F" w:rsidP="00DD325F">
            <w:r w:rsidRPr="00DD325F">
              <w:t xml:space="preserve"> </w:t>
            </w:r>
            <w:r>
              <w:t xml:space="preserve">    </w:t>
            </w:r>
            <w:r w:rsidRPr="00DD325F">
              <w:t xml:space="preserve">Dłużnik odpowiada </w:t>
            </w:r>
            <w:r w:rsidRPr="00DD325F">
              <w:rPr>
                <w:highlight w:val="yellow"/>
              </w:rPr>
              <w:t>zarówno za stratę, jak i za utracone korzyści.</w:t>
            </w:r>
            <w:r w:rsidRPr="00DD325F">
              <w:t xml:space="preserve"> Za stratę uważa się wartość świadczenia utraconego przez wierzyciela (przy niewykonaniu zobowiązania) lub zmniejszoną wartość umówionego świadczenia (przy nienależytym wykonaniu zobowiązania). Do szkody zaliczyć można ponadto wydatki, jakie wierzyciel poniósł celem zrekompensowania szkody (np. zapłata odszkodowania lub kary umownej za niewykonanie własnego zobowiązania), a także tzw. szkody następcze, </w:t>
            </w:r>
            <w:r w:rsidRPr="00DD325F">
              <w:lastRenderedPageBreak/>
              <w:t>czyli takie, które są rezultatem nienależytego wykonania zobowiązania (np. powstawanie zacieków na ścianach z powodu złej jakości materiałów budowlanych). Przy rozpatrywaniu utraconych korzyści należy się zastanowić, czy istnieje wystarczająco wysoki stopień prawdopodobieństwa uzyskania spodziewanych korzyści.</w:t>
            </w:r>
            <w:r w:rsidRPr="00DD325F">
              <w:br/>
            </w:r>
            <w:r w:rsidRPr="00DD325F">
              <w:br/>
            </w:r>
            <w:r>
              <w:t xml:space="preserve">     </w:t>
            </w:r>
            <w:r w:rsidRPr="00DD325F">
              <w:rPr>
                <w:b/>
              </w:rPr>
              <w:t>Ciężar udowodnienia</w:t>
            </w:r>
            <w:r w:rsidRPr="00DD325F">
              <w:t>, że wierzyciel poniósł szkodę, że dłużnik nie wykonał zobowiązania lub wykonał je nienależycie oraz że pomiędzy działaniem dłużnika i wierzyciela zachodzi związek przyczynowy spoczywa na wierzycielu. Ustanowiono jednakże domniemanie prawne, że niewykonanie lub nienależyte wykonanie zobowiązania przez dłużnika nastąpiło na skutek okoliczności, za które dłużnik ponosi odpowiedzialność (z winy dłużnika lub osób, za które on odpowiada).</w:t>
            </w:r>
            <w:r w:rsidRPr="003E29DB">
              <w:t xml:space="preserve"> </w:t>
            </w:r>
            <w:r>
              <w:t xml:space="preserve"> Nie ma zatem wierzyciel</w:t>
            </w:r>
            <w:r w:rsidRPr="003E29DB">
              <w:t xml:space="preserve"> obowiązku udowodnienia winy dłużnika</w:t>
            </w:r>
            <w:r>
              <w:t xml:space="preserve">, lecz dłużnik ma obowiązek dowodzić, że istnieją okoliczności </w:t>
            </w:r>
            <w:proofErr w:type="spellStart"/>
            <w:r>
              <w:t>ekskulpujące</w:t>
            </w:r>
            <w:proofErr w:type="spellEnd"/>
            <w:r>
              <w:t>.</w:t>
            </w:r>
          </w:p>
          <w:p w14:paraId="17848AF8" w14:textId="77777777" w:rsidR="00DD325F" w:rsidRDefault="00DD325F" w:rsidP="00DD325F"/>
          <w:p w14:paraId="52D3FF45" w14:textId="77777777" w:rsidR="00DD325F" w:rsidRDefault="00DD325F" w:rsidP="003E29DB">
            <w:r>
              <w:t xml:space="preserve">       </w:t>
            </w:r>
            <w:r w:rsidRPr="00DD325F">
              <w:rPr>
                <w:highlight w:val="yellow"/>
              </w:rPr>
              <w:t>Odpowiedzialność kontraktowa oparta została na zasadzie winy, można więc ją przypisać jedynie osobie poczytalnej</w:t>
            </w:r>
            <w:r w:rsidRPr="00DD325F">
              <w:t xml:space="preserve">. Dłużnik z reguły odpowiada </w:t>
            </w:r>
            <w:r w:rsidRPr="00DD325F">
              <w:rPr>
                <w:highlight w:val="yellow"/>
              </w:rPr>
              <w:t>za każdy stopień winy (inaczej niż w prawie karnym).</w:t>
            </w:r>
            <w:r w:rsidRPr="00DD325F">
              <w:t xml:space="preserve"> Już samo podjęcie się prze niego wykonania </w:t>
            </w:r>
            <w:r w:rsidRPr="00DD325F">
              <w:lastRenderedPageBreak/>
              <w:t xml:space="preserve">określonego świadczenia, które przerasta jego możliwości i kwalifikacje nosi znamiona winy. Najwyższym stopniem winy jest wina umyślna, która polega na tym, że dłużnik chce naruszyć ciążące na nim obowiązki (w tzw. zamiarze bezpośrednim łac. dolus </w:t>
            </w:r>
            <w:proofErr w:type="spellStart"/>
            <w:r w:rsidRPr="00DD325F">
              <w:t>directus</w:t>
            </w:r>
            <w:proofErr w:type="spellEnd"/>
            <w:r w:rsidRPr="00DD325F">
              <w:t xml:space="preserve">), albo na tym, że dłużnik przewiduje możliwość naruszenia swoich obowiązków i na to się godzi (w zamiarze ewentualnym, łac. dolus </w:t>
            </w:r>
            <w:proofErr w:type="spellStart"/>
            <w:r w:rsidRPr="00DD325F">
              <w:t>eventualis</w:t>
            </w:r>
            <w:proofErr w:type="spellEnd"/>
            <w:r w:rsidRPr="00DD325F">
              <w:t>).</w:t>
            </w:r>
          </w:p>
          <w:p w14:paraId="29F4D63B" w14:textId="77777777" w:rsidR="00DD325F" w:rsidRPr="003E29DB" w:rsidRDefault="00DD325F" w:rsidP="003E29DB">
            <w:r>
              <w:t xml:space="preserve">     </w:t>
            </w:r>
            <w:r w:rsidRPr="00DD325F">
              <w:t xml:space="preserve"> Wina nieumyślna </w:t>
            </w:r>
            <w:r>
              <w:t xml:space="preserve">w prawie cywilnym jest </w:t>
            </w:r>
            <w:r w:rsidRPr="00DD325F">
              <w:t xml:space="preserve"> nazywana niedbalstwem i obejmuje sytuacje, gdy dłużnik nie dochowuje należytej staranności, mimo że powinien i mógł się zachować zgodnie ze swoim obowiązkiem. Same strony mogą w drodze umowy rozszerzyć lub złagodzić odpowiedzialność dłużnika, z zastrzeżeniem, że </w:t>
            </w:r>
            <w:r w:rsidRPr="00DD325F">
              <w:rPr>
                <w:highlight w:val="yellow"/>
              </w:rPr>
              <w:t>niedopuszczalne jest wyłączenie odpowiedzialności za winę umyślną.</w:t>
            </w:r>
            <w:r w:rsidRPr="00DD325F">
              <w:br/>
            </w:r>
            <w:r w:rsidRPr="00DD325F">
              <w:br/>
            </w:r>
            <w:r>
              <w:t xml:space="preserve">      </w:t>
            </w:r>
            <w:r w:rsidRPr="00DD325F">
              <w:t xml:space="preserve">Wyjątkowo dłużnik </w:t>
            </w:r>
            <w:r w:rsidRPr="00DD325F">
              <w:rPr>
                <w:highlight w:val="yellow"/>
              </w:rPr>
              <w:t>może odpowiadać nie tylko za własne działania lub zaniechania (swoją winę), ale także za inne osoby</w:t>
            </w:r>
            <w:r w:rsidRPr="00DD325F">
              <w:t xml:space="preserve">, z pomocą których wykonuje zobowiązanie, albo które wykonują je samodzielnie w całości lub części z jego polecenia, jak również za swoich przedstawicieli ustawowych. Dłużnik odpowiada za działania i zaniechania tych osób jak za własne, gdy można im przypisać winę polegającą na niezachowaniu należytej staranności. Taka odpowiedzialność dłużnika </w:t>
            </w:r>
            <w:r w:rsidRPr="00DD325F">
              <w:lastRenderedPageBreak/>
              <w:t xml:space="preserve">opiera </w:t>
            </w:r>
            <w:r w:rsidRPr="00DD325F">
              <w:rPr>
                <w:highlight w:val="yellow"/>
              </w:rPr>
              <w:t>się na zasadzie ryzyka, choć jej przesłanką jest wina innej osoby</w:t>
            </w:r>
            <w:r w:rsidRPr="00DD325F">
              <w:t>.</w:t>
            </w:r>
          </w:p>
          <w:p w14:paraId="30CB58F2" w14:textId="77777777" w:rsidR="003E29DB" w:rsidRPr="003E29DB" w:rsidRDefault="009630DA" w:rsidP="003E29DB">
            <w:r>
              <w:t xml:space="preserve">            </w:t>
            </w:r>
            <w:r w:rsidR="003E29DB" w:rsidRPr="003E29DB">
              <w:t>W prawie polskim odpowiedzialność kontraktowa opiera się na art. 471 </w:t>
            </w:r>
            <w:r w:rsidR="003E29DB">
              <w:t xml:space="preserve">k.c. </w:t>
            </w:r>
            <w:r w:rsidR="003E29DB" w:rsidRPr="003E29DB">
              <w:t>: </w:t>
            </w:r>
            <w:r w:rsidR="003E29DB" w:rsidRPr="003E29DB">
              <w:rPr>
                <w:i/>
                <w:iCs/>
              </w:rPr>
              <w:t>Dłużnik obowiązany jest do naprawienia szkody wynikłej z niewykonania lub nienależytego wykonania zobowiązania, chyba że niewykonanie lub nienależyte wykonanie jest następstwem okoliczności, za które dłużnik odpowiedzialności nie ponosi.</w:t>
            </w:r>
          </w:p>
          <w:p w14:paraId="042008A5" w14:textId="77777777" w:rsidR="003E29DB" w:rsidRPr="003E29DB" w:rsidRDefault="009630DA" w:rsidP="003E29DB">
            <w:r>
              <w:t xml:space="preserve">           </w:t>
            </w:r>
            <w:r w:rsidR="003E29DB" w:rsidRPr="003E29DB">
              <w:t xml:space="preserve">Winą dłużnika jest zarówno zamiar niewywiązania się ze zobowiązania, jak również nieumyślne niedochowanie należytej staranności przy jego wykonywaniu. Co do zasady natomiast </w:t>
            </w:r>
            <w:r w:rsidR="003E29DB" w:rsidRPr="00DD325F">
              <w:rPr>
                <w:highlight w:val="yellow"/>
              </w:rPr>
              <w:t>dłużnik nie odpowiada za przypadek.</w:t>
            </w:r>
          </w:p>
          <w:p w14:paraId="5BF8556A" w14:textId="77777777" w:rsidR="00D870E0" w:rsidRDefault="00D870E0" w:rsidP="003E29DB"/>
        </w:tc>
        <w:tc>
          <w:tcPr>
            <w:tcW w:w="4715" w:type="dxa"/>
          </w:tcPr>
          <w:p w14:paraId="60F1BB8B" w14:textId="77777777" w:rsidR="007B311A" w:rsidRDefault="00D870E0">
            <w:r w:rsidRPr="003F30B4">
              <w:rPr>
                <w:highlight w:val="yellow"/>
              </w:rPr>
              <w:lastRenderedPageBreak/>
              <w:t>Z czynu niedozwolonego</w:t>
            </w:r>
          </w:p>
          <w:p w14:paraId="34B49CE3" w14:textId="77777777" w:rsidR="003E29DB" w:rsidRPr="003E29DB" w:rsidRDefault="003F30B4" w:rsidP="003E29DB">
            <w:r>
              <w:t xml:space="preserve">      </w:t>
            </w:r>
            <w:r w:rsidR="003E29DB" w:rsidRPr="003E29DB">
              <w:t>Wyróżnia się ją ze względu na źródło</w:t>
            </w:r>
            <w:r w:rsidR="003E29DB">
              <w:t xml:space="preserve"> </w:t>
            </w:r>
            <w:hyperlink r:id="rId11" w:tooltip="Zobowiązanie" w:history="1">
              <w:r w:rsidR="003E29DB" w:rsidRPr="003F30B4">
                <w:rPr>
                  <w:rStyle w:val="Hipercze"/>
                  <w:color w:val="auto"/>
                  <w:u w:val="none"/>
                </w:rPr>
                <w:t>zobowiązania</w:t>
              </w:r>
            </w:hyperlink>
            <w:r w:rsidR="003E29DB" w:rsidRPr="003E29DB">
              <w:t>, którym jest dopuszczenie się</w:t>
            </w:r>
            <w:r w:rsidR="003E29DB" w:rsidRPr="003E1F8C">
              <w:rPr>
                <w:color w:val="FF0000"/>
              </w:rPr>
              <w:t> </w:t>
            </w:r>
            <w:hyperlink r:id="rId12" w:tooltip="Czyn niedozwolony" w:history="1">
              <w:r w:rsidR="003E29DB" w:rsidRPr="003F30B4">
                <w:rPr>
                  <w:rStyle w:val="Hipercze"/>
                  <w:color w:val="auto"/>
                  <w:u w:val="none"/>
                </w:rPr>
                <w:t>czynu niedozwolonego</w:t>
              </w:r>
            </w:hyperlink>
            <w:r w:rsidR="003E29DB" w:rsidRPr="003E29DB">
              <w:t>. Zdarzenie to powoduje powstanie między sprawcą a poszkodowanym (wyjątkowo - również między sprawcą a inną osobą) cywilnoprawnego stosunku zobowiązaniowego.</w:t>
            </w:r>
          </w:p>
          <w:p w14:paraId="0FF37EB1" w14:textId="77777777" w:rsidR="003E29DB" w:rsidRPr="003E29DB" w:rsidRDefault="003F30B4" w:rsidP="003E29DB">
            <w:r>
              <w:t xml:space="preserve">        </w:t>
            </w:r>
            <w:r w:rsidR="003E29DB" w:rsidRPr="003E29DB">
              <w:t>Odpowiedzialność deliktowa jako specyficzny reżim odpowiedzialności jest znana w prawie już od czasów starożytnych. Obecny zrąb unormowań odpowiedzialności deliktowej w systemach </w:t>
            </w:r>
            <w:hyperlink r:id="rId13" w:tooltip="System prawa kontynentalnego" w:history="1">
              <w:r w:rsidR="003E29DB" w:rsidRPr="003E1F8C">
                <w:rPr>
                  <w:rStyle w:val="Hipercze"/>
                  <w:color w:val="000000" w:themeColor="text1"/>
                  <w:u w:val="none"/>
                </w:rPr>
                <w:t>prawa kontynentalnego</w:t>
              </w:r>
            </w:hyperlink>
            <w:r w:rsidR="003E29DB" w:rsidRPr="003E29DB">
              <w:t> wywodzi się zasadniczo z </w:t>
            </w:r>
            <w:hyperlink r:id="rId14" w:tooltip="Prawo rzymskie" w:history="1">
              <w:r w:rsidR="003E29DB" w:rsidRPr="003E1F8C">
                <w:rPr>
                  <w:rStyle w:val="Hipercze"/>
                  <w:color w:val="auto"/>
                  <w:u w:val="none"/>
                </w:rPr>
                <w:t>prawa rzymskiego</w:t>
              </w:r>
            </w:hyperlink>
            <w:r w:rsidR="003E29DB" w:rsidRPr="003E29DB">
              <w:t>. W systemach prawa rodziny</w:t>
            </w:r>
            <w:r w:rsidR="003E1F8C" w:rsidRPr="003E1F8C">
              <w:t xml:space="preserve"> </w:t>
            </w:r>
            <w:hyperlink r:id="rId15" w:tooltip="Common law" w:history="1">
              <w:proofErr w:type="spellStart"/>
              <w:r w:rsidR="003E29DB" w:rsidRPr="003E1F8C">
                <w:rPr>
                  <w:rStyle w:val="Hipercze"/>
                  <w:i/>
                  <w:iCs/>
                  <w:color w:val="auto"/>
                  <w:u w:val="none"/>
                </w:rPr>
                <w:t>common</w:t>
              </w:r>
              <w:proofErr w:type="spellEnd"/>
              <w:r w:rsidR="003E29DB" w:rsidRPr="003E1F8C">
                <w:rPr>
                  <w:rStyle w:val="Hipercze"/>
                  <w:i/>
                  <w:iCs/>
                  <w:color w:val="auto"/>
                  <w:u w:val="none"/>
                </w:rPr>
                <w:t xml:space="preserve"> law</w:t>
              </w:r>
            </w:hyperlink>
            <w:r w:rsidR="003E29DB" w:rsidRPr="003E29DB">
              <w:t> analogiczna do odpowiedzialności deliktowej jest odpowiedzialność z tytułu </w:t>
            </w:r>
            <w:proofErr w:type="spellStart"/>
            <w:r w:rsidR="003E29DB" w:rsidRPr="003F30B4">
              <w:rPr>
                <w:i/>
                <w:iCs/>
                <w:u w:val="single"/>
              </w:rPr>
              <w:t>torts</w:t>
            </w:r>
            <w:proofErr w:type="spellEnd"/>
            <w:r w:rsidR="003E29DB" w:rsidRPr="003F30B4">
              <w:rPr>
                <w:u w:val="single"/>
              </w:rPr>
              <w:t>.</w:t>
            </w:r>
          </w:p>
          <w:p w14:paraId="0B50180F" w14:textId="77777777" w:rsidR="003E1F8C" w:rsidRDefault="003F30B4" w:rsidP="003E29DB">
            <w:pPr>
              <w:rPr>
                <w:rStyle w:val="Hipercze"/>
                <w:color w:val="auto"/>
                <w:u w:val="none"/>
              </w:rPr>
            </w:pPr>
            <w:r>
              <w:t xml:space="preserve">      </w:t>
            </w:r>
            <w:r w:rsidR="003E29DB" w:rsidRPr="003E29DB">
              <w:t>W polskim </w:t>
            </w:r>
            <w:r w:rsidR="00F549BE">
              <w:fldChar w:fldCharType="begin"/>
            </w:r>
            <w:r w:rsidR="00F549BE">
              <w:instrText xml:space="preserve"> HYPERLINK "http://pl.wikipedia.org/wiki/Prawo_cywilne" \o "Prawo cywilne" </w:instrText>
            </w:r>
            <w:r w:rsidR="00F549BE">
              <w:fldChar w:fldCharType="separate"/>
            </w:r>
            <w:r w:rsidR="003E1F8C">
              <w:rPr>
                <w:rStyle w:val="Hipercze"/>
                <w:color w:val="auto"/>
                <w:u w:val="none"/>
              </w:rPr>
              <w:t>prawie</w:t>
            </w:r>
            <w:r>
              <w:rPr>
                <w:rStyle w:val="Hipercze"/>
                <w:color w:val="auto"/>
                <w:u w:val="none"/>
              </w:rPr>
              <w:t xml:space="preserve">  odpowiedzialność</w:t>
            </w:r>
          </w:p>
          <w:p w14:paraId="1AB79D11" w14:textId="77777777" w:rsidR="003E29DB" w:rsidRPr="003E29DB" w:rsidRDefault="00F549BE" w:rsidP="003E29DB">
            <w:r>
              <w:rPr>
                <w:rStyle w:val="Hipercze"/>
              </w:rPr>
              <w:fldChar w:fldCharType="end"/>
            </w:r>
            <w:r w:rsidR="003E29DB" w:rsidRPr="003E29DB">
              <w:t xml:space="preserve"> z tytułu czynów niedozwolonych regulują przepisy art. 415-449 </w:t>
            </w:r>
            <w:r w:rsidR="003E1F8C">
              <w:t>k.c.</w:t>
            </w:r>
            <w:r w:rsidR="003E29DB" w:rsidRPr="003E29DB">
              <w:t>. Przepisem</w:t>
            </w:r>
            <w:r w:rsidR="003F30B4">
              <w:t xml:space="preserve"> fundamentalnym </w:t>
            </w:r>
            <w:r w:rsidR="003E29DB" w:rsidRPr="003E29DB">
              <w:t>jest art. 415:</w:t>
            </w:r>
            <w:r w:rsidR="003E29DB" w:rsidRPr="003E29DB">
              <w:rPr>
                <w:b/>
                <w:bCs/>
                <w:i/>
                <w:iCs/>
              </w:rPr>
              <w:t>Kto z winy swej wyrządził drugiemu szkodę, obowiązany jest do jej naprawienia.</w:t>
            </w:r>
            <w:r w:rsidR="003F30B4">
              <w:rPr>
                <w:b/>
                <w:bCs/>
                <w:i/>
                <w:iCs/>
              </w:rPr>
              <w:t xml:space="preserve"> </w:t>
            </w:r>
            <w:r w:rsidR="003E29DB" w:rsidRPr="003E29DB">
              <w:t xml:space="preserve">Odpowiedzialność deliktową regulują również ogólne </w:t>
            </w:r>
            <w:r w:rsidR="003E29DB" w:rsidRPr="003E29DB">
              <w:lastRenderedPageBreak/>
              <w:t>przepisy </w:t>
            </w:r>
            <w:hyperlink r:id="rId16" w:tooltip="Prawa zobowiązań (strona nie istnieje)" w:history="1">
              <w:r w:rsidR="003E29DB" w:rsidRPr="003E1F8C">
                <w:rPr>
                  <w:rStyle w:val="Hipercze"/>
                  <w:color w:val="auto"/>
                  <w:u w:val="none"/>
                </w:rPr>
                <w:t>prawa zobowiązań</w:t>
              </w:r>
            </w:hyperlink>
            <w:r w:rsidR="003E29DB" w:rsidRPr="003E29DB">
              <w:t>, zawarte w art. 353-404 Kodeksu cywilnego.</w:t>
            </w:r>
          </w:p>
          <w:p w14:paraId="11114FB3" w14:textId="77777777" w:rsidR="00C2655C" w:rsidRDefault="00C2655C" w:rsidP="003E29DB"/>
          <w:p w14:paraId="602B342E" w14:textId="77777777" w:rsidR="003E29DB" w:rsidRPr="003E29DB" w:rsidRDefault="003E29DB" w:rsidP="003E29DB">
            <w:r w:rsidRPr="003E29DB">
              <w:t>Przesłankami odpowiedzialności deliktowej są:</w:t>
            </w:r>
          </w:p>
          <w:p w14:paraId="747DC4B7" w14:textId="77777777" w:rsidR="003E29DB" w:rsidRPr="003F30B4" w:rsidRDefault="003E29DB" w:rsidP="003E29DB">
            <w:pPr>
              <w:numPr>
                <w:ilvl w:val="0"/>
                <w:numId w:val="1"/>
              </w:numPr>
            </w:pPr>
            <w:r w:rsidRPr="003E29DB">
              <w:t>powstanie </w:t>
            </w:r>
            <w:hyperlink r:id="rId17" w:tooltip="Szkoda (prawo)" w:history="1">
              <w:r w:rsidRPr="003F30B4">
                <w:rPr>
                  <w:rStyle w:val="Hipercze"/>
                  <w:b/>
                  <w:color w:val="auto"/>
                  <w:u w:val="none"/>
                </w:rPr>
                <w:t>szkody</w:t>
              </w:r>
            </w:hyperlink>
            <w:r w:rsidRPr="003F30B4">
              <w:t>,</w:t>
            </w:r>
          </w:p>
          <w:p w14:paraId="17F091ED" w14:textId="77777777" w:rsidR="003E29DB" w:rsidRPr="003F30B4" w:rsidRDefault="003E29DB" w:rsidP="003E29DB">
            <w:pPr>
              <w:numPr>
                <w:ilvl w:val="0"/>
                <w:numId w:val="1"/>
              </w:numPr>
              <w:rPr>
                <w:b/>
              </w:rPr>
            </w:pPr>
            <w:r w:rsidRPr="003F30B4">
              <w:t>popełnienie przez sprawcę</w:t>
            </w:r>
            <w:r w:rsidRPr="003F30B4">
              <w:rPr>
                <w:b/>
              </w:rPr>
              <w:t> </w:t>
            </w:r>
            <w:hyperlink r:id="rId18" w:tooltip="Czyn niedozwolony" w:history="1">
              <w:r w:rsidRPr="003F30B4">
                <w:rPr>
                  <w:rStyle w:val="Hipercze"/>
                  <w:b/>
                  <w:color w:val="auto"/>
                  <w:u w:val="none"/>
                </w:rPr>
                <w:t>czynu niedozwolonego</w:t>
              </w:r>
            </w:hyperlink>
            <w:r w:rsidRPr="003F30B4">
              <w:rPr>
                <w:b/>
              </w:rPr>
              <w:t>,</w:t>
            </w:r>
          </w:p>
          <w:p w14:paraId="031AE4E1" w14:textId="77777777" w:rsidR="003E29DB" w:rsidRPr="003F30B4" w:rsidRDefault="00000000" w:rsidP="003E29DB">
            <w:pPr>
              <w:numPr>
                <w:ilvl w:val="0"/>
                <w:numId w:val="1"/>
              </w:numPr>
            </w:pPr>
            <w:hyperlink r:id="rId19" w:tooltip="Związek przyczynowy" w:history="1">
              <w:r w:rsidR="003E29DB" w:rsidRPr="003F30B4">
                <w:rPr>
                  <w:rStyle w:val="Hipercze"/>
                  <w:b/>
                  <w:color w:val="auto"/>
                  <w:u w:val="none"/>
                </w:rPr>
                <w:t>związek przyczynowy</w:t>
              </w:r>
            </w:hyperlink>
            <w:r w:rsidR="003E29DB" w:rsidRPr="003F30B4">
              <w:t> między szkodą a czynem zabronionym,</w:t>
            </w:r>
          </w:p>
          <w:p w14:paraId="39CB2C8F" w14:textId="77777777" w:rsidR="003E29DB" w:rsidRDefault="00000000" w:rsidP="003E29DB">
            <w:pPr>
              <w:numPr>
                <w:ilvl w:val="0"/>
                <w:numId w:val="1"/>
              </w:numPr>
            </w:pPr>
            <w:hyperlink r:id="rId20" w:tooltip="Wina" w:history="1">
              <w:r w:rsidR="003E29DB" w:rsidRPr="003F30B4">
                <w:rPr>
                  <w:rStyle w:val="Hipercze"/>
                  <w:b/>
                  <w:color w:val="auto"/>
                  <w:u w:val="none"/>
                </w:rPr>
                <w:t>wina</w:t>
              </w:r>
            </w:hyperlink>
            <w:r w:rsidR="003E29DB" w:rsidRPr="003F30B4">
              <w:t> sprawcy.</w:t>
            </w:r>
          </w:p>
          <w:p w14:paraId="427932DB" w14:textId="77777777" w:rsidR="008356C7" w:rsidRPr="003F30B4" w:rsidRDefault="008356C7" w:rsidP="008356C7">
            <w:pPr>
              <w:ind w:left="720"/>
            </w:pPr>
          </w:p>
          <w:p w14:paraId="3EA0E249" w14:textId="77777777" w:rsidR="003E29DB" w:rsidRPr="003E29DB" w:rsidRDefault="003F30B4" w:rsidP="003E29DB">
            <w:r>
              <w:t xml:space="preserve">         </w:t>
            </w:r>
            <w:r w:rsidR="003E29DB" w:rsidRPr="003E29DB">
              <w:t>Brak którejkolwiek z tych przesłanek wyłącza odpowiedzialność sprawcy czynu. Zgodnie z ogólną zasadą prawa cywilnego (art. 6 k</w:t>
            </w:r>
            <w:r>
              <w:t>.</w:t>
            </w:r>
            <w:r w:rsidR="003E29DB" w:rsidRPr="003E29DB">
              <w:t>c</w:t>
            </w:r>
            <w:r>
              <w:t>.</w:t>
            </w:r>
            <w:r w:rsidR="003E29DB" w:rsidRPr="003E29DB">
              <w:t>) ciężar dowodu spoczywa na osobie dochodzącej roszczeń z tytułu czynu niedozwolonego, przy czym w przypadku odpowiedzialności za delikt ponoszonej na zasadzie ryzyka wystarczające jest wykazanie powstania szkody, zaś zobowiązany do naprawienia szkody może</w:t>
            </w:r>
            <w:r w:rsidR="003E29DB" w:rsidRPr="003E1F8C">
              <w:t> </w:t>
            </w:r>
            <w:hyperlink r:id="rId21" w:tooltip="Ekskulpacja (strona nie istnieje)" w:history="1">
              <w:r w:rsidR="003E29DB" w:rsidRPr="003E1F8C">
                <w:rPr>
                  <w:rStyle w:val="Hipercze"/>
                  <w:color w:val="auto"/>
                  <w:u w:val="none"/>
                </w:rPr>
                <w:t>ekskulpować</w:t>
              </w:r>
            </w:hyperlink>
            <w:r w:rsidR="003E29DB" w:rsidRPr="003E29DB">
              <w:t> się po wskazaniu przesłanek uwalniających go od odpowiedzialności (tak np. samoistny posiadacz budowli - art. 434 k</w:t>
            </w:r>
            <w:r>
              <w:t>.</w:t>
            </w:r>
            <w:r w:rsidR="003E29DB" w:rsidRPr="003E29DB">
              <w:t>c</w:t>
            </w:r>
            <w:r>
              <w:t>.</w:t>
            </w:r>
            <w:r w:rsidR="003E29DB" w:rsidRPr="003E29DB">
              <w:t xml:space="preserve"> lub posiadacz pojazdu mechanicznego - art. 436 k</w:t>
            </w:r>
            <w:r>
              <w:t>.</w:t>
            </w:r>
            <w:r w:rsidR="003E29DB" w:rsidRPr="003E29DB">
              <w:t>c</w:t>
            </w:r>
            <w:r>
              <w:t>.</w:t>
            </w:r>
            <w:r w:rsidR="003E29DB" w:rsidRPr="003E29DB">
              <w:t>).</w:t>
            </w:r>
          </w:p>
          <w:p w14:paraId="3D15E57C" w14:textId="77777777" w:rsidR="003E29DB" w:rsidRDefault="003E29DB" w:rsidP="003E1F8C"/>
        </w:tc>
      </w:tr>
      <w:tr w:rsidR="007B311A" w14:paraId="78872D98" w14:textId="77777777" w:rsidTr="007B311A">
        <w:tc>
          <w:tcPr>
            <w:tcW w:w="4714" w:type="dxa"/>
          </w:tcPr>
          <w:p w14:paraId="1860F979" w14:textId="77777777" w:rsidR="009630DA" w:rsidRDefault="009630DA"/>
          <w:p w14:paraId="5B4F4470" w14:textId="77777777" w:rsidR="008356C7" w:rsidRDefault="008356C7">
            <w:r w:rsidRPr="008356C7">
              <w:t>Zasada winy, jako podmiotowa podstawa odpowiedzialności, ma w prawie karnym o wiele większe znaczenie niż w innych dziedzinach prawa. Teoria psychologiczna ujmuje winę jako stosunek psychiczny sprawcy do popełnienia czynu zabronionego. Zasadniczo wyróżniamy dwie</w:t>
            </w:r>
            <w:r>
              <w:t xml:space="preserve"> formy winy: </w:t>
            </w:r>
          </w:p>
          <w:p w14:paraId="0B016058" w14:textId="77777777" w:rsidR="008356C7" w:rsidRDefault="008356C7" w:rsidP="008356C7">
            <w:r>
              <w:rPr>
                <w:b/>
              </w:rPr>
              <w:t>1.</w:t>
            </w:r>
            <w:r w:rsidRPr="008356C7">
              <w:rPr>
                <w:b/>
              </w:rPr>
              <w:t>Wina umyślna</w:t>
            </w:r>
            <w:r>
              <w:t>.</w:t>
            </w:r>
            <w:r w:rsidRPr="008356C7">
              <w:t xml:space="preserve"> Zgodnie z </w:t>
            </w:r>
            <w:hyperlink r:id="rId22" w:history="1">
              <w:r w:rsidRPr="008356C7">
                <w:rPr>
                  <w:rStyle w:val="Hipercze"/>
                  <w:color w:val="auto"/>
                  <w:u w:val="none"/>
                </w:rPr>
                <w:t>przepisami</w:t>
              </w:r>
            </w:hyperlink>
            <w:r w:rsidRPr="008356C7">
              <w:t> k.k. treścią winy umyślnej jest zamiar popełnienia czynu zabronionego, który może występować w dwóch formach:</w:t>
            </w:r>
          </w:p>
          <w:p w14:paraId="4ED9D9C6" w14:textId="77777777" w:rsidR="008356C7" w:rsidRDefault="008356C7" w:rsidP="008356C7">
            <w:r w:rsidRPr="008356C7">
              <w:rPr>
                <w:b/>
              </w:rPr>
              <w:t>A</w:t>
            </w:r>
            <w:r w:rsidRPr="008356C7">
              <w:t xml:space="preserve">. </w:t>
            </w:r>
            <w:r w:rsidRPr="008356C7">
              <w:rPr>
                <w:b/>
              </w:rPr>
              <w:t xml:space="preserve">Zamiaru bezpośredniego(DOLUS DIRECTUS) </w:t>
            </w:r>
            <w:r w:rsidRPr="008356C7">
              <w:t>– polegającego na tym, że sprawca chce popełnić czyn zabroniony.</w:t>
            </w:r>
            <w:r>
              <w:t xml:space="preserve"> </w:t>
            </w:r>
          </w:p>
          <w:p w14:paraId="1684578D" w14:textId="77777777" w:rsidR="008356C7" w:rsidRDefault="008356C7" w:rsidP="008356C7">
            <w:r w:rsidRPr="008356C7">
              <w:rPr>
                <w:b/>
              </w:rPr>
              <w:lastRenderedPageBreak/>
              <w:t>B. Zamiaru ewentualnego (DOLUS EVENTUALIS)</w:t>
            </w:r>
            <w:r w:rsidRPr="008356C7">
              <w:t xml:space="preserve"> – polegającego na tym, że </w:t>
            </w:r>
            <w:r>
              <w:t xml:space="preserve"> </w:t>
            </w:r>
            <w:r w:rsidRPr="008356C7">
              <w:t xml:space="preserve">sprawca wprawdzie nie chce popełnić czynu zabronionego, ale przewiduje realną możliwość jego popełnienia i na to się godzi. </w:t>
            </w:r>
            <w:r w:rsidRPr="008356C7">
              <w:rPr>
                <w:b/>
              </w:rPr>
              <w:t>2.Wina nieumyślna</w:t>
            </w:r>
            <w:r w:rsidRPr="008356C7">
              <w:t xml:space="preserve"> </w:t>
            </w:r>
            <w:r>
              <w:t xml:space="preserve">ma dwie  formy: </w:t>
            </w:r>
          </w:p>
          <w:p w14:paraId="6E1F6ECC" w14:textId="77777777" w:rsidR="008356C7" w:rsidRDefault="008356C7" w:rsidP="008356C7"/>
          <w:p w14:paraId="46EA7940" w14:textId="77777777" w:rsidR="008356C7" w:rsidRDefault="008356C7" w:rsidP="008356C7">
            <w:r w:rsidRPr="008356C7">
              <w:rPr>
                <w:b/>
              </w:rPr>
              <w:t>a. lekkomyślność</w:t>
            </w:r>
            <w:r w:rsidRPr="008356C7">
              <w:t xml:space="preserve"> – jest postacią świadomej winy nieumyślnej, sprawca bowiem przewiduje możliwość popełnienia czynu zabronionego lecz – w odróżnieniu od zamiaru ewentualnego – nie godzi się z jego popełnieniem, ale przypuszcza, że tak</w:t>
            </w:r>
            <w:r>
              <w:t>iego czynu (lub skutku) uniknie;</w:t>
            </w:r>
          </w:p>
          <w:p w14:paraId="2C3A70E1" w14:textId="77777777" w:rsidR="009630DA" w:rsidRPr="009630DA" w:rsidRDefault="008356C7" w:rsidP="009630DA">
            <w:r w:rsidRPr="008356C7">
              <w:rPr>
                <w:b/>
              </w:rPr>
              <w:t>b. niedbalstwo</w:t>
            </w:r>
            <w:r w:rsidRPr="008356C7">
              <w:t xml:space="preserve"> – różni się b</w:t>
            </w:r>
            <w:r>
              <w:t>r</w:t>
            </w:r>
            <w:r w:rsidRPr="008356C7">
              <w:t>akiem świadomości sprawcy co do możliwości popełnienia czynu zabronionego. Jed</w:t>
            </w:r>
            <w:r>
              <w:t>nak sprawca powinien i mógł taką</w:t>
            </w:r>
            <w:r w:rsidRPr="008356C7">
              <w:t xml:space="preserve"> możliwość przewidzieć.</w:t>
            </w:r>
            <w:r w:rsidRPr="008356C7">
              <w:br/>
            </w:r>
            <w:r w:rsidRPr="008356C7">
              <w:br/>
            </w:r>
            <w:r w:rsidR="009630DA" w:rsidRPr="009630DA">
              <w:t xml:space="preserve">Okoliczności wpływające na </w:t>
            </w:r>
            <w:r w:rsidR="009630DA" w:rsidRPr="009630DA">
              <w:rPr>
                <w:b/>
              </w:rPr>
              <w:t>stopień winy</w:t>
            </w:r>
            <w:r w:rsidR="009630DA" w:rsidRPr="009630DA">
              <w:t>:</w:t>
            </w:r>
          </w:p>
          <w:p w14:paraId="59093F67" w14:textId="77777777" w:rsidR="009630DA" w:rsidRPr="009630DA" w:rsidRDefault="009630DA" w:rsidP="009630DA">
            <w:pPr>
              <w:numPr>
                <w:ilvl w:val="0"/>
                <w:numId w:val="11"/>
              </w:numPr>
            </w:pPr>
            <w:r w:rsidRPr="009630DA">
              <w:t>możliwość rozpoznania znaczenia czynu warunkowana poziomem rozwoju intelektualnego, emocjonalnego i społecznego sprawcy, jego stanem wiedzy i doświadczeniem życiowym,</w:t>
            </w:r>
          </w:p>
          <w:p w14:paraId="52D24030" w14:textId="77777777" w:rsidR="009630DA" w:rsidRPr="009630DA" w:rsidRDefault="009630DA" w:rsidP="009630DA">
            <w:pPr>
              <w:numPr>
                <w:ilvl w:val="0"/>
                <w:numId w:val="11"/>
              </w:numPr>
            </w:pPr>
            <w:r w:rsidRPr="009630DA">
              <w:t>możliwość podjęcia decyzji zgodnego z prawem zachowania,</w:t>
            </w:r>
          </w:p>
          <w:p w14:paraId="66F54F3F" w14:textId="77777777" w:rsidR="009630DA" w:rsidRPr="009630DA" w:rsidRDefault="009630DA" w:rsidP="009630DA">
            <w:pPr>
              <w:numPr>
                <w:ilvl w:val="0"/>
                <w:numId w:val="11"/>
              </w:numPr>
            </w:pPr>
            <w:r w:rsidRPr="009630DA">
              <w:t>możliwość faktycznego sterowania swoim postępowaniem w wykonaniu podjętej decyzji.</w:t>
            </w:r>
          </w:p>
          <w:p w14:paraId="6BEE0D9C" w14:textId="77777777" w:rsidR="009630DA" w:rsidRPr="009630DA" w:rsidRDefault="009630DA" w:rsidP="009630DA">
            <w:r w:rsidRPr="009630DA">
              <w:rPr>
                <w:b/>
              </w:rPr>
              <w:lastRenderedPageBreak/>
              <w:t>Czynniki zwiększające winę sprawcy</w:t>
            </w:r>
            <w:r w:rsidRPr="009630DA">
              <w:t>:</w:t>
            </w:r>
          </w:p>
          <w:p w14:paraId="268CFED4" w14:textId="77777777" w:rsidR="009630DA" w:rsidRPr="009630DA" w:rsidRDefault="009630DA" w:rsidP="009630DA">
            <w:pPr>
              <w:numPr>
                <w:ilvl w:val="0"/>
                <w:numId w:val="12"/>
              </w:numPr>
            </w:pPr>
            <w:r w:rsidRPr="009630DA">
              <w:t>bezwzględność lub podstęp,</w:t>
            </w:r>
          </w:p>
          <w:p w14:paraId="0A18C6E3" w14:textId="77777777" w:rsidR="009630DA" w:rsidRPr="009630DA" w:rsidRDefault="009630DA" w:rsidP="009630DA">
            <w:pPr>
              <w:numPr>
                <w:ilvl w:val="0"/>
                <w:numId w:val="12"/>
              </w:numPr>
            </w:pPr>
            <w:r w:rsidRPr="009630DA">
              <w:t>użycie intensywnej przemocy lub niebezpiecznego przedmiotu,</w:t>
            </w:r>
          </w:p>
          <w:p w14:paraId="7392AAF5" w14:textId="77777777" w:rsidR="009630DA" w:rsidRPr="009630DA" w:rsidRDefault="009630DA" w:rsidP="009630DA">
            <w:pPr>
              <w:numPr>
                <w:ilvl w:val="0"/>
                <w:numId w:val="12"/>
              </w:numPr>
            </w:pPr>
            <w:r w:rsidRPr="009630DA">
              <w:t>znaczna brutalność lub okrucieństwo albo szczególna zuchwałość,</w:t>
            </w:r>
          </w:p>
          <w:p w14:paraId="5CB5778E" w14:textId="77777777" w:rsidR="009630DA" w:rsidRPr="009630DA" w:rsidRDefault="009630DA" w:rsidP="009630DA">
            <w:pPr>
              <w:numPr>
                <w:ilvl w:val="0"/>
                <w:numId w:val="12"/>
              </w:numPr>
            </w:pPr>
            <w:r w:rsidRPr="009630DA">
              <w:t>działanie wspólnie z nieletnim lub publicznie,</w:t>
            </w:r>
          </w:p>
          <w:p w14:paraId="38B87AD9" w14:textId="77777777" w:rsidR="009630DA" w:rsidRPr="009630DA" w:rsidRDefault="009630DA" w:rsidP="009630DA">
            <w:pPr>
              <w:numPr>
                <w:ilvl w:val="0"/>
                <w:numId w:val="12"/>
              </w:numPr>
            </w:pPr>
            <w:r w:rsidRPr="009630DA">
              <w:t>uporczywe dążenie do osiągnięcia przestępczego celu,</w:t>
            </w:r>
          </w:p>
          <w:p w14:paraId="184D9EC4" w14:textId="77777777" w:rsidR="009630DA" w:rsidRPr="009630DA" w:rsidRDefault="009630DA" w:rsidP="009630DA">
            <w:pPr>
              <w:numPr>
                <w:ilvl w:val="0"/>
                <w:numId w:val="12"/>
              </w:numPr>
            </w:pPr>
            <w:r w:rsidRPr="009630DA">
              <w:t>brak jakichkolwiek skrupułów moralnych w przestępnym działaniu.</w:t>
            </w:r>
          </w:p>
          <w:p w14:paraId="74D08710" w14:textId="77777777" w:rsidR="009630DA" w:rsidRPr="009630DA" w:rsidRDefault="009630DA" w:rsidP="009630DA">
            <w:pPr>
              <w:rPr>
                <w:b/>
              </w:rPr>
            </w:pPr>
            <w:r w:rsidRPr="009630DA">
              <w:rPr>
                <w:b/>
              </w:rPr>
              <w:t>Okoliczności zmniejszające stopień winy sprawcy:</w:t>
            </w:r>
          </w:p>
          <w:p w14:paraId="7EDA640C" w14:textId="77777777" w:rsidR="009630DA" w:rsidRPr="009630DA" w:rsidRDefault="009630DA" w:rsidP="009630DA">
            <w:pPr>
              <w:numPr>
                <w:ilvl w:val="0"/>
                <w:numId w:val="13"/>
              </w:numPr>
            </w:pPr>
            <w:r w:rsidRPr="009630DA">
              <w:t>ograniczona poczytalność sprawc</w:t>
            </w:r>
            <w:r>
              <w:t>y</w:t>
            </w:r>
            <w:r w:rsidRPr="009630DA">
              <w:t>,</w:t>
            </w:r>
          </w:p>
          <w:p w14:paraId="1B3D2EA7" w14:textId="77777777" w:rsidR="009630DA" w:rsidRPr="009630DA" w:rsidRDefault="009630DA" w:rsidP="009630DA">
            <w:pPr>
              <w:numPr>
                <w:ilvl w:val="0"/>
                <w:numId w:val="13"/>
              </w:numPr>
            </w:pPr>
            <w:r w:rsidRPr="009630DA">
              <w:t>niepatologiczne zakłócenia czynności psychicznych (jak np. </w:t>
            </w:r>
            <w:hyperlink r:id="rId23" w:tooltip="Stres" w:history="1">
              <w:r w:rsidRPr="009630DA">
                <w:rPr>
                  <w:rStyle w:val="Hipercze"/>
                  <w:color w:val="auto"/>
                  <w:u w:val="none"/>
                </w:rPr>
                <w:t>stres</w:t>
              </w:r>
            </w:hyperlink>
            <w:r w:rsidRPr="009630DA">
              <w:t> czy brak snu) wykluczające na możliwość rozpoznania czynu i pokierowania przez sprawcę swoim postępowaniem,</w:t>
            </w:r>
          </w:p>
          <w:p w14:paraId="15336DC0" w14:textId="77777777" w:rsidR="009630DA" w:rsidRPr="009630DA" w:rsidRDefault="009630DA" w:rsidP="009630DA">
            <w:pPr>
              <w:numPr>
                <w:ilvl w:val="0"/>
                <w:numId w:val="13"/>
              </w:numPr>
            </w:pPr>
            <w:r w:rsidRPr="009630DA">
              <w:t>działanie w warunkach zaskoczenia,</w:t>
            </w:r>
          </w:p>
          <w:p w14:paraId="71061140" w14:textId="77777777" w:rsidR="009630DA" w:rsidRPr="009630DA" w:rsidRDefault="009630DA" w:rsidP="009630DA">
            <w:pPr>
              <w:numPr>
                <w:ilvl w:val="0"/>
                <w:numId w:val="13"/>
              </w:numPr>
            </w:pPr>
            <w:r w:rsidRPr="009630DA">
              <w:t>stan silnego wzburzenia usprawiedliwiony okolicznościami,</w:t>
            </w:r>
          </w:p>
          <w:p w14:paraId="10D0AE6D" w14:textId="77777777" w:rsidR="009630DA" w:rsidRPr="009630DA" w:rsidRDefault="009630DA" w:rsidP="009630DA">
            <w:pPr>
              <w:numPr>
                <w:ilvl w:val="0"/>
                <w:numId w:val="13"/>
              </w:numPr>
            </w:pPr>
            <w:r w:rsidRPr="009630DA">
              <w:t>niekiedy niedoświadczenie sprawcy, choroba alkoholowa, uzależnienie się od środków odurzających, negatywny wpływ środowiska.</w:t>
            </w:r>
          </w:p>
          <w:p w14:paraId="30C04DE9" w14:textId="77777777" w:rsidR="009630DA" w:rsidRDefault="009630DA" w:rsidP="00DE7296">
            <w:pPr>
              <w:ind w:left="720"/>
            </w:pPr>
          </w:p>
        </w:tc>
        <w:tc>
          <w:tcPr>
            <w:tcW w:w="4715" w:type="dxa"/>
          </w:tcPr>
          <w:p w14:paraId="5C79B3F7" w14:textId="77777777" w:rsidR="00C2655C" w:rsidRDefault="00C2655C">
            <w:r>
              <w:lastRenderedPageBreak/>
              <w:t xml:space="preserve"> </w:t>
            </w:r>
          </w:p>
          <w:p w14:paraId="43FA0025" w14:textId="77777777" w:rsidR="007B311A" w:rsidRDefault="00C2655C">
            <w:r w:rsidRPr="00C2655C">
              <w:t xml:space="preserve"> Dłużnik może się uwolnić od odpowiedzialności, jeśli wykaże, że wykonał zobowiązanie, albo że niewykonanie lub nienależyte wykonanie zobowiązania nastąpiło nie z jego winy</w:t>
            </w:r>
            <w:r w:rsidR="00DD325F">
              <w:t xml:space="preserve"> ani z winy osób trzecich, za których działania dłużnik odpowiada.</w:t>
            </w:r>
          </w:p>
        </w:tc>
        <w:tc>
          <w:tcPr>
            <w:tcW w:w="4715" w:type="dxa"/>
          </w:tcPr>
          <w:p w14:paraId="68E4571E" w14:textId="77777777" w:rsidR="009630DA" w:rsidRDefault="009630DA" w:rsidP="003E29DB"/>
          <w:p w14:paraId="1AEF0546" w14:textId="77777777" w:rsidR="003E29DB" w:rsidRPr="003E29DB" w:rsidRDefault="003E29DB" w:rsidP="003E29DB">
            <w:r w:rsidRPr="003E29DB">
              <w:t>Stopnie winy na gruncie cywilistyki:</w:t>
            </w:r>
          </w:p>
          <w:p w14:paraId="5EAA0D11" w14:textId="77777777" w:rsidR="003E29DB" w:rsidRPr="003E29DB" w:rsidRDefault="003E29DB" w:rsidP="003E29DB">
            <w:pPr>
              <w:numPr>
                <w:ilvl w:val="0"/>
                <w:numId w:val="2"/>
              </w:numPr>
            </w:pPr>
            <w:r w:rsidRPr="003E29DB">
              <w:t>wina umyślna (łac. </w:t>
            </w:r>
            <w:r w:rsidRPr="003E29DB">
              <w:rPr>
                <w:i/>
                <w:iCs/>
              </w:rPr>
              <w:t>dolus</w:t>
            </w:r>
            <w:r w:rsidRPr="003E29DB">
              <w:t>) - działanie albo zaniechanie,</w:t>
            </w:r>
          </w:p>
          <w:p w14:paraId="3CC43FAF" w14:textId="77777777" w:rsidR="003E29DB" w:rsidRPr="003E29DB" w:rsidRDefault="003E29DB" w:rsidP="003E29DB">
            <w:pPr>
              <w:numPr>
                <w:ilvl w:val="0"/>
                <w:numId w:val="2"/>
              </w:numPr>
            </w:pPr>
            <w:r w:rsidRPr="003E29DB">
              <w:t>wina nieumyślna (łac. </w:t>
            </w:r>
            <w:r w:rsidRPr="003E29DB">
              <w:rPr>
                <w:i/>
                <w:iCs/>
              </w:rPr>
              <w:t>culpa</w:t>
            </w:r>
            <w:r w:rsidRPr="003E29DB">
              <w:t>) - niedbalstwo (łac. </w:t>
            </w:r>
            <w:r w:rsidRPr="003E29DB">
              <w:rPr>
                <w:i/>
                <w:iCs/>
              </w:rPr>
              <w:t>neglegentia</w:t>
            </w:r>
            <w:r w:rsidRPr="003E29DB">
              <w:t>), tj. niedołożenie należytej staranności (oceniane obiektywnie).</w:t>
            </w:r>
          </w:p>
          <w:p w14:paraId="4FCBF5BD" w14:textId="77777777" w:rsidR="003E29DB" w:rsidRPr="003E29DB" w:rsidRDefault="003E29DB" w:rsidP="003E29DB">
            <w:r w:rsidRPr="003E29DB">
              <w:t>Dla istnienia odpowiedzialności cywilnej stopień winy nie ma znaczenia.</w:t>
            </w:r>
          </w:p>
          <w:p w14:paraId="5E9F3358" w14:textId="77777777" w:rsidR="003E29DB" w:rsidRPr="003E29DB" w:rsidRDefault="00B55727" w:rsidP="003E29DB">
            <w:r>
              <w:t xml:space="preserve">           </w:t>
            </w:r>
            <w:r w:rsidR="003E29DB" w:rsidRPr="003E29DB">
              <w:t>Istnieje kilka postaci</w:t>
            </w:r>
            <w:r w:rsidR="003E29DB" w:rsidRPr="003E1F8C">
              <w:rPr>
                <w:b/>
              </w:rPr>
              <w:t xml:space="preserve"> </w:t>
            </w:r>
            <w:proofErr w:type="spellStart"/>
            <w:r w:rsidR="003E29DB" w:rsidRPr="003E1F8C">
              <w:rPr>
                <w:b/>
              </w:rPr>
              <w:t>wyłączeń</w:t>
            </w:r>
            <w:proofErr w:type="spellEnd"/>
            <w:r w:rsidR="003E29DB" w:rsidRPr="003E29DB">
              <w:t xml:space="preserve"> odpowiedzialności:</w:t>
            </w:r>
          </w:p>
          <w:p w14:paraId="1C818F16" w14:textId="77777777" w:rsidR="003E29DB" w:rsidRPr="003E29DB" w:rsidRDefault="003E29DB" w:rsidP="003E29DB">
            <w:pPr>
              <w:numPr>
                <w:ilvl w:val="0"/>
                <w:numId w:val="3"/>
              </w:numPr>
            </w:pPr>
            <w:r w:rsidRPr="003E29DB">
              <w:t>jeżeli była oparta na zasadzie winy -</w:t>
            </w:r>
            <w:r w:rsidRPr="003E1F8C">
              <w:t> </w:t>
            </w:r>
            <w:proofErr w:type="spellStart"/>
            <w:r w:rsidR="00AE7CBD">
              <w:fldChar w:fldCharType="begin"/>
            </w:r>
            <w:r w:rsidR="00AE7CBD">
              <w:instrText xml:space="preserve"> HYPERLINK "http://pl.wikipedia.org/w/index.php?title=Ekskulpacja&amp;action=edit&amp;redlink=1" \o "Ekskulpacja (strona nie istnieje)" </w:instrText>
            </w:r>
            <w:r w:rsidR="00AE7CBD">
              <w:fldChar w:fldCharType="separate"/>
            </w:r>
            <w:r w:rsidRPr="00E821D9">
              <w:rPr>
                <w:rStyle w:val="Hipercze"/>
                <w:b/>
                <w:color w:val="auto"/>
                <w:u w:val="none"/>
              </w:rPr>
              <w:t>ekskulpacja</w:t>
            </w:r>
            <w:proofErr w:type="spellEnd"/>
            <w:r w:rsidR="00AE7CBD">
              <w:rPr>
                <w:rStyle w:val="Hipercze"/>
                <w:b/>
                <w:color w:val="auto"/>
                <w:u w:val="none"/>
              </w:rPr>
              <w:fldChar w:fldCharType="end"/>
            </w:r>
            <w:r w:rsidRPr="003E29DB">
              <w:t>,</w:t>
            </w:r>
          </w:p>
          <w:p w14:paraId="315B09D9" w14:textId="77777777" w:rsidR="00033A52" w:rsidRPr="00033A52" w:rsidRDefault="003E29DB" w:rsidP="00E821D9">
            <w:pPr>
              <w:numPr>
                <w:ilvl w:val="0"/>
                <w:numId w:val="3"/>
              </w:numPr>
            </w:pPr>
            <w:r w:rsidRPr="003E29DB">
              <w:t>jeżeli była oparta na zasadzie ryzyka -</w:t>
            </w:r>
            <w:r w:rsidRPr="00E821D9">
              <w:rPr>
                <w:b/>
                <w:color w:val="000000" w:themeColor="text1"/>
              </w:rPr>
              <w:lastRenderedPageBreak/>
              <w:t> </w:t>
            </w:r>
            <w:proofErr w:type="spellStart"/>
            <w:r w:rsidR="00AE7CBD">
              <w:fldChar w:fldCharType="begin"/>
            </w:r>
            <w:r w:rsidR="00AE7CBD">
              <w:instrText xml:space="preserve"> HYPERLINK "http://pl.wikipedia.org/wiki/Egzoneracja" \o "Egzoneracja" </w:instrText>
            </w:r>
            <w:r w:rsidR="00AE7CBD">
              <w:fldChar w:fldCharType="separate"/>
            </w:r>
            <w:r w:rsidRPr="00E821D9">
              <w:rPr>
                <w:rStyle w:val="Hipercze"/>
                <w:b/>
                <w:color w:val="000000" w:themeColor="text1"/>
                <w:u w:val="none"/>
              </w:rPr>
              <w:t>egzoneracja</w:t>
            </w:r>
            <w:proofErr w:type="spellEnd"/>
            <w:r w:rsidR="00AE7CBD">
              <w:rPr>
                <w:rStyle w:val="Hipercze"/>
                <w:b/>
                <w:color w:val="000000" w:themeColor="text1"/>
                <w:u w:val="none"/>
              </w:rPr>
              <w:fldChar w:fldCharType="end"/>
            </w:r>
            <w:r w:rsidRPr="003E29DB">
              <w:t>:</w:t>
            </w:r>
            <w:r w:rsidR="00033A52" w:rsidRPr="00033A52">
              <w:rPr>
                <w:rFonts w:ascii="Arial" w:eastAsia="Times New Roman" w:hAnsi="Arial" w:cs="Arial"/>
                <w:b/>
                <w:bCs/>
                <w:color w:val="000000"/>
                <w:sz w:val="19"/>
                <w:szCs w:val="19"/>
                <w:lang w:eastAsia="pl-PL"/>
              </w:rPr>
              <w:t xml:space="preserve"> </w:t>
            </w:r>
            <w:r w:rsidR="00033A52" w:rsidRPr="00033A52">
              <w:t xml:space="preserve"> to pewne stany faktyczne, na które może powołać się zobowiązany do naprawienia</w:t>
            </w:r>
            <w:r w:rsidR="00033A52" w:rsidRPr="00E821D9">
              <w:rPr>
                <w:color w:val="000000" w:themeColor="text1"/>
              </w:rPr>
              <w:t> </w:t>
            </w:r>
            <w:hyperlink r:id="rId24" w:tooltip="Szkoda" w:history="1">
              <w:r w:rsidR="00033A52" w:rsidRPr="00E821D9">
                <w:rPr>
                  <w:rStyle w:val="Hipercze"/>
                  <w:color w:val="000000" w:themeColor="text1"/>
                  <w:u w:val="none"/>
                </w:rPr>
                <w:t>szkody</w:t>
              </w:r>
            </w:hyperlink>
            <w:r w:rsidR="00E821D9">
              <w:t xml:space="preserve"> w celu zwolnienia się </w:t>
            </w:r>
            <w:r w:rsidR="00033A52" w:rsidRPr="00033A52">
              <w:t>od </w:t>
            </w:r>
            <w:hyperlink r:id="rId25" w:tooltip="Odpowiedzialność na zasadzie ryzyka" w:history="1">
              <w:r w:rsidR="00033A52" w:rsidRPr="00E821D9">
                <w:rPr>
                  <w:rStyle w:val="Hipercze"/>
                  <w:color w:val="000000" w:themeColor="text1"/>
                  <w:u w:val="none"/>
                </w:rPr>
                <w:t>odpowiedzialności na zasadzie ryzyka</w:t>
              </w:r>
            </w:hyperlink>
            <w:r w:rsidR="00033A52" w:rsidRPr="00E821D9">
              <w:rPr>
                <w:color w:val="000000" w:themeColor="text1"/>
              </w:rPr>
              <w:t xml:space="preserve">. </w:t>
            </w:r>
            <w:r w:rsidR="00033A52" w:rsidRPr="00033A52">
              <w:t>Są nimi:</w:t>
            </w:r>
          </w:p>
          <w:p w14:paraId="0C958EEB" w14:textId="77777777" w:rsidR="00033A52" w:rsidRPr="00033A52" w:rsidRDefault="00000000" w:rsidP="00033A52">
            <w:pPr>
              <w:numPr>
                <w:ilvl w:val="0"/>
                <w:numId w:val="3"/>
              </w:numPr>
            </w:pPr>
            <w:hyperlink r:id="rId26" w:tooltip="Siła wyższa" w:history="1">
              <w:r w:rsidR="00033A52" w:rsidRPr="00E821D9">
                <w:rPr>
                  <w:rStyle w:val="Hipercze"/>
                  <w:color w:val="auto"/>
                  <w:u w:val="none"/>
                </w:rPr>
                <w:t>siła wyższa</w:t>
              </w:r>
            </w:hyperlink>
            <w:r w:rsidR="00033A52" w:rsidRPr="00033A52">
              <w:t> (łac. </w:t>
            </w:r>
            <w:r w:rsidR="00033A52" w:rsidRPr="00033A52">
              <w:rPr>
                <w:i/>
                <w:iCs/>
              </w:rPr>
              <w:t>vis maior</w:t>
            </w:r>
            <w:r w:rsidR="00033A52" w:rsidRPr="00033A52">
              <w:t>),</w:t>
            </w:r>
          </w:p>
          <w:p w14:paraId="609892FA" w14:textId="77777777" w:rsidR="00033A52" w:rsidRPr="00033A52" w:rsidRDefault="00033A52" w:rsidP="00033A52">
            <w:pPr>
              <w:numPr>
                <w:ilvl w:val="0"/>
                <w:numId w:val="3"/>
              </w:numPr>
            </w:pPr>
            <w:r w:rsidRPr="00033A52">
              <w:t>nastąpienie szkody wyłącznie z winy poszkodowanego,</w:t>
            </w:r>
          </w:p>
          <w:p w14:paraId="584B7735" w14:textId="77777777" w:rsidR="00033A52" w:rsidRPr="00033A52" w:rsidRDefault="00033A52" w:rsidP="00033A52">
            <w:pPr>
              <w:numPr>
                <w:ilvl w:val="0"/>
                <w:numId w:val="3"/>
              </w:numPr>
            </w:pPr>
            <w:r w:rsidRPr="00033A52">
              <w:t>nastąpienie szkody wyłącznie z winy osoby trzeciej, za którą dłużnik nie ponosi odpowiedzialności</w:t>
            </w:r>
          </w:p>
          <w:p w14:paraId="622905CB" w14:textId="77777777" w:rsidR="00033A52" w:rsidRPr="00033A52" w:rsidRDefault="00033A52" w:rsidP="00033A52">
            <w:pPr>
              <w:numPr>
                <w:ilvl w:val="0"/>
                <w:numId w:val="3"/>
              </w:numPr>
            </w:pPr>
            <w:r w:rsidRPr="00033A52">
              <w:t>brak winy osoby, której zwierzchnik powierzył wykonanie czynności (art. 430 k</w:t>
            </w:r>
            <w:r w:rsidR="00E821D9">
              <w:t>.</w:t>
            </w:r>
            <w:r w:rsidRPr="00033A52">
              <w:t>c.)</w:t>
            </w:r>
          </w:p>
          <w:p w14:paraId="5AD018E8" w14:textId="77777777" w:rsidR="00033A52" w:rsidRPr="00033A52" w:rsidRDefault="00E821D9" w:rsidP="00E821D9">
            <w:r>
              <w:t xml:space="preserve">     </w:t>
            </w:r>
            <w:r w:rsidR="003F30B4">
              <w:t xml:space="preserve">    </w:t>
            </w:r>
            <w:r w:rsidR="00033A52" w:rsidRPr="00033A52">
              <w:t>Wystarczające do zwolnienia się z odpowiedzialności jest wykazanie przynajmniej jednej z ww. okoliczności.</w:t>
            </w:r>
          </w:p>
          <w:p w14:paraId="7C586627" w14:textId="77777777" w:rsidR="00033A52" w:rsidRPr="00033A52" w:rsidRDefault="00E821D9" w:rsidP="00E821D9">
            <w:r>
              <w:t xml:space="preserve">     </w:t>
            </w:r>
            <w:r w:rsidR="003F30B4">
              <w:t xml:space="preserve">     </w:t>
            </w:r>
            <w:r w:rsidR="00033A52" w:rsidRPr="00033A52">
              <w:t>Ciężar dowodu tych okoliczności spoczywa na osobie ponoszącej odpowiedzialność na zasadzie ryzyka, co stanowi umocnienie pozycji poszkodowanego.</w:t>
            </w:r>
          </w:p>
          <w:p w14:paraId="6653D941" w14:textId="77777777" w:rsidR="003E29DB" w:rsidRPr="003E29DB" w:rsidRDefault="003E29DB" w:rsidP="00E821D9">
            <w:pPr>
              <w:ind w:left="720"/>
            </w:pPr>
          </w:p>
          <w:p w14:paraId="39C292D1" w14:textId="77777777" w:rsidR="007B311A" w:rsidRDefault="007B311A"/>
        </w:tc>
      </w:tr>
      <w:tr w:rsidR="007B311A" w14:paraId="79406ED2" w14:textId="77777777" w:rsidTr="007B311A">
        <w:tc>
          <w:tcPr>
            <w:tcW w:w="4714" w:type="dxa"/>
          </w:tcPr>
          <w:p w14:paraId="74ED1FF8" w14:textId="77777777" w:rsidR="007B311A" w:rsidRDefault="007B311A"/>
          <w:p w14:paraId="47F061C2" w14:textId="77777777" w:rsidR="003F30B4" w:rsidRPr="003F30B4" w:rsidRDefault="003F30B4" w:rsidP="003F30B4">
            <w:r w:rsidRPr="003F30B4">
              <w:rPr>
                <w:b/>
                <w:bCs/>
              </w:rPr>
              <w:t>Kara kryminalna</w:t>
            </w:r>
            <w:r w:rsidRPr="003F30B4">
              <w:t> – konsekwencja popełnienia </w:t>
            </w:r>
            <w:hyperlink r:id="rId27" w:tooltip="Przestępstwo" w:history="1">
              <w:r w:rsidRPr="003F30B4">
                <w:rPr>
                  <w:rStyle w:val="Hipercze"/>
                  <w:color w:val="auto"/>
                  <w:u w:val="none"/>
                </w:rPr>
                <w:t>przestępstwa</w:t>
              </w:r>
            </w:hyperlink>
            <w:r w:rsidRPr="003F30B4">
              <w:t>, którą jest określona przez </w:t>
            </w:r>
            <w:hyperlink r:id="rId28" w:tooltip="Prawo karne" w:history="1">
              <w:r w:rsidRPr="003F30B4">
                <w:rPr>
                  <w:rStyle w:val="Hipercze"/>
                  <w:color w:val="auto"/>
                  <w:u w:val="none"/>
                </w:rPr>
                <w:t>prawo karne</w:t>
              </w:r>
            </w:hyperlink>
            <w:r>
              <w:t xml:space="preserve"> </w:t>
            </w:r>
            <w:r w:rsidRPr="003F30B4">
              <w:t xml:space="preserve">dolegliwość i w której </w:t>
            </w:r>
            <w:r w:rsidRPr="003F30B4">
              <w:lastRenderedPageBreak/>
              <w:t>wyraża się dezaprobata czynu i osoby sprawcy.</w:t>
            </w:r>
          </w:p>
          <w:p w14:paraId="6BE32245" w14:textId="77777777" w:rsidR="003F30B4" w:rsidRPr="003F30B4" w:rsidRDefault="003F30B4" w:rsidP="003F30B4">
            <w:r w:rsidRPr="003F30B4">
              <w:t>Karami kryminalnymi są:</w:t>
            </w:r>
          </w:p>
          <w:p w14:paraId="03A6A642" w14:textId="77777777" w:rsidR="003F30B4" w:rsidRPr="00352254" w:rsidRDefault="00000000" w:rsidP="003F30B4">
            <w:pPr>
              <w:numPr>
                <w:ilvl w:val="0"/>
                <w:numId w:val="9"/>
              </w:numPr>
              <w:rPr>
                <w:b/>
              </w:rPr>
            </w:pPr>
            <w:hyperlink r:id="rId29" w:tooltip="Grzywna (prawo)" w:history="1">
              <w:r w:rsidR="003F30B4" w:rsidRPr="00352254">
                <w:rPr>
                  <w:rStyle w:val="Hipercze"/>
                  <w:b/>
                  <w:color w:val="auto"/>
                  <w:u w:val="none"/>
                </w:rPr>
                <w:t>kara grzywny</w:t>
              </w:r>
            </w:hyperlink>
            <w:r w:rsidR="003F30B4" w:rsidRPr="00352254">
              <w:rPr>
                <w:b/>
              </w:rPr>
              <w:t>,</w:t>
            </w:r>
          </w:p>
          <w:p w14:paraId="2B44E8C0" w14:textId="77777777" w:rsidR="003F30B4" w:rsidRPr="00352254" w:rsidRDefault="00000000" w:rsidP="003F30B4">
            <w:pPr>
              <w:numPr>
                <w:ilvl w:val="0"/>
                <w:numId w:val="9"/>
              </w:numPr>
              <w:rPr>
                <w:b/>
              </w:rPr>
            </w:pPr>
            <w:hyperlink r:id="rId30" w:tooltip="Kara ograniczenia wolności" w:history="1">
              <w:r w:rsidR="003F30B4" w:rsidRPr="00352254">
                <w:rPr>
                  <w:rStyle w:val="Hipercze"/>
                  <w:b/>
                  <w:color w:val="auto"/>
                  <w:u w:val="none"/>
                </w:rPr>
                <w:t>kara ograniczenia wolności</w:t>
              </w:r>
            </w:hyperlink>
            <w:r w:rsidR="003F30B4" w:rsidRPr="00352254">
              <w:rPr>
                <w:b/>
              </w:rPr>
              <w:t>,</w:t>
            </w:r>
          </w:p>
          <w:p w14:paraId="0DA1DF20" w14:textId="77777777" w:rsidR="003F30B4" w:rsidRPr="00352254" w:rsidRDefault="00000000" w:rsidP="003F30B4">
            <w:pPr>
              <w:numPr>
                <w:ilvl w:val="0"/>
                <w:numId w:val="9"/>
              </w:numPr>
              <w:rPr>
                <w:b/>
              </w:rPr>
            </w:pPr>
            <w:hyperlink r:id="rId31" w:tooltip="Pozbawienie wolności" w:history="1">
              <w:r w:rsidR="003F30B4" w:rsidRPr="00352254">
                <w:rPr>
                  <w:rStyle w:val="Hipercze"/>
                  <w:b/>
                  <w:color w:val="auto"/>
                  <w:u w:val="none"/>
                </w:rPr>
                <w:t>kara pozbawienia wolności</w:t>
              </w:r>
            </w:hyperlink>
            <w:r w:rsidR="003F30B4" w:rsidRPr="00352254">
              <w:rPr>
                <w:b/>
              </w:rPr>
              <w:t>,</w:t>
            </w:r>
          </w:p>
          <w:p w14:paraId="15F98C25" w14:textId="77777777" w:rsidR="003F30B4" w:rsidRPr="00352254" w:rsidRDefault="00000000" w:rsidP="003F30B4">
            <w:pPr>
              <w:numPr>
                <w:ilvl w:val="0"/>
                <w:numId w:val="9"/>
              </w:numPr>
              <w:rPr>
                <w:b/>
              </w:rPr>
            </w:pPr>
            <w:hyperlink r:id="rId32" w:tooltip="Kara 25 lat pozbawienia wolności" w:history="1">
              <w:r w:rsidR="003F30B4" w:rsidRPr="00352254">
                <w:rPr>
                  <w:rStyle w:val="Hipercze"/>
                  <w:b/>
                  <w:color w:val="auto"/>
                  <w:u w:val="none"/>
                </w:rPr>
                <w:t>kara 25 lat pozbawienia wolności</w:t>
              </w:r>
            </w:hyperlink>
            <w:r w:rsidR="003F30B4" w:rsidRPr="00352254">
              <w:rPr>
                <w:b/>
              </w:rPr>
              <w:t>,</w:t>
            </w:r>
          </w:p>
          <w:p w14:paraId="21821FCA" w14:textId="77777777" w:rsidR="003F30B4" w:rsidRPr="00352254" w:rsidRDefault="00000000" w:rsidP="003F30B4">
            <w:pPr>
              <w:numPr>
                <w:ilvl w:val="0"/>
                <w:numId w:val="9"/>
              </w:numPr>
              <w:rPr>
                <w:b/>
              </w:rPr>
            </w:pPr>
            <w:hyperlink r:id="rId33" w:tooltip="Kara dożywotniego pozbawienia wolności" w:history="1">
              <w:r w:rsidR="003F30B4" w:rsidRPr="00352254">
                <w:rPr>
                  <w:rStyle w:val="Hipercze"/>
                  <w:b/>
                  <w:color w:val="auto"/>
                  <w:u w:val="none"/>
                </w:rPr>
                <w:t>kara dożywotniego pozbawienia wolności</w:t>
              </w:r>
            </w:hyperlink>
            <w:r w:rsidR="003F30B4" w:rsidRPr="00352254">
              <w:rPr>
                <w:b/>
              </w:rPr>
              <w:t>,</w:t>
            </w:r>
          </w:p>
          <w:p w14:paraId="180A52A4" w14:textId="77777777" w:rsidR="003F30B4" w:rsidRPr="00352254" w:rsidRDefault="00000000" w:rsidP="003F30B4">
            <w:pPr>
              <w:numPr>
                <w:ilvl w:val="0"/>
                <w:numId w:val="9"/>
              </w:numPr>
              <w:rPr>
                <w:b/>
              </w:rPr>
            </w:pPr>
            <w:hyperlink r:id="rId34" w:tooltip="Kara aresztu wojskowego" w:history="1">
              <w:r w:rsidR="003F30B4" w:rsidRPr="00352254">
                <w:rPr>
                  <w:rStyle w:val="Hipercze"/>
                  <w:b/>
                  <w:color w:val="auto"/>
                  <w:u w:val="none"/>
                </w:rPr>
                <w:t>kara aresztu wojskowego</w:t>
              </w:r>
            </w:hyperlink>
            <w:r w:rsidR="003F30B4" w:rsidRPr="00352254">
              <w:rPr>
                <w:b/>
              </w:rPr>
              <w:t>,</w:t>
            </w:r>
          </w:p>
          <w:p w14:paraId="5F111147" w14:textId="77777777" w:rsidR="003F30B4" w:rsidRPr="00352254" w:rsidRDefault="00000000" w:rsidP="003F30B4">
            <w:pPr>
              <w:numPr>
                <w:ilvl w:val="0"/>
                <w:numId w:val="9"/>
              </w:numPr>
              <w:rPr>
                <w:b/>
              </w:rPr>
            </w:pPr>
            <w:hyperlink r:id="rId35" w:tooltip="Kara śmierci" w:history="1">
              <w:r w:rsidR="003F30B4" w:rsidRPr="00352254">
                <w:rPr>
                  <w:rStyle w:val="Hipercze"/>
                  <w:b/>
                  <w:color w:val="auto"/>
                  <w:u w:val="none"/>
                </w:rPr>
                <w:t>kara śmierci</w:t>
              </w:r>
            </w:hyperlink>
            <w:r w:rsidR="003F30B4" w:rsidRPr="00352254">
              <w:rPr>
                <w:b/>
              </w:rPr>
              <w:t> (w Polsce nie obowiązuje).</w:t>
            </w:r>
          </w:p>
          <w:p w14:paraId="2CD0B75F" w14:textId="77777777" w:rsidR="003F30B4" w:rsidRPr="003F30B4" w:rsidRDefault="003F30B4" w:rsidP="003F30B4">
            <w:r w:rsidRPr="003F30B4">
              <w:t>Kary kryminalne wymierzają wyłącznie </w:t>
            </w:r>
            <w:hyperlink r:id="rId36" w:tooltip="Sąd" w:history="1">
              <w:r w:rsidRPr="003F30B4">
                <w:rPr>
                  <w:rStyle w:val="Hipercze"/>
                  <w:color w:val="auto"/>
                  <w:u w:val="none"/>
                </w:rPr>
                <w:t>sądy</w:t>
              </w:r>
            </w:hyperlink>
            <w:r w:rsidRPr="003F30B4">
              <w:t>.</w:t>
            </w:r>
          </w:p>
          <w:p w14:paraId="5E178489" w14:textId="77777777" w:rsidR="003F30B4" w:rsidRPr="003F30B4" w:rsidRDefault="003F30B4" w:rsidP="003F30B4">
            <w:r w:rsidRPr="003F30B4">
              <w:rPr>
                <w:b/>
                <w:bCs/>
              </w:rPr>
              <w:t>Kara administracyjna</w:t>
            </w:r>
            <w:r w:rsidRPr="003F30B4">
              <w:t> – zazwyczaj utrata określonych </w:t>
            </w:r>
            <w:hyperlink r:id="rId37" w:tooltip="Uprawnienie" w:history="1">
              <w:r w:rsidRPr="003F30B4">
                <w:rPr>
                  <w:rStyle w:val="Hipercze"/>
                  <w:color w:val="auto"/>
                  <w:u w:val="none"/>
                </w:rPr>
                <w:t>uprawnień</w:t>
              </w:r>
            </w:hyperlink>
            <w:r w:rsidRPr="003F30B4">
              <w:t>, możliwości ich zdobycia lub kara pieniężna.</w:t>
            </w:r>
            <w:r>
              <w:t xml:space="preserve"> Ogólnie jest to</w:t>
            </w:r>
          </w:p>
          <w:p w14:paraId="4744717B" w14:textId="77777777" w:rsidR="003F30B4" w:rsidRPr="003F30B4" w:rsidRDefault="003F30B4" w:rsidP="003F30B4">
            <w:r w:rsidRPr="003F30B4">
              <w:t>określona </w:t>
            </w:r>
            <w:hyperlink r:id="rId38" w:tooltip="Przepis prawa" w:history="1">
              <w:r w:rsidRPr="003F30B4">
                <w:rPr>
                  <w:rStyle w:val="Hipercze"/>
                  <w:color w:val="auto"/>
                  <w:u w:val="none"/>
                </w:rPr>
                <w:t>przepisami prawa</w:t>
              </w:r>
            </w:hyperlink>
            <w:r w:rsidRPr="003F30B4">
              <w:t> dolegliwość dla </w:t>
            </w:r>
            <w:hyperlink r:id="rId39" w:tooltip="Podmiot prawa" w:history="1">
              <w:r w:rsidRPr="003F30B4">
                <w:rPr>
                  <w:rStyle w:val="Hipercze"/>
                  <w:color w:val="auto"/>
                  <w:u w:val="none"/>
                </w:rPr>
                <w:t>podmiotu prawa</w:t>
              </w:r>
            </w:hyperlink>
            <w:r w:rsidRPr="003F30B4">
              <w:t> będąca</w:t>
            </w:r>
            <w:r>
              <w:t xml:space="preserve"> </w:t>
            </w:r>
            <w:hyperlink r:id="rId40" w:tooltip="Sankcja" w:history="1">
              <w:r w:rsidRPr="003F30B4">
                <w:rPr>
                  <w:rStyle w:val="Hipercze"/>
                  <w:color w:val="auto"/>
                  <w:u w:val="none"/>
                </w:rPr>
                <w:t>sankcją</w:t>
              </w:r>
            </w:hyperlink>
            <w:r w:rsidRPr="003F30B4">
              <w:t> za niepodporządkowanie się normom </w:t>
            </w:r>
            <w:hyperlink r:id="rId41" w:tooltip="Prawo administracyjne" w:history="1">
              <w:r w:rsidRPr="003F30B4">
                <w:rPr>
                  <w:rStyle w:val="Hipercze"/>
                  <w:color w:val="auto"/>
                  <w:u w:val="none"/>
                </w:rPr>
                <w:t>prawa administracyjnego</w:t>
              </w:r>
            </w:hyperlink>
            <w:r w:rsidRPr="003F30B4">
              <w:t>.</w:t>
            </w:r>
          </w:p>
          <w:p w14:paraId="27C2633C" w14:textId="77777777" w:rsidR="003F30B4" w:rsidRPr="003F30B4" w:rsidRDefault="003F30B4" w:rsidP="003F30B4">
            <w:r w:rsidRPr="003F30B4">
              <w:t>Kary administracyjne nakładają zazwyczaj organy administracji publicznej (czasami </w:t>
            </w:r>
            <w:hyperlink r:id="rId42" w:tooltip="Sąd" w:history="1">
              <w:r w:rsidRPr="003F30B4">
                <w:rPr>
                  <w:rStyle w:val="Hipercze"/>
                  <w:color w:val="auto"/>
                  <w:u w:val="none"/>
                </w:rPr>
                <w:t>sądy</w:t>
              </w:r>
            </w:hyperlink>
            <w:r w:rsidRPr="003F30B4">
              <w:t>), a kontrolę sprawują sądy.</w:t>
            </w:r>
          </w:p>
          <w:p w14:paraId="6765CFAF" w14:textId="77777777" w:rsidR="003F30B4" w:rsidRDefault="003F30B4"/>
        </w:tc>
        <w:tc>
          <w:tcPr>
            <w:tcW w:w="4715" w:type="dxa"/>
          </w:tcPr>
          <w:p w14:paraId="47DD5313" w14:textId="77777777" w:rsidR="008356C7" w:rsidRDefault="008356C7" w:rsidP="00352254"/>
          <w:p w14:paraId="10C8EC54" w14:textId="77777777" w:rsidR="007B311A" w:rsidRDefault="00E821D9" w:rsidP="00352254">
            <w:pPr>
              <w:rPr>
                <w:b/>
              </w:rPr>
            </w:pPr>
            <w:r>
              <w:t xml:space="preserve">Typową sankcją przy odpowiedzialności ex contractu jest </w:t>
            </w:r>
            <w:r w:rsidRPr="003F30B4">
              <w:rPr>
                <w:b/>
              </w:rPr>
              <w:t>obowiązek naprawienia szkody</w:t>
            </w:r>
            <w:r w:rsidR="008356C7">
              <w:rPr>
                <w:b/>
              </w:rPr>
              <w:t>.</w:t>
            </w:r>
          </w:p>
          <w:p w14:paraId="071EFFA0" w14:textId="77777777" w:rsidR="008356C7" w:rsidRPr="00B55727" w:rsidRDefault="008356C7" w:rsidP="008356C7">
            <w:r w:rsidRPr="008356C7">
              <w:rPr>
                <w:b/>
              </w:rPr>
              <w:lastRenderedPageBreak/>
              <w:t xml:space="preserve"> </w:t>
            </w:r>
            <w:r w:rsidRPr="00B55727">
              <w:t>Może przybierać on różne postacie:</w:t>
            </w:r>
          </w:p>
          <w:p w14:paraId="4B415DF0" w14:textId="77777777" w:rsidR="008356C7" w:rsidRPr="00B55727" w:rsidRDefault="008356C7" w:rsidP="008356C7"/>
          <w:p w14:paraId="25BD9E99" w14:textId="77777777" w:rsidR="008356C7" w:rsidRPr="00B55727" w:rsidRDefault="00000000" w:rsidP="008356C7">
            <w:pPr>
              <w:numPr>
                <w:ilvl w:val="0"/>
                <w:numId w:val="4"/>
              </w:numPr>
            </w:pPr>
            <w:hyperlink r:id="rId43" w:tooltip="Przywrócenie stanu poprzedniego (strona nie istnieje)" w:history="1">
              <w:r w:rsidR="008356C7" w:rsidRPr="00B55727">
                <w:rPr>
                  <w:rStyle w:val="Hipercze"/>
                  <w:color w:val="auto"/>
                  <w:u w:val="none"/>
                </w:rPr>
                <w:t>przywrócenia stanu poprzedniego</w:t>
              </w:r>
            </w:hyperlink>
            <w:r w:rsidR="008356C7" w:rsidRPr="00B55727">
              <w:t>,</w:t>
            </w:r>
          </w:p>
          <w:p w14:paraId="767A2853" w14:textId="77777777" w:rsidR="008356C7" w:rsidRPr="00B55727" w:rsidRDefault="00000000" w:rsidP="008356C7">
            <w:pPr>
              <w:numPr>
                <w:ilvl w:val="0"/>
                <w:numId w:val="4"/>
              </w:numPr>
            </w:pPr>
            <w:hyperlink r:id="rId44" w:tooltip="Odszkodowanie" w:history="1">
              <w:r w:rsidR="008356C7" w:rsidRPr="00B55727">
                <w:rPr>
                  <w:rStyle w:val="Hipercze"/>
                  <w:color w:val="auto"/>
                  <w:u w:val="none"/>
                </w:rPr>
                <w:t>odszkodowania</w:t>
              </w:r>
            </w:hyperlink>
            <w:r w:rsidR="008356C7" w:rsidRPr="00B55727">
              <w:t>, czy</w:t>
            </w:r>
          </w:p>
          <w:p w14:paraId="4769E2B3" w14:textId="77777777" w:rsidR="008356C7" w:rsidRPr="00B55727" w:rsidRDefault="00000000" w:rsidP="008356C7">
            <w:pPr>
              <w:numPr>
                <w:ilvl w:val="0"/>
                <w:numId w:val="4"/>
              </w:numPr>
            </w:pPr>
            <w:hyperlink r:id="rId45" w:tooltip="Zadośćuczynienie" w:history="1">
              <w:r w:rsidR="008356C7" w:rsidRPr="00B55727">
                <w:rPr>
                  <w:rStyle w:val="Hipercze"/>
                  <w:color w:val="auto"/>
                  <w:u w:val="none"/>
                </w:rPr>
                <w:t>zadośćuczynienia</w:t>
              </w:r>
            </w:hyperlink>
            <w:r w:rsidR="008356C7" w:rsidRPr="00B55727">
              <w:t>.</w:t>
            </w:r>
          </w:p>
          <w:p w14:paraId="442AD241" w14:textId="77777777" w:rsidR="008356C7" w:rsidRDefault="008356C7" w:rsidP="00352254"/>
        </w:tc>
        <w:tc>
          <w:tcPr>
            <w:tcW w:w="4715" w:type="dxa"/>
          </w:tcPr>
          <w:p w14:paraId="39D0F0AA" w14:textId="77777777" w:rsidR="008356C7" w:rsidRDefault="008356C7" w:rsidP="003E29DB"/>
          <w:p w14:paraId="1FAD7690" w14:textId="77777777" w:rsidR="003E29DB" w:rsidRDefault="003E29DB" w:rsidP="003E29DB">
            <w:r w:rsidRPr="003E29DB">
              <w:t xml:space="preserve">Typową sankcją odpowiedzialności deliktowej jest </w:t>
            </w:r>
            <w:r w:rsidRPr="00B55727">
              <w:t>obowiązek</w:t>
            </w:r>
            <w:r w:rsidRPr="00B55727">
              <w:rPr>
                <w:b/>
              </w:rPr>
              <w:t> </w:t>
            </w:r>
            <w:hyperlink r:id="rId46" w:tooltip="Naprawienie szkody" w:history="1">
              <w:r w:rsidRPr="00B55727">
                <w:rPr>
                  <w:rStyle w:val="Hipercze"/>
                  <w:b/>
                  <w:color w:val="auto"/>
                  <w:u w:val="none"/>
                </w:rPr>
                <w:t>naprawienia szkody</w:t>
              </w:r>
            </w:hyperlink>
            <w:r w:rsidRPr="003E29DB">
              <w:t>. Może przybierać on różne postacie:</w:t>
            </w:r>
          </w:p>
          <w:p w14:paraId="5CAA2CC1" w14:textId="77777777" w:rsidR="00352254" w:rsidRPr="003E29DB" w:rsidRDefault="00352254" w:rsidP="003E29DB"/>
          <w:p w14:paraId="0783DC08" w14:textId="77777777" w:rsidR="003E29DB" w:rsidRPr="003F30B4" w:rsidRDefault="00000000" w:rsidP="003E29DB">
            <w:pPr>
              <w:numPr>
                <w:ilvl w:val="0"/>
                <w:numId w:val="4"/>
              </w:numPr>
              <w:rPr>
                <w:b/>
              </w:rPr>
            </w:pPr>
            <w:hyperlink r:id="rId47" w:tooltip="Przywrócenie stanu poprzedniego (strona nie istnieje)" w:history="1">
              <w:r w:rsidR="003E29DB" w:rsidRPr="003F30B4">
                <w:rPr>
                  <w:rStyle w:val="Hipercze"/>
                  <w:b/>
                  <w:color w:val="auto"/>
                  <w:u w:val="none"/>
                </w:rPr>
                <w:t>przywrócenia stanu poprzedniego</w:t>
              </w:r>
            </w:hyperlink>
            <w:r w:rsidR="003E29DB" w:rsidRPr="003F30B4">
              <w:rPr>
                <w:b/>
              </w:rPr>
              <w:t>,</w:t>
            </w:r>
          </w:p>
          <w:p w14:paraId="689CD24E" w14:textId="77777777" w:rsidR="003E29DB" w:rsidRPr="003F30B4" w:rsidRDefault="00000000" w:rsidP="003E29DB">
            <w:pPr>
              <w:numPr>
                <w:ilvl w:val="0"/>
                <w:numId w:val="4"/>
              </w:numPr>
              <w:rPr>
                <w:b/>
              </w:rPr>
            </w:pPr>
            <w:hyperlink r:id="rId48" w:tooltip="Odszkodowanie" w:history="1">
              <w:r w:rsidR="003E29DB" w:rsidRPr="003F30B4">
                <w:rPr>
                  <w:rStyle w:val="Hipercze"/>
                  <w:b/>
                  <w:color w:val="auto"/>
                  <w:u w:val="none"/>
                </w:rPr>
                <w:t>odszkodowania</w:t>
              </w:r>
            </w:hyperlink>
            <w:r w:rsidR="003E29DB" w:rsidRPr="003F30B4">
              <w:rPr>
                <w:b/>
              </w:rPr>
              <w:t>, czy</w:t>
            </w:r>
          </w:p>
          <w:p w14:paraId="633CEB67" w14:textId="77777777" w:rsidR="003E29DB" w:rsidRDefault="00000000" w:rsidP="003E29DB">
            <w:pPr>
              <w:numPr>
                <w:ilvl w:val="0"/>
                <w:numId w:val="4"/>
              </w:numPr>
              <w:rPr>
                <w:b/>
              </w:rPr>
            </w:pPr>
            <w:hyperlink r:id="rId49" w:tooltip="Zadośćuczynienie" w:history="1">
              <w:r w:rsidR="003E29DB" w:rsidRPr="003F30B4">
                <w:rPr>
                  <w:rStyle w:val="Hipercze"/>
                  <w:b/>
                  <w:color w:val="auto"/>
                  <w:u w:val="none"/>
                </w:rPr>
                <w:t>zadośćuczynienia</w:t>
              </w:r>
            </w:hyperlink>
            <w:r w:rsidR="003E29DB" w:rsidRPr="003F30B4">
              <w:rPr>
                <w:b/>
              </w:rPr>
              <w:t>.</w:t>
            </w:r>
          </w:p>
          <w:p w14:paraId="331FABEE" w14:textId="77777777" w:rsidR="003F30B4" w:rsidRPr="003F30B4" w:rsidRDefault="003F30B4" w:rsidP="003F30B4">
            <w:pPr>
              <w:ind w:left="720"/>
              <w:rPr>
                <w:b/>
              </w:rPr>
            </w:pPr>
          </w:p>
          <w:p w14:paraId="6113974F" w14:textId="77777777" w:rsidR="003F30B4" w:rsidRPr="00E821D9" w:rsidRDefault="003F30B4" w:rsidP="003F30B4">
            <w:r w:rsidRPr="003F30B4">
              <w:t>Kara w </w:t>
            </w:r>
            <w:hyperlink r:id="rId50" w:tooltip="Prawo cywilne" w:history="1">
              <w:r w:rsidRPr="003F30B4">
                <w:rPr>
                  <w:rStyle w:val="Hipercze"/>
                  <w:color w:val="auto"/>
                  <w:u w:val="none"/>
                </w:rPr>
                <w:t>prawie cywilnym</w:t>
              </w:r>
            </w:hyperlink>
            <w:r w:rsidRPr="003F30B4">
              <w:t> może być określoną w </w:t>
            </w:r>
            <w:hyperlink r:id="rId51" w:tooltip="Umowa" w:history="1">
              <w:r w:rsidRPr="003F30B4">
                <w:rPr>
                  <w:rStyle w:val="Hipercze"/>
                  <w:color w:val="auto"/>
                  <w:u w:val="none"/>
                </w:rPr>
                <w:t>umowie</w:t>
              </w:r>
            </w:hyperlink>
            <w:r w:rsidRPr="003F30B4">
              <w:t> konsekwencją niewykonania lub nienależytego wykonania </w:t>
            </w:r>
            <w:hyperlink r:id="rId52" w:tooltip="Zobowiązanie" w:history="1">
              <w:r w:rsidRPr="003F30B4">
                <w:rPr>
                  <w:rStyle w:val="Hipercze"/>
                  <w:color w:val="auto"/>
                  <w:u w:val="none"/>
                </w:rPr>
                <w:t>zobowiązania</w:t>
              </w:r>
            </w:hyperlink>
            <w:r w:rsidRPr="003F30B4">
              <w:t> i nazywana jest wtedy </w:t>
            </w:r>
            <w:hyperlink r:id="rId53" w:tooltip="Kara umowna" w:history="1">
              <w:r w:rsidRPr="003F30B4">
                <w:rPr>
                  <w:rStyle w:val="Hipercze"/>
                  <w:b/>
                  <w:color w:val="auto"/>
                  <w:u w:val="none"/>
                </w:rPr>
                <w:t>karą umowną</w:t>
              </w:r>
            </w:hyperlink>
            <w:r w:rsidRPr="003F30B4">
              <w:t>.</w:t>
            </w:r>
          </w:p>
          <w:p w14:paraId="47A0A756" w14:textId="77777777" w:rsidR="007B311A" w:rsidRDefault="007B311A"/>
        </w:tc>
      </w:tr>
      <w:tr w:rsidR="007B311A" w14:paraId="61757233" w14:textId="77777777" w:rsidTr="007B311A">
        <w:tc>
          <w:tcPr>
            <w:tcW w:w="4714" w:type="dxa"/>
          </w:tcPr>
          <w:p w14:paraId="37E873AA" w14:textId="77777777" w:rsidR="007B311A" w:rsidRDefault="007B311A"/>
        </w:tc>
        <w:tc>
          <w:tcPr>
            <w:tcW w:w="4715" w:type="dxa"/>
          </w:tcPr>
          <w:p w14:paraId="6BAA0085" w14:textId="77777777" w:rsidR="007B311A" w:rsidRDefault="007B311A"/>
        </w:tc>
        <w:tc>
          <w:tcPr>
            <w:tcW w:w="4715" w:type="dxa"/>
          </w:tcPr>
          <w:p w14:paraId="73E2DE42" w14:textId="77777777" w:rsidR="007B311A" w:rsidRDefault="007B311A"/>
        </w:tc>
      </w:tr>
      <w:tr w:rsidR="007B311A" w14:paraId="62E77A1E" w14:textId="77777777" w:rsidTr="007B311A">
        <w:tc>
          <w:tcPr>
            <w:tcW w:w="4714" w:type="dxa"/>
          </w:tcPr>
          <w:p w14:paraId="71AB01D7" w14:textId="77777777" w:rsidR="007B311A" w:rsidRDefault="007B311A"/>
        </w:tc>
        <w:tc>
          <w:tcPr>
            <w:tcW w:w="4715" w:type="dxa"/>
          </w:tcPr>
          <w:p w14:paraId="487283D9" w14:textId="77777777" w:rsidR="007B311A" w:rsidRDefault="007B311A"/>
        </w:tc>
        <w:tc>
          <w:tcPr>
            <w:tcW w:w="4715" w:type="dxa"/>
          </w:tcPr>
          <w:p w14:paraId="6C3907A7" w14:textId="77777777" w:rsidR="007B311A" w:rsidRDefault="007B311A"/>
        </w:tc>
      </w:tr>
      <w:tr w:rsidR="007B311A" w14:paraId="6FE10F30" w14:textId="77777777" w:rsidTr="007B311A">
        <w:tc>
          <w:tcPr>
            <w:tcW w:w="4714" w:type="dxa"/>
          </w:tcPr>
          <w:p w14:paraId="6544B2D4" w14:textId="77777777" w:rsidR="007B311A" w:rsidRDefault="007B311A"/>
        </w:tc>
        <w:tc>
          <w:tcPr>
            <w:tcW w:w="4715" w:type="dxa"/>
          </w:tcPr>
          <w:p w14:paraId="178D585E" w14:textId="77777777" w:rsidR="007B311A" w:rsidRDefault="007B311A"/>
        </w:tc>
        <w:tc>
          <w:tcPr>
            <w:tcW w:w="4715" w:type="dxa"/>
          </w:tcPr>
          <w:p w14:paraId="2483D076" w14:textId="77777777" w:rsidR="007B311A" w:rsidRDefault="007B311A"/>
        </w:tc>
      </w:tr>
    </w:tbl>
    <w:p w14:paraId="281099DA" w14:textId="77777777" w:rsidR="007B311A" w:rsidRDefault="007B311A"/>
    <w:sectPr w:rsidR="007B311A" w:rsidSect="007B311A">
      <w:headerReference w:type="default" r:id="rId5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8D7DB" w14:textId="77777777" w:rsidR="00C27BF1" w:rsidRDefault="00C27BF1" w:rsidP="00352254">
      <w:pPr>
        <w:spacing w:after="0" w:line="240" w:lineRule="auto"/>
      </w:pPr>
      <w:r>
        <w:separator/>
      </w:r>
    </w:p>
  </w:endnote>
  <w:endnote w:type="continuationSeparator" w:id="0">
    <w:p w14:paraId="64F51D6B" w14:textId="77777777" w:rsidR="00C27BF1" w:rsidRDefault="00C27BF1" w:rsidP="00352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8921F" w14:textId="77777777" w:rsidR="00C27BF1" w:rsidRDefault="00C27BF1" w:rsidP="00352254">
      <w:pPr>
        <w:spacing w:after="0" w:line="240" w:lineRule="auto"/>
      </w:pPr>
      <w:r>
        <w:separator/>
      </w:r>
    </w:p>
  </w:footnote>
  <w:footnote w:type="continuationSeparator" w:id="0">
    <w:p w14:paraId="36631154" w14:textId="77777777" w:rsidR="00C27BF1" w:rsidRDefault="00C27BF1" w:rsidP="00352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904003"/>
      <w:docPartObj>
        <w:docPartGallery w:val="Page Numbers (Top of Page)"/>
        <w:docPartUnique/>
      </w:docPartObj>
    </w:sdtPr>
    <w:sdtContent>
      <w:p w14:paraId="1EC5FA18" w14:textId="77777777" w:rsidR="00352254" w:rsidRDefault="00352254">
        <w:pPr>
          <w:pStyle w:val="Nagwek"/>
          <w:jc w:val="center"/>
        </w:pPr>
        <w:r>
          <w:fldChar w:fldCharType="begin"/>
        </w:r>
        <w:r>
          <w:instrText>PAGE   \* MERGEFORMAT</w:instrText>
        </w:r>
        <w:r>
          <w:fldChar w:fldCharType="separate"/>
        </w:r>
        <w:r w:rsidR="00A13757">
          <w:rPr>
            <w:noProof/>
          </w:rPr>
          <w:t>6</w:t>
        </w:r>
        <w:r>
          <w:fldChar w:fldCharType="end"/>
        </w:r>
      </w:p>
    </w:sdtContent>
  </w:sdt>
  <w:p w14:paraId="2C1839B2" w14:textId="77777777" w:rsidR="00352254" w:rsidRDefault="00352254">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B6D"/>
    <w:multiLevelType w:val="multilevel"/>
    <w:tmpl w:val="0EDC8A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44C9C"/>
    <w:multiLevelType w:val="multilevel"/>
    <w:tmpl w:val="8BF80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31EB6"/>
    <w:multiLevelType w:val="multilevel"/>
    <w:tmpl w:val="A746B8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A6FF2"/>
    <w:multiLevelType w:val="multilevel"/>
    <w:tmpl w:val="4E464A2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A3F25"/>
    <w:multiLevelType w:val="multilevel"/>
    <w:tmpl w:val="835283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22810"/>
    <w:multiLevelType w:val="multilevel"/>
    <w:tmpl w:val="6CBAB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827F0"/>
    <w:multiLevelType w:val="multilevel"/>
    <w:tmpl w:val="9A5643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643F9"/>
    <w:multiLevelType w:val="multilevel"/>
    <w:tmpl w:val="ECCE4F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E62B8"/>
    <w:multiLevelType w:val="multilevel"/>
    <w:tmpl w:val="E362A7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628EE"/>
    <w:multiLevelType w:val="multilevel"/>
    <w:tmpl w:val="F7FC24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203E3"/>
    <w:multiLevelType w:val="multilevel"/>
    <w:tmpl w:val="762CED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F1D0B"/>
    <w:multiLevelType w:val="hybridMultilevel"/>
    <w:tmpl w:val="4A8C6C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ACC750F"/>
    <w:multiLevelType w:val="multilevel"/>
    <w:tmpl w:val="299818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DC1CD7"/>
    <w:multiLevelType w:val="multilevel"/>
    <w:tmpl w:val="43E62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B00C6A"/>
    <w:multiLevelType w:val="multilevel"/>
    <w:tmpl w:val="DF3A5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585893">
    <w:abstractNumId w:val="2"/>
  </w:num>
  <w:num w:numId="2" w16cid:durableId="1528561677">
    <w:abstractNumId w:val="12"/>
  </w:num>
  <w:num w:numId="3" w16cid:durableId="1643148991">
    <w:abstractNumId w:val="8"/>
  </w:num>
  <w:num w:numId="4" w16cid:durableId="350110433">
    <w:abstractNumId w:val="4"/>
  </w:num>
  <w:num w:numId="5" w16cid:durableId="2010517920">
    <w:abstractNumId w:val="5"/>
  </w:num>
  <w:num w:numId="6" w16cid:durableId="557864472">
    <w:abstractNumId w:val="10"/>
  </w:num>
  <w:num w:numId="7" w16cid:durableId="1311977173">
    <w:abstractNumId w:val="13"/>
  </w:num>
  <w:num w:numId="8" w16cid:durableId="2145811166">
    <w:abstractNumId w:val="14"/>
  </w:num>
  <w:num w:numId="9" w16cid:durableId="453869526">
    <w:abstractNumId w:val="0"/>
  </w:num>
  <w:num w:numId="10" w16cid:durableId="17394159">
    <w:abstractNumId w:val="3"/>
  </w:num>
  <w:num w:numId="11" w16cid:durableId="97681317">
    <w:abstractNumId w:val="7"/>
  </w:num>
  <w:num w:numId="12" w16cid:durableId="414521707">
    <w:abstractNumId w:val="1"/>
  </w:num>
  <w:num w:numId="13" w16cid:durableId="1493108909">
    <w:abstractNumId w:val="9"/>
  </w:num>
  <w:num w:numId="14" w16cid:durableId="1403681232">
    <w:abstractNumId w:val="6"/>
  </w:num>
  <w:num w:numId="15" w16cid:durableId="14783045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311A"/>
    <w:rsid w:val="000006B5"/>
    <w:rsid w:val="00002245"/>
    <w:rsid w:val="00006470"/>
    <w:rsid w:val="000177E6"/>
    <w:rsid w:val="00027061"/>
    <w:rsid w:val="00030944"/>
    <w:rsid w:val="00033A52"/>
    <w:rsid w:val="00034A81"/>
    <w:rsid w:val="00040E70"/>
    <w:rsid w:val="000426B1"/>
    <w:rsid w:val="000525F5"/>
    <w:rsid w:val="0005365A"/>
    <w:rsid w:val="0005622E"/>
    <w:rsid w:val="0005662E"/>
    <w:rsid w:val="0006601C"/>
    <w:rsid w:val="000672E7"/>
    <w:rsid w:val="000712D2"/>
    <w:rsid w:val="00082E16"/>
    <w:rsid w:val="0008455E"/>
    <w:rsid w:val="00084C39"/>
    <w:rsid w:val="000856AB"/>
    <w:rsid w:val="00090F48"/>
    <w:rsid w:val="000938AF"/>
    <w:rsid w:val="000975D7"/>
    <w:rsid w:val="000A008C"/>
    <w:rsid w:val="000C3274"/>
    <w:rsid w:val="000C33DD"/>
    <w:rsid w:val="000C4333"/>
    <w:rsid w:val="000C502D"/>
    <w:rsid w:val="000D24AE"/>
    <w:rsid w:val="000D63D1"/>
    <w:rsid w:val="000E0EC8"/>
    <w:rsid w:val="000E5CF1"/>
    <w:rsid w:val="000E62D8"/>
    <w:rsid w:val="00100950"/>
    <w:rsid w:val="00101B82"/>
    <w:rsid w:val="00102663"/>
    <w:rsid w:val="001038FC"/>
    <w:rsid w:val="001041FA"/>
    <w:rsid w:val="00111DB8"/>
    <w:rsid w:val="00116772"/>
    <w:rsid w:val="00121783"/>
    <w:rsid w:val="00126EE4"/>
    <w:rsid w:val="00133B65"/>
    <w:rsid w:val="00141E07"/>
    <w:rsid w:val="001558BE"/>
    <w:rsid w:val="00160848"/>
    <w:rsid w:val="001633EB"/>
    <w:rsid w:val="00167095"/>
    <w:rsid w:val="00177521"/>
    <w:rsid w:val="00180CF8"/>
    <w:rsid w:val="00181067"/>
    <w:rsid w:val="00182FA4"/>
    <w:rsid w:val="001841A9"/>
    <w:rsid w:val="00184266"/>
    <w:rsid w:val="001856A8"/>
    <w:rsid w:val="001B0B3E"/>
    <w:rsid w:val="001B16A4"/>
    <w:rsid w:val="001C5602"/>
    <w:rsid w:val="001D119C"/>
    <w:rsid w:val="001E0ECB"/>
    <w:rsid w:val="001E2F17"/>
    <w:rsid w:val="001E72C8"/>
    <w:rsid w:val="001F1873"/>
    <w:rsid w:val="00207375"/>
    <w:rsid w:val="00211B7E"/>
    <w:rsid w:val="002120C5"/>
    <w:rsid w:val="002129E0"/>
    <w:rsid w:val="00212A9A"/>
    <w:rsid w:val="002142DD"/>
    <w:rsid w:val="002148B3"/>
    <w:rsid w:val="00216DB4"/>
    <w:rsid w:val="002243B1"/>
    <w:rsid w:val="002353E7"/>
    <w:rsid w:val="00236DB2"/>
    <w:rsid w:val="00242E77"/>
    <w:rsid w:val="002570E9"/>
    <w:rsid w:val="00260DB7"/>
    <w:rsid w:val="0026147B"/>
    <w:rsid w:val="00291F36"/>
    <w:rsid w:val="002975EE"/>
    <w:rsid w:val="002A22ED"/>
    <w:rsid w:val="002A38C9"/>
    <w:rsid w:val="002A4DCA"/>
    <w:rsid w:val="002B0FE4"/>
    <w:rsid w:val="002B6372"/>
    <w:rsid w:val="002B748C"/>
    <w:rsid w:val="002C3A60"/>
    <w:rsid w:val="002D07BB"/>
    <w:rsid w:val="002D64C2"/>
    <w:rsid w:val="002E1E12"/>
    <w:rsid w:val="002E7DA3"/>
    <w:rsid w:val="002F3615"/>
    <w:rsid w:val="003023F4"/>
    <w:rsid w:val="00313716"/>
    <w:rsid w:val="00313B69"/>
    <w:rsid w:val="0032053A"/>
    <w:rsid w:val="00324408"/>
    <w:rsid w:val="0033735F"/>
    <w:rsid w:val="00345853"/>
    <w:rsid w:val="00352254"/>
    <w:rsid w:val="00361527"/>
    <w:rsid w:val="00367DF0"/>
    <w:rsid w:val="00371698"/>
    <w:rsid w:val="003779C9"/>
    <w:rsid w:val="003805BC"/>
    <w:rsid w:val="003B4428"/>
    <w:rsid w:val="003B4F69"/>
    <w:rsid w:val="003C1877"/>
    <w:rsid w:val="003C6AAA"/>
    <w:rsid w:val="003C7914"/>
    <w:rsid w:val="003D03B5"/>
    <w:rsid w:val="003D4DC8"/>
    <w:rsid w:val="003D5636"/>
    <w:rsid w:val="003D5915"/>
    <w:rsid w:val="003E1F8C"/>
    <w:rsid w:val="003E29DB"/>
    <w:rsid w:val="003E586B"/>
    <w:rsid w:val="003F30B4"/>
    <w:rsid w:val="003F7193"/>
    <w:rsid w:val="004057C1"/>
    <w:rsid w:val="0042516C"/>
    <w:rsid w:val="00425DF0"/>
    <w:rsid w:val="00426C65"/>
    <w:rsid w:val="00435626"/>
    <w:rsid w:val="004415DA"/>
    <w:rsid w:val="00444BF8"/>
    <w:rsid w:val="00447375"/>
    <w:rsid w:val="0045083F"/>
    <w:rsid w:val="00453F0B"/>
    <w:rsid w:val="00455ECB"/>
    <w:rsid w:val="00466793"/>
    <w:rsid w:val="00467440"/>
    <w:rsid w:val="00470D5C"/>
    <w:rsid w:val="00474C90"/>
    <w:rsid w:val="00485AFC"/>
    <w:rsid w:val="00485E27"/>
    <w:rsid w:val="00492D02"/>
    <w:rsid w:val="00495C82"/>
    <w:rsid w:val="004970AC"/>
    <w:rsid w:val="004A70C9"/>
    <w:rsid w:val="004A710A"/>
    <w:rsid w:val="004B3B3F"/>
    <w:rsid w:val="004B7B25"/>
    <w:rsid w:val="004D5167"/>
    <w:rsid w:val="004E16D0"/>
    <w:rsid w:val="004E2974"/>
    <w:rsid w:val="004E5EAA"/>
    <w:rsid w:val="004E6DD7"/>
    <w:rsid w:val="004F147F"/>
    <w:rsid w:val="00501423"/>
    <w:rsid w:val="00504FCA"/>
    <w:rsid w:val="00506EC0"/>
    <w:rsid w:val="00507A30"/>
    <w:rsid w:val="00510448"/>
    <w:rsid w:val="00514C1C"/>
    <w:rsid w:val="0051667B"/>
    <w:rsid w:val="00521F9D"/>
    <w:rsid w:val="00526A67"/>
    <w:rsid w:val="0054420C"/>
    <w:rsid w:val="0054604D"/>
    <w:rsid w:val="005462BD"/>
    <w:rsid w:val="00550493"/>
    <w:rsid w:val="00555250"/>
    <w:rsid w:val="0055696C"/>
    <w:rsid w:val="00557A82"/>
    <w:rsid w:val="00575B1E"/>
    <w:rsid w:val="0058433F"/>
    <w:rsid w:val="00590E5F"/>
    <w:rsid w:val="005940C8"/>
    <w:rsid w:val="00597789"/>
    <w:rsid w:val="005A086B"/>
    <w:rsid w:val="005B179C"/>
    <w:rsid w:val="005B4FC2"/>
    <w:rsid w:val="005C458E"/>
    <w:rsid w:val="005C6260"/>
    <w:rsid w:val="005D3008"/>
    <w:rsid w:val="005E08A0"/>
    <w:rsid w:val="005E2CCB"/>
    <w:rsid w:val="005F2141"/>
    <w:rsid w:val="005F2CC4"/>
    <w:rsid w:val="005F5EDC"/>
    <w:rsid w:val="005F669F"/>
    <w:rsid w:val="00601B3C"/>
    <w:rsid w:val="006169D9"/>
    <w:rsid w:val="00617531"/>
    <w:rsid w:val="00620A10"/>
    <w:rsid w:val="006234CF"/>
    <w:rsid w:val="006239A1"/>
    <w:rsid w:val="00625412"/>
    <w:rsid w:val="00627F8F"/>
    <w:rsid w:val="00631CAA"/>
    <w:rsid w:val="0063420A"/>
    <w:rsid w:val="0063726C"/>
    <w:rsid w:val="0065079E"/>
    <w:rsid w:val="0065244E"/>
    <w:rsid w:val="00656100"/>
    <w:rsid w:val="00656721"/>
    <w:rsid w:val="006642D5"/>
    <w:rsid w:val="00664519"/>
    <w:rsid w:val="006660BD"/>
    <w:rsid w:val="00666907"/>
    <w:rsid w:val="00670B5A"/>
    <w:rsid w:val="00671B07"/>
    <w:rsid w:val="00672696"/>
    <w:rsid w:val="00675B32"/>
    <w:rsid w:val="006802D6"/>
    <w:rsid w:val="00680B26"/>
    <w:rsid w:val="00684F52"/>
    <w:rsid w:val="00690E66"/>
    <w:rsid w:val="00694F50"/>
    <w:rsid w:val="006B121C"/>
    <w:rsid w:val="006B3CC3"/>
    <w:rsid w:val="006E5871"/>
    <w:rsid w:val="006F3C84"/>
    <w:rsid w:val="00712043"/>
    <w:rsid w:val="00720628"/>
    <w:rsid w:val="00732B40"/>
    <w:rsid w:val="00746BE9"/>
    <w:rsid w:val="00763242"/>
    <w:rsid w:val="0078002C"/>
    <w:rsid w:val="00781068"/>
    <w:rsid w:val="00781A2F"/>
    <w:rsid w:val="00785C16"/>
    <w:rsid w:val="00787947"/>
    <w:rsid w:val="007971F7"/>
    <w:rsid w:val="007A3A1F"/>
    <w:rsid w:val="007B08CF"/>
    <w:rsid w:val="007B205F"/>
    <w:rsid w:val="007B311A"/>
    <w:rsid w:val="007C0CFD"/>
    <w:rsid w:val="007C3AEA"/>
    <w:rsid w:val="007D2924"/>
    <w:rsid w:val="007D31AA"/>
    <w:rsid w:val="007E2031"/>
    <w:rsid w:val="007F3EC6"/>
    <w:rsid w:val="0080261A"/>
    <w:rsid w:val="0081366F"/>
    <w:rsid w:val="00825D65"/>
    <w:rsid w:val="00826C25"/>
    <w:rsid w:val="00830688"/>
    <w:rsid w:val="00830CFF"/>
    <w:rsid w:val="0083566C"/>
    <w:rsid w:val="008356C7"/>
    <w:rsid w:val="00853DAA"/>
    <w:rsid w:val="008545E2"/>
    <w:rsid w:val="00867ADC"/>
    <w:rsid w:val="00871608"/>
    <w:rsid w:val="00871825"/>
    <w:rsid w:val="008720A7"/>
    <w:rsid w:val="008818CC"/>
    <w:rsid w:val="008A0B86"/>
    <w:rsid w:val="008B37E5"/>
    <w:rsid w:val="008C03A5"/>
    <w:rsid w:val="008C17FA"/>
    <w:rsid w:val="008C7B58"/>
    <w:rsid w:val="008D3799"/>
    <w:rsid w:val="008D4F9E"/>
    <w:rsid w:val="008E6998"/>
    <w:rsid w:val="008E7A72"/>
    <w:rsid w:val="008F3325"/>
    <w:rsid w:val="00900C1C"/>
    <w:rsid w:val="0090522A"/>
    <w:rsid w:val="00916D1D"/>
    <w:rsid w:val="00927976"/>
    <w:rsid w:val="009323D6"/>
    <w:rsid w:val="009406EF"/>
    <w:rsid w:val="00940791"/>
    <w:rsid w:val="0094109E"/>
    <w:rsid w:val="00945507"/>
    <w:rsid w:val="0095243A"/>
    <w:rsid w:val="00953D93"/>
    <w:rsid w:val="00954182"/>
    <w:rsid w:val="00955AB8"/>
    <w:rsid w:val="009568DC"/>
    <w:rsid w:val="009630DA"/>
    <w:rsid w:val="009671FC"/>
    <w:rsid w:val="00974DEA"/>
    <w:rsid w:val="00976F43"/>
    <w:rsid w:val="00982D04"/>
    <w:rsid w:val="0098311A"/>
    <w:rsid w:val="00983A40"/>
    <w:rsid w:val="00985FA8"/>
    <w:rsid w:val="00992120"/>
    <w:rsid w:val="009A1F64"/>
    <w:rsid w:val="009A417D"/>
    <w:rsid w:val="009A5644"/>
    <w:rsid w:val="009B5957"/>
    <w:rsid w:val="009B6E94"/>
    <w:rsid w:val="009B729D"/>
    <w:rsid w:val="009C2ACB"/>
    <w:rsid w:val="009E05EC"/>
    <w:rsid w:val="009E22B4"/>
    <w:rsid w:val="009E47A0"/>
    <w:rsid w:val="009F3AA0"/>
    <w:rsid w:val="00A13757"/>
    <w:rsid w:val="00A21155"/>
    <w:rsid w:val="00A21F61"/>
    <w:rsid w:val="00A237F7"/>
    <w:rsid w:val="00A25288"/>
    <w:rsid w:val="00A273BB"/>
    <w:rsid w:val="00A27E09"/>
    <w:rsid w:val="00A3480B"/>
    <w:rsid w:val="00A56717"/>
    <w:rsid w:val="00A60ED8"/>
    <w:rsid w:val="00A610E2"/>
    <w:rsid w:val="00A65D72"/>
    <w:rsid w:val="00A77CF9"/>
    <w:rsid w:val="00A81E13"/>
    <w:rsid w:val="00A87989"/>
    <w:rsid w:val="00A919D0"/>
    <w:rsid w:val="00A946EF"/>
    <w:rsid w:val="00AA35DE"/>
    <w:rsid w:val="00AA48CA"/>
    <w:rsid w:val="00AB1347"/>
    <w:rsid w:val="00AB2F01"/>
    <w:rsid w:val="00AB7735"/>
    <w:rsid w:val="00AC2E27"/>
    <w:rsid w:val="00AC6DC7"/>
    <w:rsid w:val="00AE7CBD"/>
    <w:rsid w:val="00AF19AB"/>
    <w:rsid w:val="00AF1CCA"/>
    <w:rsid w:val="00AF1E47"/>
    <w:rsid w:val="00AF22B7"/>
    <w:rsid w:val="00AF2463"/>
    <w:rsid w:val="00B001E3"/>
    <w:rsid w:val="00B00287"/>
    <w:rsid w:val="00B176A2"/>
    <w:rsid w:val="00B24DD1"/>
    <w:rsid w:val="00B25CAC"/>
    <w:rsid w:val="00B4572C"/>
    <w:rsid w:val="00B507A4"/>
    <w:rsid w:val="00B5559A"/>
    <w:rsid w:val="00B55727"/>
    <w:rsid w:val="00B57CE8"/>
    <w:rsid w:val="00B61409"/>
    <w:rsid w:val="00B63DA9"/>
    <w:rsid w:val="00B64DD7"/>
    <w:rsid w:val="00B656A3"/>
    <w:rsid w:val="00B66ADC"/>
    <w:rsid w:val="00B67014"/>
    <w:rsid w:val="00B7056E"/>
    <w:rsid w:val="00B715F4"/>
    <w:rsid w:val="00B7285D"/>
    <w:rsid w:val="00B73F53"/>
    <w:rsid w:val="00B84327"/>
    <w:rsid w:val="00B873EB"/>
    <w:rsid w:val="00B90701"/>
    <w:rsid w:val="00B97CCD"/>
    <w:rsid w:val="00BA2721"/>
    <w:rsid w:val="00BB0C50"/>
    <w:rsid w:val="00BB2B2D"/>
    <w:rsid w:val="00BB55E4"/>
    <w:rsid w:val="00BC6524"/>
    <w:rsid w:val="00BD14B8"/>
    <w:rsid w:val="00BE1DCC"/>
    <w:rsid w:val="00BE29FE"/>
    <w:rsid w:val="00BF17AC"/>
    <w:rsid w:val="00BF2A83"/>
    <w:rsid w:val="00BF6BE0"/>
    <w:rsid w:val="00BF77F0"/>
    <w:rsid w:val="00C03F11"/>
    <w:rsid w:val="00C05171"/>
    <w:rsid w:val="00C126D1"/>
    <w:rsid w:val="00C137BC"/>
    <w:rsid w:val="00C16B43"/>
    <w:rsid w:val="00C16D26"/>
    <w:rsid w:val="00C20180"/>
    <w:rsid w:val="00C242D3"/>
    <w:rsid w:val="00C24703"/>
    <w:rsid w:val="00C2655C"/>
    <w:rsid w:val="00C27BF1"/>
    <w:rsid w:val="00C342E9"/>
    <w:rsid w:val="00C35AE9"/>
    <w:rsid w:val="00C40598"/>
    <w:rsid w:val="00C521B7"/>
    <w:rsid w:val="00C53157"/>
    <w:rsid w:val="00C5318D"/>
    <w:rsid w:val="00C63479"/>
    <w:rsid w:val="00C64FEE"/>
    <w:rsid w:val="00C75683"/>
    <w:rsid w:val="00C82B50"/>
    <w:rsid w:val="00CA093D"/>
    <w:rsid w:val="00CA1CF7"/>
    <w:rsid w:val="00CA24E7"/>
    <w:rsid w:val="00CA41E6"/>
    <w:rsid w:val="00CA4680"/>
    <w:rsid w:val="00CA4FCF"/>
    <w:rsid w:val="00CB0915"/>
    <w:rsid w:val="00CB0EB0"/>
    <w:rsid w:val="00CB1403"/>
    <w:rsid w:val="00CC29A7"/>
    <w:rsid w:val="00CE1C95"/>
    <w:rsid w:val="00CF1A92"/>
    <w:rsid w:val="00CF5A4F"/>
    <w:rsid w:val="00D21E2D"/>
    <w:rsid w:val="00D2318A"/>
    <w:rsid w:val="00D47178"/>
    <w:rsid w:val="00D5462A"/>
    <w:rsid w:val="00D56E9D"/>
    <w:rsid w:val="00D63379"/>
    <w:rsid w:val="00D66851"/>
    <w:rsid w:val="00D72E22"/>
    <w:rsid w:val="00D75AA7"/>
    <w:rsid w:val="00D7620C"/>
    <w:rsid w:val="00D86448"/>
    <w:rsid w:val="00D870E0"/>
    <w:rsid w:val="00D94A65"/>
    <w:rsid w:val="00D95BC7"/>
    <w:rsid w:val="00DA30B1"/>
    <w:rsid w:val="00DA6420"/>
    <w:rsid w:val="00DA7FA2"/>
    <w:rsid w:val="00DB59F8"/>
    <w:rsid w:val="00DC69BA"/>
    <w:rsid w:val="00DD325F"/>
    <w:rsid w:val="00DD3D9D"/>
    <w:rsid w:val="00DD47B5"/>
    <w:rsid w:val="00DD4DA3"/>
    <w:rsid w:val="00DD52CE"/>
    <w:rsid w:val="00DD7630"/>
    <w:rsid w:val="00DE5A07"/>
    <w:rsid w:val="00DE5F09"/>
    <w:rsid w:val="00DE7296"/>
    <w:rsid w:val="00DF336C"/>
    <w:rsid w:val="00DF5A87"/>
    <w:rsid w:val="00DF5CD0"/>
    <w:rsid w:val="00DF7F57"/>
    <w:rsid w:val="00E047D1"/>
    <w:rsid w:val="00E10291"/>
    <w:rsid w:val="00E15D1E"/>
    <w:rsid w:val="00E24FDA"/>
    <w:rsid w:val="00E273CC"/>
    <w:rsid w:val="00E341B3"/>
    <w:rsid w:val="00E34647"/>
    <w:rsid w:val="00E35F9F"/>
    <w:rsid w:val="00E37496"/>
    <w:rsid w:val="00E376E7"/>
    <w:rsid w:val="00E529CC"/>
    <w:rsid w:val="00E546CD"/>
    <w:rsid w:val="00E57309"/>
    <w:rsid w:val="00E60AD8"/>
    <w:rsid w:val="00E757A0"/>
    <w:rsid w:val="00E80C2A"/>
    <w:rsid w:val="00E821D9"/>
    <w:rsid w:val="00E855C3"/>
    <w:rsid w:val="00E858E6"/>
    <w:rsid w:val="00E86B14"/>
    <w:rsid w:val="00E92F04"/>
    <w:rsid w:val="00E96236"/>
    <w:rsid w:val="00EA0268"/>
    <w:rsid w:val="00EA371F"/>
    <w:rsid w:val="00EB5A49"/>
    <w:rsid w:val="00EC0F2C"/>
    <w:rsid w:val="00EC51D2"/>
    <w:rsid w:val="00ED3429"/>
    <w:rsid w:val="00EE0545"/>
    <w:rsid w:val="00EE7AFF"/>
    <w:rsid w:val="00EF1F07"/>
    <w:rsid w:val="00EF23D1"/>
    <w:rsid w:val="00EF32C8"/>
    <w:rsid w:val="00EF5CE7"/>
    <w:rsid w:val="00EF7BD5"/>
    <w:rsid w:val="00F0249A"/>
    <w:rsid w:val="00F0452B"/>
    <w:rsid w:val="00F12EFD"/>
    <w:rsid w:val="00F17A5D"/>
    <w:rsid w:val="00F17B15"/>
    <w:rsid w:val="00F236A4"/>
    <w:rsid w:val="00F33375"/>
    <w:rsid w:val="00F34F51"/>
    <w:rsid w:val="00F36EDE"/>
    <w:rsid w:val="00F4011D"/>
    <w:rsid w:val="00F45207"/>
    <w:rsid w:val="00F549BE"/>
    <w:rsid w:val="00F561A2"/>
    <w:rsid w:val="00F6061D"/>
    <w:rsid w:val="00F654B1"/>
    <w:rsid w:val="00F657A9"/>
    <w:rsid w:val="00F67C06"/>
    <w:rsid w:val="00F70F3F"/>
    <w:rsid w:val="00F71C6E"/>
    <w:rsid w:val="00F72203"/>
    <w:rsid w:val="00F72DC9"/>
    <w:rsid w:val="00F77346"/>
    <w:rsid w:val="00F81BF7"/>
    <w:rsid w:val="00F82051"/>
    <w:rsid w:val="00F9418D"/>
    <w:rsid w:val="00F94465"/>
    <w:rsid w:val="00F95D75"/>
    <w:rsid w:val="00F973FF"/>
    <w:rsid w:val="00FA05CE"/>
    <w:rsid w:val="00FA119E"/>
    <w:rsid w:val="00FA22D3"/>
    <w:rsid w:val="00FA31AB"/>
    <w:rsid w:val="00FA5F56"/>
    <w:rsid w:val="00FB2552"/>
    <w:rsid w:val="00FC018C"/>
    <w:rsid w:val="00FC7E3C"/>
    <w:rsid w:val="00FD0731"/>
    <w:rsid w:val="00FD7E71"/>
    <w:rsid w:val="00FE34B5"/>
    <w:rsid w:val="00FE48C3"/>
    <w:rsid w:val="00FE4D2F"/>
    <w:rsid w:val="00FF25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D3F0"/>
  <w15:docId w15:val="{8896E58B-F600-4255-95A7-64C58845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7B3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3E29DB"/>
    <w:rPr>
      <w:color w:val="0000FF" w:themeColor="hyperlink"/>
      <w:u w:val="single"/>
    </w:rPr>
  </w:style>
  <w:style w:type="paragraph" w:styleId="NormalnyWeb">
    <w:name w:val="Normal (Web)"/>
    <w:basedOn w:val="Normalny"/>
    <w:uiPriority w:val="99"/>
    <w:semiHidden/>
    <w:unhideWhenUsed/>
    <w:rsid w:val="00033A52"/>
  </w:style>
  <w:style w:type="character" w:styleId="UyteHipercze">
    <w:name w:val="FollowedHyperlink"/>
    <w:basedOn w:val="Domylnaczcionkaakapitu"/>
    <w:uiPriority w:val="99"/>
    <w:semiHidden/>
    <w:unhideWhenUsed/>
    <w:rsid w:val="003E1F8C"/>
    <w:rPr>
      <w:color w:val="800080" w:themeColor="followedHyperlink"/>
      <w:u w:val="single"/>
    </w:rPr>
  </w:style>
  <w:style w:type="paragraph" w:styleId="Nagwek">
    <w:name w:val="header"/>
    <w:basedOn w:val="Normalny"/>
    <w:link w:val="NagwekZnak"/>
    <w:uiPriority w:val="99"/>
    <w:unhideWhenUsed/>
    <w:rsid w:val="0035225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52254"/>
  </w:style>
  <w:style w:type="paragraph" w:styleId="Stopka">
    <w:name w:val="footer"/>
    <w:basedOn w:val="Normalny"/>
    <w:link w:val="StopkaZnak"/>
    <w:uiPriority w:val="99"/>
    <w:unhideWhenUsed/>
    <w:rsid w:val="0035225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52254"/>
  </w:style>
  <w:style w:type="paragraph" w:styleId="Akapitzlist">
    <w:name w:val="List Paragraph"/>
    <w:basedOn w:val="Normalny"/>
    <w:uiPriority w:val="34"/>
    <w:qFormat/>
    <w:rsid w:val="00DE7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1881">
      <w:bodyDiv w:val="1"/>
      <w:marLeft w:val="0"/>
      <w:marRight w:val="0"/>
      <w:marTop w:val="0"/>
      <w:marBottom w:val="0"/>
      <w:divBdr>
        <w:top w:val="none" w:sz="0" w:space="0" w:color="auto"/>
        <w:left w:val="none" w:sz="0" w:space="0" w:color="auto"/>
        <w:bottom w:val="none" w:sz="0" w:space="0" w:color="auto"/>
        <w:right w:val="none" w:sz="0" w:space="0" w:color="auto"/>
      </w:divBdr>
    </w:div>
    <w:div w:id="304704943">
      <w:bodyDiv w:val="1"/>
      <w:marLeft w:val="0"/>
      <w:marRight w:val="0"/>
      <w:marTop w:val="0"/>
      <w:marBottom w:val="0"/>
      <w:divBdr>
        <w:top w:val="none" w:sz="0" w:space="0" w:color="auto"/>
        <w:left w:val="none" w:sz="0" w:space="0" w:color="auto"/>
        <w:bottom w:val="none" w:sz="0" w:space="0" w:color="auto"/>
        <w:right w:val="none" w:sz="0" w:space="0" w:color="auto"/>
      </w:divBdr>
    </w:div>
    <w:div w:id="312370055">
      <w:bodyDiv w:val="1"/>
      <w:marLeft w:val="0"/>
      <w:marRight w:val="0"/>
      <w:marTop w:val="0"/>
      <w:marBottom w:val="0"/>
      <w:divBdr>
        <w:top w:val="none" w:sz="0" w:space="0" w:color="auto"/>
        <w:left w:val="none" w:sz="0" w:space="0" w:color="auto"/>
        <w:bottom w:val="none" w:sz="0" w:space="0" w:color="auto"/>
        <w:right w:val="none" w:sz="0" w:space="0" w:color="auto"/>
      </w:divBdr>
    </w:div>
    <w:div w:id="408037044">
      <w:bodyDiv w:val="1"/>
      <w:marLeft w:val="0"/>
      <w:marRight w:val="0"/>
      <w:marTop w:val="0"/>
      <w:marBottom w:val="0"/>
      <w:divBdr>
        <w:top w:val="none" w:sz="0" w:space="0" w:color="auto"/>
        <w:left w:val="none" w:sz="0" w:space="0" w:color="auto"/>
        <w:bottom w:val="none" w:sz="0" w:space="0" w:color="auto"/>
        <w:right w:val="none" w:sz="0" w:space="0" w:color="auto"/>
      </w:divBdr>
    </w:div>
    <w:div w:id="448361064">
      <w:bodyDiv w:val="1"/>
      <w:marLeft w:val="0"/>
      <w:marRight w:val="0"/>
      <w:marTop w:val="0"/>
      <w:marBottom w:val="0"/>
      <w:divBdr>
        <w:top w:val="none" w:sz="0" w:space="0" w:color="auto"/>
        <w:left w:val="none" w:sz="0" w:space="0" w:color="auto"/>
        <w:bottom w:val="none" w:sz="0" w:space="0" w:color="auto"/>
        <w:right w:val="none" w:sz="0" w:space="0" w:color="auto"/>
      </w:divBdr>
    </w:div>
    <w:div w:id="658340052">
      <w:bodyDiv w:val="1"/>
      <w:marLeft w:val="0"/>
      <w:marRight w:val="0"/>
      <w:marTop w:val="0"/>
      <w:marBottom w:val="0"/>
      <w:divBdr>
        <w:top w:val="none" w:sz="0" w:space="0" w:color="auto"/>
        <w:left w:val="none" w:sz="0" w:space="0" w:color="auto"/>
        <w:bottom w:val="none" w:sz="0" w:space="0" w:color="auto"/>
        <w:right w:val="none" w:sz="0" w:space="0" w:color="auto"/>
      </w:divBdr>
    </w:div>
    <w:div w:id="1161896655">
      <w:bodyDiv w:val="1"/>
      <w:marLeft w:val="0"/>
      <w:marRight w:val="0"/>
      <w:marTop w:val="0"/>
      <w:marBottom w:val="0"/>
      <w:divBdr>
        <w:top w:val="none" w:sz="0" w:space="0" w:color="auto"/>
        <w:left w:val="none" w:sz="0" w:space="0" w:color="auto"/>
        <w:bottom w:val="none" w:sz="0" w:space="0" w:color="auto"/>
        <w:right w:val="none" w:sz="0" w:space="0" w:color="auto"/>
      </w:divBdr>
    </w:div>
    <w:div w:id="1609191773">
      <w:bodyDiv w:val="1"/>
      <w:marLeft w:val="0"/>
      <w:marRight w:val="0"/>
      <w:marTop w:val="0"/>
      <w:marBottom w:val="0"/>
      <w:divBdr>
        <w:top w:val="none" w:sz="0" w:space="0" w:color="auto"/>
        <w:left w:val="none" w:sz="0" w:space="0" w:color="auto"/>
        <w:bottom w:val="none" w:sz="0" w:space="0" w:color="auto"/>
        <w:right w:val="none" w:sz="0" w:space="0" w:color="auto"/>
      </w:divBdr>
    </w:div>
    <w:div w:id="1722242957">
      <w:bodyDiv w:val="1"/>
      <w:marLeft w:val="0"/>
      <w:marRight w:val="0"/>
      <w:marTop w:val="0"/>
      <w:marBottom w:val="0"/>
      <w:divBdr>
        <w:top w:val="none" w:sz="0" w:space="0" w:color="auto"/>
        <w:left w:val="none" w:sz="0" w:space="0" w:color="auto"/>
        <w:bottom w:val="none" w:sz="0" w:space="0" w:color="auto"/>
        <w:right w:val="none" w:sz="0" w:space="0" w:color="auto"/>
      </w:divBdr>
    </w:div>
    <w:div w:id="1805469247">
      <w:bodyDiv w:val="1"/>
      <w:marLeft w:val="0"/>
      <w:marRight w:val="0"/>
      <w:marTop w:val="0"/>
      <w:marBottom w:val="0"/>
      <w:divBdr>
        <w:top w:val="none" w:sz="0" w:space="0" w:color="auto"/>
        <w:left w:val="none" w:sz="0" w:space="0" w:color="auto"/>
        <w:bottom w:val="none" w:sz="0" w:space="0" w:color="auto"/>
        <w:right w:val="none" w:sz="0" w:space="0" w:color="auto"/>
      </w:divBdr>
    </w:div>
    <w:div w:id="1935817316">
      <w:bodyDiv w:val="1"/>
      <w:marLeft w:val="0"/>
      <w:marRight w:val="0"/>
      <w:marTop w:val="0"/>
      <w:marBottom w:val="0"/>
      <w:divBdr>
        <w:top w:val="none" w:sz="0" w:space="0" w:color="auto"/>
        <w:left w:val="none" w:sz="0" w:space="0" w:color="auto"/>
        <w:bottom w:val="none" w:sz="0" w:space="0" w:color="auto"/>
        <w:right w:val="none" w:sz="0" w:space="0" w:color="auto"/>
      </w:divBdr>
    </w:div>
    <w:div w:id="203175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l.wikipedia.org/wiki/System_prawa_kontynentalnego" TargetMode="External"/><Relationship Id="rId18" Type="http://schemas.openxmlformats.org/officeDocument/2006/relationships/hyperlink" Target="http://pl.wikipedia.org/wiki/Czyn_niedozwolony" TargetMode="External"/><Relationship Id="rId26" Type="http://schemas.openxmlformats.org/officeDocument/2006/relationships/hyperlink" Target="http://pl.wikipedia.org/wiki/Si%C5%82a_wy%C5%BCsza" TargetMode="External"/><Relationship Id="rId39" Type="http://schemas.openxmlformats.org/officeDocument/2006/relationships/hyperlink" Target="http://pl.wikipedia.org/wiki/Podmiot_prawa" TargetMode="External"/><Relationship Id="rId21" Type="http://schemas.openxmlformats.org/officeDocument/2006/relationships/hyperlink" Target="http://pl.wikipedia.org/w/index.php?title=Ekskulpacja&amp;action=edit&amp;redlink=1" TargetMode="External"/><Relationship Id="rId34" Type="http://schemas.openxmlformats.org/officeDocument/2006/relationships/hyperlink" Target="http://pl.wikipedia.org/wiki/Kara_aresztu_wojskowego" TargetMode="External"/><Relationship Id="rId42" Type="http://schemas.openxmlformats.org/officeDocument/2006/relationships/hyperlink" Target="http://pl.wikipedia.org/wiki/S%C4%85d" TargetMode="External"/><Relationship Id="rId47" Type="http://schemas.openxmlformats.org/officeDocument/2006/relationships/hyperlink" Target="http://pl.wikipedia.org/w/index.php?title=Przywr%C3%B3cenie_stanu_poprzedniego&amp;action=edit&amp;redlink=1" TargetMode="External"/><Relationship Id="rId50" Type="http://schemas.openxmlformats.org/officeDocument/2006/relationships/hyperlink" Target="http://pl.wikipedia.org/wiki/Prawo_cywilne" TargetMode="External"/><Relationship Id="rId55" Type="http://schemas.openxmlformats.org/officeDocument/2006/relationships/fontTable" Target="fontTable.xml"/><Relationship Id="rId7" Type="http://schemas.openxmlformats.org/officeDocument/2006/relationships/hyperlink" Target="http://pl.wikipedia.org/wiki/Przest%C4%99pstwo" TargetMode="External"/><Relationship Id="rId12" Type="http://schemas.openxmlformats.org/officeDocument/2006/relationships/hyperlink" Target="http://pl.wikipedia.org/wiki/Czyn_niedozwolony" TargetMode="External"/><Relationship Id="rId17" Type="http://schemas.openxmlformats.org/officeDocument/2006/relationships/hyperlink" Target="http://pl.wikipedia.org/wiki/Szkoda_(prawo)" TargetMode="External"/><Relationship Id="rId25" Type="http://schemas.openxmlformats.org/officeDocument/2006/relationships/hyperlink" Target="http://pl.wikipedia.org/wiki/Odpowiedzialno%C5%9B%C4%87_na_zasadzie_ryzyka" TargetMode="External"/><Relationship Id="rId33" Type="http://schemas.openxmlformats.org/officeDocument/2006/relationships/hyperlink" Target="http://pl.wikipedia.org/wiki/Kara_do%C5%BCywotniego_pozbawienia_wolno%C5%9Bci" TargetMode="External"/><Relationship Id="rId38" Type="http://schemas.openxmlformats.org/officeDocument/2006/relationships/hyperlink" Target="http://pl.wikipedia.org/wiki/Przepis_prawa" TargetMode="External"/><Relationship Id="rId46" Type="http://schemas.openxmlformats.org/officeDocument/2006/relationships/hyperlink" Target="http://pl.wikipedia.org/wiki/Naprawienie_szkody" TargetMode="External"/><Relationship Id="rId2" Type="http://schemas.openxmlformats.org/officeDocument/2006/relationships/styles" Target="styles.xml"/><Relationship Id="rId16" Type="http://schemas.openxmlformats.org/officeDocument/2006/relationships/hyperlink" Target="http://pl.wikipedia.org/w/index.php?title=Prawa_zobowi%C4%85za%C5%84&amp;action=edit&amp;redlink=1" TargetMode="External"/><Relationship Id="rId20" Type="http://schemas.openxmlformats.org/officeDocument/2006/relationships/hyperlink" Target="http://pl.wikipedia.org/wiki/Wina" TargetMode="External"/><Relationship Id="rId29" Type="http://schemas.openxmlformats.org/officeDocument/2006/relationships/hyperlink" Target="http://pl.wikipedia.org/wiki/Grzywna_(prawo)" TargetMode="External"/><Relationship Id="rId41" Type="http://schemas.openxmlformats.org/officeDocument/2006/relationships/hyperlink" Target="http://pl.wikipedia.org/wiki/Prawo_administracyjne"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wikipedia.org/wiki/Zobowi%C4%85zanie" TargetMode="External"/><Relationship Id="rId24" Type="http://schemas.openxmlformats.org/officeDocument/2006/relationships/hyperlink" Target="http://pl.wikipedia.org/wiki/Szkoda" TargetMode="External"/><Relationship Id="rId32" Type="http://schemas.openxmlformats.org/officeDocument/2006/relationships/hyperlink" Target="http://pl.wikipedia.org/wiki/Kara_25_lat_pozbawienia_wolno%C5%9Bci" TargetMode="External"/><Relationship Id="rId37" Type="http://schemas.openxmlformats.org/officeDocument/2006/relationships/hyperlink" Target="http://pl.wikipedia.org/wiki/Uprawnienie" TargetMode="External"/><Relationship Id="rId40" Type="http://schemas.openxmlformats.org/officeDocument/2006/relationships/hyperlink" Target="http://pl.wikipedia.org/wiki/Sankcja" TargetMode="External"/><Relationship Id="rId45" Type="http://schemas.openxmlformats.org/officeDocument/2006/relationships/hyperlink" Target="http://pl.wikipedia.org/wiki/Zado%C5%9B%C4%87uczynienie" TargetMode="External"/><Relationship Id="rId53" Type="http://schemas.openxmlformats.org/officeDocument/2006/relationships/hyperlink" Target="http://pl.wikipedia.org/wiki/Kara_umowna" TargetMode="External"/><Relationship Id="rId5" Type="http://schemas.openxmlformats.org/officeDocument/2006/relationships/footnotes" Target="footnotes.xml"/><Relationship Id="rId15" Type="http://schemas.openxmlformats.org/officeDocument/2006/relationships/hyperlink" Target="http://pl.wikipedia.org/wiki/Common_law" TargetMode="External"/><Relationship Id="rId23" Type="http://schemas.openxmlformats.org/officeDocument/2006/relationships/hyperlink" Target="http://pl.wikipedia.org/wiki/Stres" TargetMode="External"/><Relationship Id="rId28" Type="http://schemas.openxmlformats.org/officeDocument/2006/relationships/hyperlink" Target="http://pl.wikipedia.org/wiki/Prawo_karne" TargetMode="External"/><Relationship Id="rId36" Type="http://schemas.openxmlformats.org/officeDocument/2006/relationships/hyperlink" Target="http://pl.wikipedia.org/wiki/S%C4%85d" TargetMode="External"/><Relationship Id="rId49" Type="http://schemas.openxmlformats.org/officeDocument/2006/relationships/hyperlink" Target="http://pl.wikipedia.org/wiki/Zado%C5%9B%C4%87uczynienie" TargetMode="External"/><Relationship Id="rId10" Type="http://schemas.openxmlformats.org/officeDocument/2006/relationships/hyperlink" Target="http://pl.wikipedia.org/wiki/Zamiar" TargetMode="External"/><Relationship Id="rId19" Type="http://schemas.openxmlformats.org/officeDocument/2006/relationships/hyperlink" Target="http://pl.wikipedia.org/wiki/Zwi%C4%85zek_przyczynowy" TargetMode="External"/><Relationship Id="rId31" Type="http://schemas.openxmlformats.org/officeDocument/2006/relationships/hyperlink" Target="http://pl.wikipedia.org/wiki/Pozbawienie_wolno%C5%9Bci" TargetMode="External"/><Relationship Id="rId44" Type="http://schemas.openxmlformats.org/officeDocument/2006/relationships/hyperlink" Target="http://pl.wikipedia.org/wiki/Odszkodowanie" TargetMode="External"/><Relationship Id="rId52" Type="http://schemas.openxmlformats.org/officeDocument/2006/relationships/hyperlink" Target="http://pl.wikipedia.org/wiki/Zobowi%C4%85zanie" TargetMode="External"/><Relationship Id="rId4" Type="http://schemas.openxmlformats.org/officeDocument/2006/relationships/webSettings" Target="webSettings.xml"/><Relationship Id="rId9" Type="http://schemas.openxmlformats.org/officeDocument/2006/relationships/hyperlink" Target="http://pl.wikipedia.org/wiki/Kodeks_karny_(1997)" TargetMode="External"/><Relationship Id="rId14" Type="http://schemas.openxmlformats.org/officeDocument/2006/relationships/hyperlink" Target="http://pl.wikipedia.org/wiki/Prawo_rzymskie" TargetMode="External"/><Relationship Id="rId22" Type="http://schemas.openxmlformats.org/officeDocument/2006/relationships/hyperlink" Target="javascript:void(0)" TargetMode="External"/><Relationship Id="rId27" Type="http://schemas.openxmlformats.org/officeDocument/2006/relationships/hyperlink" Target="http://pl.wikipedia.org/wiki/Przest%C4%99pstwo" TargetMode="External"/><Relationship Id="rId30" Type="http://schemas.openxmlformats.org/officeDocument/2006/relationships/hyperlink" Target="http://pl.wikipedia.org/wiki/Kara_ograniczenia_wolno%C5%9Bci" TargetMode="External"/><Relationship Id="rId35" Type="http://schemas.openxmlformats.org/officeDocument/2006/relationships/hyperlink" Target="http://pl.wikipedia.org/wiki/Kara_%C5%9Bmierci" TargetMode="External"/><Relationship Id="rId43" Type="http://schemas.openxmlformats.org/officeDocument/2006/relationships/hyperlink" Target="http://pl.wikipedia.org/w/index.php?title=Przywr%C3%B3cenie_stanu_poprzedniego&amp;action=edit&amp;redlink=1" TargetMode="External"/><Relationship Id="rId48" Type="http://schemas.openxmlformats.org/officeDocument/2006/relationships/hyperlink" Target="http://pl.wikipedia.org/wiki/Odszkodowanie" TargetMode="External"/><Relationship Id="rId56" Type="http://schemas.openxmlformats.org/officeDocument/2006/relationships/theme" Target="theme/theme1.xml"/><Relationship Id="rId8" Type="http://schemas.openxmlformats.org/officeDocument/2006/relationships/hyperlink" Target="http://pl.wikipedia.org/wiki/Ustawa" TargetMode="External"/><Relationship Id="rId51" Type="http://schemas.openxmlformats.org/officeDocument/2006/relationships/hyperlink" Target="http://pl.wikipedia.org/wiki/Umowa" TargetMode="External"/><Relationship Id="rId3"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2605</Words>
  <Characters>15633</Characters>
  <Application>Microsoft Office Word</Application>
  <DocSecurity>0</DocSecurity>
  <Lines>130</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wojlam</dc:creator>
  <cp:lastModifiedBy>Wojtek Lamentowicz</cp:lastModifiedBy>
  <cp:revision>7</cp:revision>
  <dcterms:created xsi:type="dcterms:W3CDTF">2012-10-11T13:36:00Z</dcterms:created>
  <dcterms:modified xsi:type="dcterms:W3CDTF">2023-01-09T14:02:00Z</dcterms:modified>
</cp:coreProperties>
</file>