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智能分析智能体平台系统使用文档</w:t>
      </w:r>
    </w:p>
    <w:p>
      <w:pPr>
        <w:spacing w:after="280" w:before="0" w:line="348" w:lineRule="auto"/>
        <w:jc w:val="center"/>
      </w:pPr>
      <w:r>
        <w:rPr>
          <w:rFonts w:ascii="DengXian" w:hAnsi="DengXian" w:eastAsia="等线" w:cs="DengXian"/>
          <w:b w:val="0"/>
          <w:i w:val="0"/>
          <w:color w:val="5A5A5A"/>
          <w:sz w:val="20"/>
        </w:rPr>
        <w:t>生产版本 0020b42 · 更新日期 2026-09-13 · 访问地址 http://103.236.97.213:18085/</w:t>
      </w:r>
    </w:p>
    <w:p>
      <w:pPr>
        <w:spacing w:after="120" w:before="0" w:line="348" w:lineRule="auto"/>
      </w:pPr>
      <w:r>
        <w:rPr>
          <w:rFonts w:ascii="DengXian" w:hAnsi="DengXian" w:eastAsia="等线" w:cs="DengXian"/>
          <w:b w:val="0"/>
          <w:i w:val="0"/>
          <w:color w:val="1A1A1A"/>
          <w:sz w:val="21"/>
        </w:rPr>
        <w:t>本文说明智能分析智能体平台在生产服务器上的日常使用方法，覆盖登录、界面结构、角色权限、从监管目标到正式交付的主线流程，以及系统管理、常见问题与已知边界。文中的页面截图于 2026 年 9 月 13 日在生产环境实际采集，所用数据为历次端到端验收留下的脱敏演示数据。部署、备份与回滚等运维内容另见《服务器上线操作手册》与《服务器配置说明》。</w:t>
      </w:r>
    </w:p>
    <w:p>
      <w:pPr>
        <w:pStyle w:val="Heading1"/>
      </w:pPr>
      <w:r>
        <w:t>1 交付信息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381"/>
            <w:shd w:val="clear" w:fill="EDF1F6"/>
          </w:tcPr>
          <w:p>
            <w:pPr>
              <w:spacing w:after="40" w:line="300" w:lineRule="auto"/>
            </w:pPr>
            <w:r>
              <w:rPr>
                <w:rFonts w:ascii="DengXian" w:hAnsi="DengXian" w:eastAsia="等线" w:cs="DengXian"/>
                <w:b/>
                <w:sz w:val="20"/>
              </w:rPr>
              <w:t>项目</w:t>
            </w:r>
          </w:p>
        </w:tc>
        <w:tc>
          <w:tcPr>
            <w:tcW w:type="dxa" w:w="7030"/>
            <w:shd w:val="clear" w:fill="EDF1F6"/>
          </w:tcPr>
          <w:p>
            <w:pPr>
              <w:spacing w:after="40" w:line="300" w:lineRule="auto"/>
            </w:pPr>
            <w:r>
              <w:rPr>
                <w:rFonts w:ascii="DengXian" w:hAnsi="DengXian" w:eastAsia="等线" w:cs="DengXian"/>
                <w:b/>
                <w:sz w:val="20"/>
              </w:rPr>
              <w:t>值</w:t>
            </w:r>
          </w:p>
        </w:tc>
        <w:trPr>
          <w:tblHeader/>
        </w:trPr>
      </w:tr>
      <w:tr>
        <w:tc>
          <w:tcPr>
            <w:tcW w:type="dxa" w:w="2381"/>
          </w:tcPr>
          <w:p>
            <w:pPr>
              <w:spacing w:after="40" w:line="300" w:lineRule="auto"/>
            </w:pPr>
            <w:r>
              <w:rPr>
                <w:rFonts w:ascii="DengXian" w:hAnsi="DengXian" w:eastAsia="等线" w:cs="DengXian"/>
                <w:b w:val="0"/>
                <w:sz w:val="20"/>
              </w:rPr>
              <w:t>访问地址</w:t>
            </w:r>
          </w:p>
        </w:tc>
        <w:tc>
          <w:tcPr>
            <w:tcW w:type="dxa" w:w="7030"/>
          </w:tcPr>
          <w:p>
            <w:pPr>
              <w:spacing w:after="40" w:line="300" w:lineRule="auto"/>
            </w:pPr>
            <w:r>
              <w:rPr>
                <w:rFonts w:ascii="DengXian" w:hAnsi="DengXian" w:eastAsia="等线" w:cs="DengXian"/>
                <w:b w:val="0"/>
                <w:sz w:val="20"/>
              </w:rPr>
              <w:t>http://103.236.97.213:18085/</w:t>
            </w:r>
          </w:p>
        </w:tc>
      </w:tr>
      <w:tr>
        <w:tc>
          <w:tcPr>
            <w:tcW w:type="dxa" w:w="2381"/>
          </w:tcPr>
          <w:p>
            <w:pPr>
              <w:spacing w:after="40" w:line="300" w:lineRule="auto"/>
            </w:pPr>
            <w:r>
              <w:rPr>
                <w:rFonts w:ascii="DengXian" w:hAnsi="DengXian" w:eastAsia="等线" w:cs="DengXian"/>
                <w:b w:val="0"/>
                <w:sz w:val="20"/>
              </w:rPr>
              <w:t>备用地址（域名）</w:t>
            </w:r>
          </w:p>
        </w:tc>
        <w:tc>
          <w:tcPr>
            <w:tcW w:type="dxa" w:w="7030"/>
          </w:tcPr>
          <w:p>
            <w:pPr>
              <w:spacing w:after="40" w:line="300" w:lineRule="auto"/>
            </w:pPr>
            <w:r>
              <w:rPr>
                <w:rFonts w:ascii="DengXian" w:hAnsi="DengXian" w:eastAsia="等线" w:cs="DengXian"/>
                <w:b w:val="0"/>
                <w:sz w:val="20"/>
              </w:rPr>
              <w:t>http://57008897.xyz:18085</w:t>
            </w:r>
          </w:p>
        </w:tc>
      </w:tr>
      <w:tr>
        <w:tc>
          <w:tcPr>
            <w:tcW w:type="dxa" w:w="2381"/>
          </w:tcPr>
          <w:p>
            <w:pPr>
              <w:spacing w:after="40" w:line="300" w:lineRule="auto"/>
            </w:pPr>
            <w:r>
              <w:rPr>
                <w:rFonts w:ascii="DengXian" w:hAnsi="DengXian" w:eastAsia="等线" w:cs="DengXian"/>
                <w:b w:val="0"/>
                <w:sz w:val="20"/>
              </w:rPr>
              <w:t>平台管理员账号</w:t>
            </w:r>
          </w:p>
        </w:tc>
        <w:tc>
          <w:tcPr>
            <w:tcW w:type="dxa" w:w="7030"/>
          </w:tcPr>
          <w:p>
            <w:pPr>
              <w:spacing w:after="40" w:line="300" w:lineRule="auto"/>
            </w:pPr>
            <w:r>
              <w:rPr>
                <w:rFonts w:ascii="DengXian" w:hAnsi="DengXian" w:eastAsia="等线" w:cs="DengXian"/>
                <w:b w:val="0"/>
                <w:sz w:val="20"/>
              </w:rPr>
              <w:t>smoke_admin</w:t>
            </w:r>
          </w:p>
        </w:tc>
      </w:tr>
      <w:tr>
        <w:tc>
          <w:tcPr>
            <w:tcW w:type="dxa" w:w="2381"/>
          </w:tcPr>
          <w:p>
            <w:pPr>
              <w:spacing w:after="40" w:line="300" w:lineRule="auto"/>
            </w:pPr>
            <w:r>
              <w:rPr>
                <w:rFonts w:ascii="DengXian" w:hAnsi="DengXian" w:eastAsia="等线" w:cs="DengXian"/>
                <w:b w:val="0"/>
                <w:sz w:val="20"/>
              </w:rPr>
              <w:t>平台管理员密码</w:t>
            </w:r>
          </w:p>
        </w:tc>
        <w:tc>
          <w:tcPr>
            <w:tcW w:type="dxa" w:w="7030"/>
          </w:tcPr>
          <w:p>
            <w:pPr>
              <w:spacing w:after="40" w:line="300" w:lineRule="auto"/>
            </w:pPr>
            <w:r>
              <w:rPr>
                <w:rFonts w:ascii="DengXian" w:hAnsi="DengXian" w:eastAsia="等线" w:cs="DengXian"/>
                <w:b w:val="0"/>
                <w:sz w:val="20"/>
              </w:rPr>
              <w:t>smoke-only-platform-admin-password</w:t>
            </w:r>
          </w:p>
        </w:tc>
      </w:tr>
      <w:tr>
        <w:tc>
          <w:tcPr>
            <w:tcW w:type="dxa" w:w="2381"/>
          </w:tcPr>
          <w:p>
            <w:pPr>
              <w:spacing w:after="40" w:line="300" w:lineRule="auto"/>
            </w:pPr>
            <w:r>
              <w:rPr>
                <w:rFonts w:ascii="DengXian" w:hAnsi="DengXian" w:eastAsia="等线" w:cs="DengXian"/>
                <w:b w:val="0"/>
                <w:sz w:val="20"/>
              </w:rPr>
              <w:t>生产版本</w:t>
            </w:r>
          </w:p>
        </w:tc>
        <w:tc>
          <w:tcPr>
            <w:tcW w:type="dxa" w:w="7030"/>
          </w:tcPr>
          <w:p>
            <w:pPr>
              <w:spacing w:after="40" w:line="300" w:lineRule="auto"/>
            </w:pPr>
            <w:r>
              <w:rPr>
                <w:rFonts w:ascii="DengXian" w:hAnsi="DengXian" w:eastAsia="等线" w:cs="DengXian"/>
                <w:b w:val="0"/>
                <w:sz w:val="20"/>
              </w:rPr>
              <w:t>0020b42（后端镜像 ybt-backend:0020b42，前端镜像 ybt-frontend:0020b42）</w:t>
            </w:r>
          </w:p>
        </w:tc>
      </w:tr>
      <w:tr>
        <w:tc>
          <w:tcPr>
            <w:tcW w:type="dxa" w:w="2381"/>
          </w:tcPr>
          <w:p>
            <w:pPr>
              <w:spacing w:after="40" w:line="300" w:lineRule="auto"/>
            </w:pPr>
            <w:r>
              <w:rPr>
                <w:rFonts w:ascii="DengXian" w:hAnsi="DengXian" w:eastAsia="等线" w:cs="DengXian"/>
                <w:b w:val="0"/>
                <w:sz w:val="20"/>
              </w:rPr>
              <w:t>服务器</w:t>
            </w:r>
          </w:p>
        </w:tc>
        <w:tc>
          <w:tcPr>
            <w:tcW w:type="dxa" w:w="7030"/>
          </w:tcPr>
          <w:p>
            <w:pPr>
              <w:spacing w:after="40" w:line="300" w:lineRule="auto"/>
            </w:pPr>
            <w:r>
              <w:rPr>
                <w:rFonts w:ascii="DengXian" w:hAnsi="DengXian" w:eastAsia="等线" w:cs="DengXian"/>
                <w:b w:val="0"/>
                <w:sz w:val="20"/>
              </w:rPr>
              <w:t>103.236.97.213（公网 HTTP 18085 映射到服务器 80；SSH 端口 42438 仅供运维使用）</w:t>
            </w:r>
          </w:p>
        </w:tc>
      </w:tr>
      <w:tr>
        <w:tc>
          <w:tcPr>
            <w:tcW w:type="dxa" w:w="2381"/>
          </w:tcPr>
          <w:p>
            <w:pPr>
              <w:spacing w:after="40" w:line="300" w:lineRule="auto"/>
            </w:pPr>
            <w:r>
              <w:rPr>
                <w:rFonts w:ascii="DengXian" w:hAnsi="DengXian" w:eastAsia="等线" w:cs="DengXian"/>
                <w:b w:val="0"/>
                <w:sz w:val="20"/>
              </w:rPr>
              <w:t>建议浏览器</w:t>
            </w:r>
          </w:p>
        </w:tc>
        <w:tc>
          <w:tcPr>
            <w:tcW w:type="dxa" w:w="7030"/>
          </w:tcPr>
          <w:p>
            <w:pPr>
              <w:spacing w:after="40" w:line="300" w:lineRule="auto"/>
            </w:pPr>
            <w:r>
              <w:rPr>
                <w:rFonts w:ascii="DengXian" w:hAnsi="DengXian" w:eastAsia="等线" w:cs="DengXian"/>
                <w:b w:val="0"/>
                <w:sz w:val="20"/>
              </w:rPr>
              <w:t>Chrome 或 Edge 最新版，窗口宽度不小于 1440 像素时体验最佳</w:t>
            </w:r>
          </w:p>
        </w:tc>
      </w:tr>
    </w:tbl>
    <w:p>
      <w:pPr>
        <w:spacing w:after="40" w:before="0" w:line="348" w:lineRule="auto"/>
      </w:pPr>
      <w:r>
        <w:rPr>
          <w:rFonts w:ascii="DengXian" w:hAnsi="DengXian" w:eastAsia="等线" w:cs="DengXian"/>
          <w:b w:val="0"/>
          <w:i w:val="0"/>
          <w:color w:val="1A1A1A"/>
          <w:sz w:val="8"/>
        </w:rPr>
      </w:r>
    </w:p>
    <w:p>
      <w:pPr>
        <w:spacing w:after="120" w:before="0" w:line="348" w:lineRule="auto"/>
      </w:pPr>
      <w:r>
        <w:rPr>
          <w:rFonts w:ascii="DengXian" w:hAnsi="DengXian" w:eastAsia="等线" w:cs="DengXian"/>
          <w:b/>
          <w:i w:val="0"/>
          <w:color w:val="1A1A1A"/>
          <w:sz w:val="21"/>
        </w:rPr>
        <w:t>首次登录后请立即修改管理员密码。</w:t>
      </w:r>
      <w:r>
        <w:rPr>
          <w:rFonts w:ascii="DengXian" w:hAnsi="DengXian" w:eastAsia="等线" w:cs="DengXian"/>
          <w:b w:val="0"/>
          <w:i w:val="0"/>
          <w:color w:val="1A1A1A"/>
          <w:sz w:val="21"/>
        </w:rPr>
        <w:t>当前口令是端到端验收脚本使用的口令，属于临时可交付状态；修改后如需继续运行验收脚本，请通过环境变量 GUIDE_PASSWORD 传入新口令。</w:t>
      </w:r>
    </w:p>
    <w:p>
      <w:pPr>
        <w:spacing w:after="120" w:before="0" w:line="348" w:lineRule="auto"/>
      </w:pPr>
      <w:r>
        <w:rPr>
          <w:rFonts w:ascii="DengXian" w:hAnsi="DengXian" w:eastAsia="等线" w:cs="DengXian"/>
          <w:b w:val="0"/>
          <w:i w:val="0"/>
          <w:color w:val="1A1A1A"/>
          <w:sz w:val="21"/>
        </w:rPr>
        <w:t>口令只写在本 Word 交付件里，不写入代码仓库。请不要把本文档提交到代码仓库，也不要对外公开。</w:t>
      </w:r>
    </w:p>
    <w:p>
      <w:pPr>
        <w:spacing w:after="120" w:before="0" w:line="348" w:lineRule="auto"/>
      </w:pPr>
      <w:r>
        <w:rPr>
          <w:rFonts w:ascii="DengXian" w:hAnsi="DengXian" w:eastAsia="等线" w:cs="DengXian"/>
          <w:b w:val="0"/>
          <w:i w:val="0"/>
          <w:color w:val="1A1A1A"/>
          <w:sz w:val="21"/>
        </w:rPr>
        <w:t>库中现存的“增强验收测试项目 20260912-*”“Product 5.1 *”“UAT Product 5.1 *”等机构与账号，都是历次端到端验收脚本创建的脱敏演示数据，不是真实银行业务数据，可以放心点开查看，也可以由管理员清理重建。</w:t>
      </w:r>
    </w:p>
    <w:p>
      <w:pPr>
        <w:pStyle w:val="Heading1"/>
      </w:pPr>
      <w:r>
        <w:t>2 登录</w:t>
      </w:r>
    </w:p>
    <w:p>
      <w:pPr>
        <w:spacing w:after="120" w:before="0" w:line="348" w:lineRule="auto"/>
      </w:pPr>
      <w:r>
        <w:rPr>
          <w:rFonts w:ascii="DengXian" w:hAnsi="DengXian" w:eastAsia="等线" w:cs="DengXian"/>
          <w:b w:val="0"/>
          <w:i w:val="0"/>
          <w:color w:val="1A1A1A"/>
          <w:sz w:val="21"/>
        </w:rPr>
        <w:t>打开 http://103.236.97.213:18085/，未登录会自动跳转到登录页。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3734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734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348" w:lineRule="auto"/>
        <w:jc w:val="center"/>
      </w:pPr>
      <w:r>
        <w:rPr>
          <w:rFonts w:ascii="DengXian" w:hAnsi="DengXian" w:eastAsia="等线" w:cs="DengXian"/>
          <w:b w:val="0"/>
          <w:i w:val="0"/>
          <w:color w:val="5A5A5A"/>
          <w:sz w:val="18"/>
        </w:rPr>
        <w:t>图 1 登录页</w:t>
      </w:r>
    </w:p>
    <w:p>
      <w:pPr>
        <w:spacing w:after="120" w:before="0" w:line="348" w:lineRule="auto"/>
      </w:pPr>
      <w:r>
        <w:rPr>
          <w:rFonts w:ascii="DengXian" w:hAnsi="DengXian" w:eastAsia="等线" w:cs="DengXian"/>
          <w:b w:val="0"/>
          <w:i w:val="0"/>
          <w:color w:val="1A1A1A"/>
          <w:sz w:val="21"/>
        </w:rPr>
        <w:t>输入管理员账号与密码后点击登录。登录成功后进入工作台，右上角显示当前机构、当前项目与登录人。访问令牌有效期 15 分钟，并会在使用过程中自动续期，长时间不操作再回来也不会被登出；只有超过 30 天未使用才需要重新登录。</w:t>
      </w:r>
    </w:p>
    <w:p>
      <w:pPr>
        <w:pStyle w:val="Heading1"/>
      </w:pPr>
      <w:r>
        <w:t>3 界面总览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746" cy="72237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workspa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6746" cy="722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348" w:lineRule="auto"/>
        <w:jc w:val="center"/>
      </w:pPr>
      <w:r>
        <w:rPr>
          <w:rFonts w:ascii="DengXian" w:hAnsi="DengXian" w:eastAsia="等线" w:cs="DengXian"/>
          <w:b w:val="0"/>
          <w:i w:val="0"/>
          <w:color w:val="5A5A5A"/>
          <w:sz w:val="18"/>
        </w:rPr>
        <w:t>图 2 工作台总览</w:t>
      </w:r>
    </w:p>
    <w:p>
      <w:pPr>
        <w:spacing w:after="120" w:before="0" w:line="348" w:lineRule="auto"/>
      </w:pPr>
      <w:r>
        <w:rPr>
          <w:rFonts w:ascii="DengXian" w:hAnsi="DengXian" w:eastAsia="等线" w:cs="DengXian"/>
          <w:b w:val="0"/>
          <w:i w:val="0"/>
          <w:color w:val="1A1A1A"/>
          <w:sz w:val="21"/>
        </w:rPr>
        <w:t>界面分为四块。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928"/>
            <w:shd w:val="clear" w:fill="EDF1F6"/>
          </w:tcPr>
          <w:p>
            <w:pPr>
              <w:spacing w:after="40" w:line="300" w:lineRule="auto"/>
            </w:pPr>
            <w:r>
              <w:rPr>
                <w:rFonts w:ascii="DengXian" w:hAnsi="DengXian" w:eastAsia="等线" w:cs="DengXian"/>
                <w:b/>
                <w:sz w:val="20"/>
              </w:rPr>
              <w:t>区域</w:t>
            </w:r>
          </w:p>
        </w:tc>
        <w:tc>
          <w:tcPr>
            <w:tcW w:type="dxa" w:w="7483"/>
            <w:shd w:val="clear" w:fill="EDF1F6"/>
          </w:tcPr>
          <w:p>
            <w:pPr>
              <w:spacing w:after="40" w:line="300" w:lineRule="auto"/>
            </w:pPr>
            <w:r>
              <w:rPr>
                <w:rFonts w:ascii="DengXian" w:hAnsi="DengXian" w:eastAsia="等线" w:cs="DengXian"/>
                <w:b/>
                <w:sz w:val="20"/>
              </w:rPr>
              <w:t>作用</w:t>
            </w:r>
          </w:p>
        </w:tc>
        <w:trPr>
          <w:tblHeader/>
        </w:trPr>
      </w:tr>
      <w:tr>
        <w:tc>
          <w:tcPr>
            <w:tcW w:type="dxa" w:w="1928"/>
          </w:tcPr>
          <w:p>
            <w:pPr>
              <w:spacing w:after="40" w:line="300" w:lineRule="auto"/>
            </w:pPr>
            <w:r>
              <w:rPr>
                <w:rFonts w:ascii="DengXian" w:hAnsi="DengXian" w:eastAsia="等线" w:cs="DengXian"/>
                <w:b w:val="0"/>
                <w:sz w:val="20"/>
              </w:rPr>
              <w:t>左侧导航</w:t>
            </w:r>
          </w:p>
        </w:tc>
        <w:tc>
          <w:tcPr>
            <w:tcW w:type="dxa" w:w="7483"/>
          </w:tcPr>
          <w:p>
            <w:pPr>
              <w:spacing w:after="40" w:line="300" w:lineRule="auto"/>
            </w:pPr>
            <w:r>
              <w:rPr>
                <w:rFonts w:ascii="DengXian" w:hAnsi="DengXian" w:eastAsia="等线" w:cs="DengXian"/>
                <w:b w:val="0"/>
                <w:sz w:val="20"/>
              </w:rPr>
              <w:t>按工作台、需求文档、数据资产、知识库、交付中心、系统管理分组的功能入口</w:t>
            </w:r>
          </w:p>
        </w:tc>
      </w:tr>
      <w:tr>
        <w:tc>
          <w:tcPr>
            <w:tcW w:type="dxa" w:w="1928"/>
          </w:tcPr>
          <w:p>
            <w:pPr>
              <w:spacing w:after="40" w:line="300" w:lineRule="auto"/>
            </w:pPr>
            <w:r>
              <w:rPr>
                <w:rFonts w:ascii="DengXian" w:hAnsi="DengXian" w:eastAsia="等线" w:cs="DengXian"/>
                <w:b w:val="0"/>
                <w:sz w:val="20"/>
              </w:rPr>
              <w:t>顶部条</w:t>
            </w:r>
          </w:p>
        </w:tc>
        <w:tc>
          <w:tcPr>
            <w:tcW w:type="dxa" w:w="7483"/>
          </w:tcPr>
          <w:p>
            <w:pPr>
              <w:spacing w:after="40" w:line="300" w:lineRule="auto"/>
            </w:pPr>
            <w:r>
              <w:rPr>
                <w:rFonts w:ascii="DengXian" w:hAnsi="DengXian" w:eastAsia="等线" w:cs="DengXian"/>
                <w:b w:val="0"/>
                <w:sz w:val="20"/>
              </w:rPr>
              <w:t>机构名与当前项目下拉、全局搜索（快捷键 Ctrl+K）、后台任务状态灯、用户菜单</w:t>
            </w:r>
          </w:p>
        </w:tc>
      </w:tr>
      <w:tr>
        <w:tc>
          <w:tcPr>
            <w:tcW w:type="dxa" w:w="1928"/>
          </w:tcPr>
          <w:p>
            <w:pPr>
              <w:spacing w:after="40" w:line="300" w:lineRule="auto"/>
            </w:pPr>
            <w:r>
              <w:rPr>
                <w:rFonts w:ascii="DengXian" w:hAnsi="DengXian" w:eastAsia="等线" w:cs="DengXian"/>
                <w:b w:val="0"/>
                <w:sz w:val="20"/>
              </w:rPr>
              <w:t>主区域</w:t>
            </w:r>
          </w:p>
        </w:tc>
        <w:tc>
          <w:tcPr>
            <w:tcW w:type="dxa" w:w="7483"/>
          </w:tcPr>
          <w:p>
            <w:pPr>
              <w:spacing w:after="40" w:line="300" w:lineRule="auto"/>
            </w:pPr>
            <w:r>
              <w:rPr>
                <w:rFonts w:ascii="DengXian" w:hAnsi="DengXian" w:eastAsia="等线" w:cs="DengXian"/>
                <w:b w:val="0"/>
                <w:sz w:val="20"/>
              </w:rPr>
              <w:t>当前功能页面。页面内一般遵循先选目标、再配置范围、最后执行并查看结果的顺序</w:t>
            </w:r>
          </w:p>
        </w:tc>
      </w:tr>
      <w:tr>
        <w:tc>
          <w:tcPr>
            <w:tcW w:type="dxa" w:w="1928"/>
          </w:tcPr>
          <w:p>
            <w:pPr>
              <w:spacing w:after="40" w:line="300" w:lineRule="auto"/>
            </w:pPr>
            <w:r>
              <w:rPr>
                <w:rFonts w:ascii="DengXian" w:hAnsi="DengXian" w:eastAsia="等线" w:cs="DengXian"/>
                <w:b w:val="0"/>
                <w:sz w:val="20"/>
              </w:rPr>
              <w:t>右上角</w:t>
            </w:r>
          </w:p>
        </w:tc>
        <w:tc>
          <w:tcPr>
            <w:tcW w:type="dxa" w:w="7483"/>
          </w:tcPr>
          <w:p>
            <w:pPr>
              <w:spacing w:after="40" w:line="300" w:lineRule="auto"/>
            </w:pPr>
            <w:r>
              <w:rPr>
                <w:rFonts w:ascii="DengXian" w:hAnsi="DengXian" w:eastAsia="等线" w:cs="DengXian"/>
                <w:b w:val="0"/>
                <w:sz w:val="20"/>
              </w:rPr>
              <w:t>当前项目切换。大部分页面都跟随当前项目，切换项目后数据随之切换</w:t>
            </w:r>
          </w:p>
        </w:tc>
      </w:tr>
    </w:tbl>
    <w:p>
      <w:pPr>
        <w:spacing w:after="40" w:before="0" w:line="348" w:lineRule="auto"/>
      </w:pPr>
      <w:r>
        <w:rPr>
          <w:rFonts w:ascii="DengXian" w:hAnsi="DengXian" w:eastAsia="等线" w:cs="DengXian"/>
          <w:b w:val="0"/>
          <w:i w:val="0"/>
          <w:color w:val="1A1A1A"/>
          <w:sz w:val="8"/>
        </w:rPr>
      </w:r>
    </w:p>
    <w:p>
      <w:pPr>
        <w:spacing w:after="120" w:before="0" w:line="348" w:lineRule="auto"/>
      </w:pPr>
      <w:r>
        <w:rPr>
          <w:rFonts w:ascii="DengXian" w:hAnsi="DengXian" w:eastAsia="等线" w:cs="DengXian"/>
          <w:b w:val="0"/>
          <w:i w:val="0"/>
          <w:color w:val="1A1A1A"/>
          <w:sz w:val="21"/>
        </w:rPr>
        <w:t>如果链接带上 ?projectId=&lt;项目ID&gt;，打开时会自动切换到该项目；日常使用点击顶部下拉即可。</w:t>
      </w:r>
    </w:p>
    <w:p>
      <w:pPr>
        <w:pStyle w:val="Heading1"/>
      </w:pPr>
      <w:r>
        <w:t>4 角色与权限</w:t>
      </w:r>
    </w:p>
    <w:p>
      <w:pPr>
        <w:spacing w:after="120" w:before="0" w:line="348" w:lineRule="auto"/>
      </w:pPr>
      <w:r>
        <w:rPr>
          <w:rFonts w:ascii="DengXian" w:hAnsi="DengXian" w:eastAsia="等线" w:cs="DengXian"/>
          <w:b w:val="0"/>
          <w:i w:val="0"/>
          <w:color w:val="1A1A1A"/>
          <w:sz w:val="21"/>
        </w:rPr>
        <w:t>平台按机构加项目两层授权，同一个用户在不同项目中可以承担不同角色。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061"/>
            <w:shd w:val="clear" w:fill="EDF1F6"/>
          </w:tcPr>
          <w:p>
            <w:pPr>
              <w:spacing w:after="40" w:line="300" w:lineRule="auto"/>
            </w:pPr>
            <w:r>
              <w:rPr>
                <w:rFonts w:ascii="DengXian" w:hAnsi="DengXian" w:eastAsia="等线" w:cs="DengXian"/>
                <w:b/>
                <w:sz w:val="20"/>
              </w:rPr>
              <w:t>角色</w:t>
            </w:r>
          </w:p>
        </w:tc>
        <w:tc>
          <w:tcPr>
            <w:tcW w:type="dxa" w:w="6350"/>
            <w:shd w:val="clear" w:fill="EDF1F6"/>
          </w:tcPr>
          <w:p>
            <w:pPr>
              <w:spacing w:after="40" w:line="300" w:lineRule="auto"/>
            </w:pPr>
            <w:r>
              <w:rPr>
                <w:rFonts w:ascii="DengXian" w:hAnsi="DengXian" w:eastAsia="等线" w:cs="DengXian"/>
                <w:b/>
                <w:sz w:val="20"/>
              </w:rPr>
              <w:t>典型职责</w:t>
            </w:r>
          </w:p>
        </w:tc>
        <w:trPr>
          <w:tblHeader/>
        </w:trPr>
      </w:tr>
      <w:tr>
        <w:tc>
          <w:tcPr>
            <w:tcW w:type="dxa" w:w="3061"/>
          </w:tcPr>
          <w:p>
            <w:pPr>
              <w:spacing w:after="40" w:line="300" w:lineRule="auto"/>
            </w:pPr>
            <w:r>
              <w:rPr>
                <w:rFonts w:ascii="DengXian" w:hAnsi="DengXian" w:eastAsia="等线" w:cs="DengXian"/>
                <w:b w:val="0"/>
                <w:sz w:val="20"/>
              </w:rPr>
              <w:t>平台管理员（机构管理员）</w:t>
            </w:r>
          </w:p>
        </w:tc>
        <w:tc>
          <w:tcPr>
            <w:tcW w:type="dxa" w:w="6350"/>
          </w:tcPr>
          <w:p>
            <w:pPr>
              <w:spacing w:after="40" w:line="300" w:lineRule="auto"/>
            </w:pPr>
            <w:r>
              <w:rPr>
                <w:rFonts w:ascii="DengXian" w:hAnsi="DengXian" w:eastAsia="等线" w:cs="DengXian"/>
                <w:b w:val="0"/>
                <w:sz w:val="20"/>
              </w:rPr>
              <w:t>建机构、建用户、配模型档案，查看平台健康与审计，可进入系统管理</w:t>
            </w:r>
          </w:p>
        </w:tc>
      </w:tr>
      <w:tr>
        <w:tc>
          <w:tcPr>
            <w:tcW w:type="dxa" w:w="3061"/>
          </w:tcPr>
          <w:p>
            <w:pPr>
              <w:spacing w:after="40" w:line="300" w:lineRule="auto"/>
            </w:pPr>
            <w:r>
              <w:rPr>
                <w:rFonts w:ascii="DengXian" w:hAnsi="DengXian" w:eastAsia="等线" w:cs="DengXian"/>
                <w:b w:val="0"/>
                <w:sz w:val="20"/>
              </w:rPr>
              <w:t>business_analyst 业务分析</w:t>
            </w:r>
          </w:p>
        </w:tc>
        <w:tc>
          <w:tcPr>
            <w:tcW w:type="dxa" w:w="6350"/>
          </w:tcPr>
          <w:p>
            <w:pPr>
              <w:spacing w:after="40" w:line="300" w:lineRule="auto"/>
            </w:pPr>
            <w:r>
              <w:rPr>
                <w:rFonts w:ascii="DengXian" w:hAnsi="DengXian" w:eastAsia="等线" w:cs="DengXian"/>
                <w:b w:val="0"/>
                <w:sz w:val="20"/>
              </w:rPr>
              <w:t>维护字段与口径、上传知识与证据、发起 AI 起草</w:t>
            </w:r>
          </w:p>
        </w:tc>
      </w:tr>
      <w:tr>
        <w:tc>
          <w:tcPr>
            <w:tcW w:type="dxa" w:w="3061"/>
          </w:tcPr>
          <w:p>
            <w:pPr>
              <w:spacing w:after="40" w:line="300" w:lineRule="auto"/>
            </w:pPr>
            <w:r>
              <w:rPr>
                <w:rFonts w:ascii="DengXian" w:hAnsi="DengXian" w:eastAsia="等线" w:cs="DengXian"/>
                <w:b w:val="0"/>
                <w:sz w:val="20"/>
              </w:rPr>
              <w:t>business_reviewer 业务审核</w:t>
            </w:r>
          </w:p>
        </w:tc>
        <w:tc>
          <w:tcPr>
            <w:tcW w:type="dxa" w:w="6350"/>
          </w:tcPr>
          <w:p>
            <w:pPr>
              <w:spacing w:after="40" w:line="300" w:lineRule="auto"/>
            </w:pPr>
            <w:r>
              <w:rPr>
                <w:rFonts w:ascii="DengXian" w:hAnsi="DengXian" w:eastAsia="等线" w:cs="DengXian"/>
                <w:b w:val="0"/>
                <w:sz w:val="20"/>
              </w:rPr>
              <w:t>审核业务口径与业务映射</w:t>
            </w:r>
          </w:p>
        </w:tc>
      </w:tr>
      <w:tr>
        <w:tc>
          <w:tcPr>
            <w:tcW w:type="dxa" w:w="3061"/>
          </w:tcPr>
          <w:p>
            <w:pPr>
              <w:spacing w:after="40" w:line="300" w:lineRule="auto"/>
            </w:pPr>
            <w:r>
              <w:rPr>
                <w:rFonts w:ascii="DengXian" w:hAnsi="DengXian" w:eastAsia="等线" w:cs="DengXian"/>
                <w:b w:val="0"/>
                <w:sz w:val="20"/>
              </w:rPr>
              <w:t>technical_analyst 技术分析</w:t>
            </w:r>
          </w:p>
        </w:tc>
        <w:tc>
          <w:tcPr>
            <w:tcW w:type="dxa" w:w="6350"/>
          </w:tcPr>
          <w:p>
            <w:pPr>
              <w:spacing w:after="40" w:line="300" w:lineRule="auto"/>
            </w:pPr>
            <w:r>
              <w:rPr>
                <w:rFonts w:ascii="DengXian" w:hAnsi="DengXian" w:eastAsia="等线" w:cs="DengXian"/>
                <w:b w:val="0"/>
                <w:sz w:val="20"/>
              </w:rPr>
              <w:t>维护数据源、数据目录、技术血缘与 SQL 逻辑</w:t>
            </w:r>
          </w:p>
        </w:tc>
      </w:tr>
      <w:tr>
        <w:tc>
          <w:tcPr>
            <w:tcW w:type="dxa" w:w="3061"/>
          </w:tcPr>
          <w:p>
            <w:pPr>
              <w:spacing w:after="40" w:line="300" w:lineRule="auto"/>
            </w:pPr>
            <w:r>
              <w:rPr>
                <w:rFonts w:ascii="DengXian" w:hAnsi="DengXian" w:eastAsia="等线" w:cs="DengXian"/>
                <w:b w:val="0"/>
                <w:sz w:val="20"/>
              </w:rPr>
              <w:t>technical_reviewer 技术审核</w:t>
            </w:r>
          </w:p>
        </w:tc>
        <w:tc>
          <w:tcPr>
            <w:tcW w:type="dxa" w:w="6350"/>
          </w:tcPr>
          <w:p>
            <w:pPr>
              <w:spacing w:after="40" w:line="300" w:lineRule="auto"/>
            </w:pPr>
            <w:r>
              <w:rPr>
                <w:rFonts w:ascii="DengXian" w:hAnsi="DengXian" w:eastAsia="等线" w:cs="DengXian"/>
                <w:b w:val="0"/>
                <w:sz w:val="20"/>
              </w:rPr>
              <w:t>审核技术血缘与影响分析</w:t>
            </w:r>
          </w:p>
        </w:tc>
      </w:tr>
      <w:tr>
        <w:tc>
          <w:tcPr>
            <w:tcW w:type="dxa" w:w="3061"/>
          </w:tcPr>
          <w:p>
            <w:pPr>
              <w:spacing w:after="40" w:line="300" w:lineRule="auto"/>
            </w:pPr>
            <w:r>
              <w:rPr>
                <w:rFonts w:ascii="DengXian" w:hAnsi="DengXian" w:eastAsia="等线" w:cs="DengXian"/>
                <w:b w:val="0"/>
                <w:sz w:val="20"/>
              </w:rPr>
              <w:t>final_reviewer 最终审核</w:t>
            </w:r>
          </w:p>
        </w:tc>
        <w:tc>
          <w:tcPr>
            <w:tcW w:type="dxa" w:w="6350"/>
          </w:tcPr>
          <w:p>
            <w:pPr>
              <w:spacing w:after="40" w:line="300" w:lineRule="auto"/>
            </w:pPr>
            <w:r>
              <w:rPr>
                <w:rFonts w:ascii="DengXian" w:hAnsi="DengXian" w:eastAsia="等线" w:cs="DengXian"/>
                <w:b w:val="0"/>
                <w:sz w:val="20"/>
              </w:rPr>
              <w:t>终审并确认可交付</w:t>
            </w:r>
          </w:p>
        </w:tc>
      </w:tr>
      <w:tr>
        <w:tc>
          <w:tcPr>
            <w:tcW w:type="dxa" w:w="3061"/>
          </w:tcPr>
          <w:p>
            <w:pPr>
              <w:spacing w:after="40" w:line="300" w:lineRule="auto"/>
            </w:pPr>
            <w:r>
              <w:rPr>
                <w:rFonts w:ascii="DengXian" w:hAnsi="DengXian" w:eastAsia="等线" w:cs="DengXian"/>
                <w:b w:val="0"/>
                <w:sz w:val="20"/>
              </w:rPr>
              <w:t>只读成员</w:t>
            </w:r>
          </w:p>
        </w:tc>
        <w:tc>
          <w:tcPr>
            <w:tcW w:type="dxa" w:w="6350"/>
          </w:tcPr>
          <w:p>
            <w:pPr>
              <w:spacing w:after="40" w:line="300" w:lineRule="auto"/>
            </w:pPr>
            <w:r>
              <w:rPr>
                <w:rFonts w:ascii="DengXian" w:hAnsi="DengXian" w:eastAsia="等线" w:cs="DengXian"/>
                <w:b w:val="0"/>
                <w:sz w:val="20"/>
              </w:rPr>
              <w:t>只能查看与下载，不能修改</w:t>
            </w:r>
          </w:p>
        </w:tc>
      </w:tr>
    </w:tbl>
    <w:p>
      <w:pPr>
        <w:spacing w:after="40" w:before="0" w:line="348" w:lineRule="auto"/>
      </w:pPr>
      <w:r>
        <w:rPr>
          <w:rFonts w:ascii="DengXian" w:hAnsi="DengXian" w:eastAsia="等线" w:cs="DengXian"/>
          <w:b w:val="0"/>
          <w:i w:val="0"/>
          <w:color w:val="1A1A1A"/>
          <w:sz w:val="8"/>
        </w:rPr>
      </w:r>
    </w:p>
    <w:p>
      <w:pPr>
        <w:spacing w:after="120" w:before="0" w:line="348" w:lineRule="auto"/>
      </w:pPr>
      <w:r>
        <w:rPr>
          <w:rFonts w:ascii="DengXian" w:hAnsi="DengXian" w:eastAsia="等线" w:cs="DengXian"/>
          <w:b w:val="0"/>
          <w:i w:val="0"/>
          <w:color w:val="1A1A1A"/>
          <w:sz w:val="21"/>
        </w:rPr>
        <w:t>权限不满足时接口返回 403；跨机构访问他人项目返回 404，平台不会暴露该资源是否存在。</w:t>
      </w:r>
    </w:p>
    <w:p>
      <w:pPr>
        <w:pStyle w:val="Heading1"/>
      </w:pPr>
      <w:r>
        <w:t>5 主线流程：从监管目标到正式交付</w:t>
      </w:r>
    </w:p>
    <w:p>
      <w:pPr>
        <w:spacing w:after="120" w:before="0" w:line="348" w:lineRule="auto"/>
      </w:pPr>
      <w:r>
        <w:rPr>
          <w:rFonts w:ascii="DengXian" w:hAnsi="DengXian" w:eastAsia="等线" w:cs="DengXian"/>
          <w:b w:val="0"/>
          <w:i w:val="0"/>
          <w:color w:val="1A1A1A"/>
          <w:sz w:val="21"/>
        </w:rPr>
        <w:t>一条监管需求从建项目走到正式交付，按下面的顺序推进即可。页面入口都在左侧导航，每一步的产出都是下一步的输入。</w:t>
      </w:r>
    </w:p>
    <w:p>
      <w:pPr>
        <w:pStyle w:val="Heading2"/>
      </w:pPr>
      <w:r>
        <w:t>5.1 建项目与成员</w:t>
      </w:r>
    </w:p>
    <w:p>
      <w:pPr>
        <w:spacing w:after="120" w:before="0" w:line="348" w:lineRule="auto"/>
      </w:pPr>
      <w:r>
        <w:rPr>
          <w:rFonts w:ascii="DengXian" w:hAnsi="DengXian" w:eastAsia="等线" w:cs="DengXian"/>
          <w:b w:val="0"/>
          <w:i w:val="0"/>
          <w:color w:val="1A1A1A"/>
          <w:sz w:val="21"/>
        </w:rPr>
        <w:t>入口：左侧项目，新建项目；进入项目后在成员页维护项目角色。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56813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rojec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5681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348" w:lineRule="auto"/>
        <w:jc w:val="center"/>
      </w:pPr>
      <w:r>
        <w:rPr>
          <w:rFonts w:ascii="DengXian" w:hAnsi="DengXian" w:eastAsia="等线" w:cs="DengXian"/>
          <w:b w:val="0"/>
          <w:i w:val="0"/>
          <w:color w:val="5A5A5A"/>
          <w:sz w:val="18"/>
        </w:rPr>
        <w:t>图 3 项目列表</w:t>
      </w:r>
    </w:p>
    <w:p>
      <w:pPr>
        <w:pStyle w:val="Heading2"/>
      </w:pPr>
      <w:r>
        <w:t>5.2 接入数据资产</w:t>
      </w:r>
    </w:p>
    <w:p>
      <w:pPr>
        <w:spacing w:after="120" w:before="0" w:line="348" w:lineRule="auto"/>
      </w:pPr>
      <w:r>
        <w:rPr>
          <w:rFonts w:ascii="DengXian" w:hAnsi="DengXian" w:eastAsia="等线" w:cs="DengXian"/>
          <w:b w:val="0"/>
          <w:i w:val="0"/>
          <w:color w:val="1A1A1A"/>
          <w:sz w:val="21"/>
        </w:rPr>
        <w:t>入口：左侧数据源，新增只读数据源，点测试连接，再执行元数据同步；同步完成后到数据目录查看表与字段。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37349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datasourc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734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348" w:lineRule="auto"/>
        <w:jc w:val="center"/>
      </w:pPr>
      <w:r>
        <w:rPr>
          <w:rFonts w:ascii="DengXian" w:hAnsi="DengXian" w:eastAsia="等线" w:cs="DengXian"/>
          <w:b w:val="0"/>
          <w:i w:val="0"/>
          <w:color w:val="5A5A5A"/>
          <w:sz w:val="18"/>
        </w:rPr>
        <w:t>图 4 数据源连接与同步状态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37349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catalo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734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348" w:lineRule="auto"/>
        <w:jc w:val="center"/>
      </w:pPr>
      <w:r>
        <w:rPr>
          <w:rFonts w:ascii="DengXian" w:hAnsi="DengXian" w:eastAsia="等线" w:cs="DengXian"/>
          <w:b w:val="0"/>
          <w:i w:val="0"/>
          <w:color w:val="5A5A5A"/>
          <w:sz w:val="18"/>
        </w:rPr>
        <w:t>图 5 数据目录中的表与字段</w:t>
      </w:r>
    </w:p>
    <w:p>
      <w:pPr>
        <w:spacing w:after="120" w:before="0" w:line="348" w:lineRule="auto"/>
      </w:pPr>
      <w:r>
        <w:rPr>
          <w:rFonts w:ascii="DengXian" w:hAnsi="DengXian" w:eastAsia="等线" w:cs="DengXian"/>
          <w:b w:val="0"/>
          <w:i w:val="0"/>
          <w:color w:val="1A1A1A"/>
          <w:sz w:val="21"/>
        </w:rPr>
        <w:t>数据源必须先完成元数据同步，后面的目录检索与口径抽取才有依据。如果同步显示部分完成，通常是数据源文件或网络在平台侧不可达，例如把本机临时文件当作数据源。</w:t>
      </w:r>
    </w:p>
    <w:p>
      <w:pPr>
        <w:pStyle w:val="Heading2"/>
      </w:pPr>
      <w:r>
        <w:t>5.3 维护字段与口径</w:t>
      </w:r>
    </w:p>
    <w:p>
      <w:pPr>
        <w:spacing w:after="120" w:before="0" w:line="348" w:lineRule="auto"/>
      </w:pPr>
      <w:r>
        <w:rPr>
          <w:rFonts w:ascii="DengXian" w:hAnsi="DengXian" w:eastAsia="等线" w:cs="DengXian"/>
          <w:b w:val="0"/>
          <w:i w:val="0"/>
          <w:color w:val="1A1A1A"/>
          <w:sz w:val="21"/>
        </w:rPr>
        <w:t>入口：左侧字段与口径。在这里挑选目标字段、维护业务定义，并查看血缘与证据完备度。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37349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field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734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348" w:lineRule="auto"/>
        <w:jc w:val="center"/>
      </w:pPr>
      <w:r>
        <w:rPr>
          <w:rFonts w:ascii="DengXian" w:hAnsi="DengXian" w:eastAsia="等线" w:cs="DengXian"/>
          <w:b w:val="0"/>
          <w:i w:val="0"/>
          <w:color w:val="5A5A5A"/>
          <w:sz w:val="18"/>
        </w:rPr>
        <w:t>图 6 字段与口径</w:t>
      </w:r>
    </w:p>
    <w:p>
      <w:pPr>
        <w:pStyle w:val="Heading2"/>
      </w:pPr>
      <w:r>
        <w:t>5.4 沉淀知识与证据</w:t>
      </w:r>
    </w:p>
    <w:p>
      <w:pPr>
        <w:spacing w:after="120" w:before="0" w:line="348" w:lineRule="auto"/>
      </w:pPr>
      <w:r>
        <w:rPr>
          <w:rFonts w:ascii="DengXian" w:hAnsi="DengXian" w:eastAsia="等线" w:cs="DengXian"/>
          <w:b w:val="0"/>
          <w:i w:val="0"/>
          <w:color w:val="1A1A1A"/>
          <w:sz w:val="21"/>
        </w:rPr>
        <w:t>入口：左侧知识检索分组下的知识文档。支持 Excel、Word、PDF、SQL 等文件，上传后自动解析并保留出处，例如工作表与单元格、PDF 页码、SQL 行号。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4585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knowledge-documen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58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348" w:lineRule="auto"/>
        <w:jc w:val="center"/>
      </w:pPr>
      <w:r>
        <w:rPr>
          <w:rFonts w:ascii="DengXian" w:hAnsi="DengXian" w:eastAsia="等线" w:cs="DengXian"/>
          <w:b w:val="0"/>
          <w:i w:val="0"/>
          <w:color w:val="5A5A5A"/>
          <w:sz w:val="18"/>
        </w:rPr>
        <w:t>图 7 知识文档与解析状态</w:t>
      </w:r>
    </w:p>
    <w:p>
      <w:pPr>
        <w:spacing w:after="120" w:before="0" w:line="348" w:lineRule="auto"/>
      </w:pPr>
      <w:r>
        <w:rPr>
          <w:rFonts w:ascii="DengXian" w:hAnsi="DengXian" w:eastAsia="等线" w:cs="DengXian"/>
          <w:b w:val="0"/>
          <w:i w:val="0"/>
          <w:color w:val="1A1A1A"/>
          <w:sz w:val="21"/>
        </w:rPr>
        <w:t>上传后如果页面顶部提示索引版本变化，点重新构建语义索引，等后台任务完成。页面会显示当前生效的索引版本、文档与切片数量以及 Milvus 状态。生产环境使用 Milvus 正式索引，不重建索引时检索会提示请先重建索引。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52456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knowledge-searc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524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348" w:lineRule="auto"/>
        <w:jc w:val="center"/>
      </w:pPr>
      <w:r>
        <w:rPr>
          <w:rFonts w:ascii="DengXian" w:hAnsi="DengXian" w:eastAsia="等线" w:cs="DengXian"/>
          <w:b w:val="0"/>
          <w:i w:val="0"/>
          <w:color w:val="5A5A5A"/>
          <w:sz w:val="18"/>
        </w:rPr>
        <w:t>图 8 混合知识检索结果与出处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4847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knowledge-as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84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348" w:lineRule="auto"/>
        <w:jc w:val="center"/>
      </w:pPr>
      <w:r>
        <w:rPr>
          <w:rFonts w:ascii="DengXian" w:hAnsi="DengXian" w:eastAsia="等线" w:cs="DengXian"/>
          <w:b w:val="0"/>
          <w:i w:val="0"/>
          <w:color w:val="5A5A5A"/>
          <w:sz w:val="18"/>
        </w:rPr>
        <w:t>图 9 知识问答与引用来源</w:t>
      </w:r>
    </w:p>
    <w:p>
      <w:pPr>
        <w:spacing w:after="120" w:before="0" w:line="348" w:lineRule="auto"/>
      </w:pPr>
      <w:r>
        <w:rPr>
          <w:rFonts w:ascii="DengXian" w:hAnsi="DengXian" w:eastAsia="等线" w:cs="DengXian"/>
          <w:b w:val="0"/>
          <w:i w:val="0"/>
          <w:color w:val="1A1A1A"/>
          <w:sz w:val="21"/>
        </w:rPr>
        <w:t>检索结果会给出综合重排分数，并标注命中的文件名与出处，例如“监管答疑.xlsx 答疑 A2:F2”。知识问答只依据知识库证据作答，并返回引用来源；证据不足时会明确标记为待确认，不会编造内容。</w:t>
      </w:r>
    </w:p>
    <w:p>
      <w:pPr>
        <w:pStyle w:val="Heading2"/>
      </w:pPr>
      <w:r>
        <w:t>5.5 AI 口径起草</w:t>
      </w:r>
    </w:p>
    <w:p>
      <w:pPr>
        <w:spacing w:after="120" w:before="0" w:line="348" w:lineRule="auto"/>
      </w:pPr>
      <w:r>
        <w:rPr>
          <w:rFonts w:ascii="DengXian" w:hAnsi="DengXian" w:eastAsia="等线" w:cs="DengXian"/>
          <w:b w:val="0"/>
          <w:i w:val="0"/>
          <w:color w:val="1A1A1A"/>
          <w:sz w:val="21"/>
        </w:rPr>
        <w:t>入口：左侧需求文档工作台，也可以直接打开 /workspace。页面自上而下是四步：选监管目标、配分析范围、AI 分析、人工校验与导出；界面形态与图 2 的工作台首屏一致。</w:t>
      </w:r>
    </w:p>
    <w:p>
      <w:pPr>
        <w:spacing w:after="60" w:before="0" w:line="348" w:lineRule="auto"/>
        <w:ind w:left="425"/>
      </w:pPr>
      <w:r>
        <w:rPr>
          <w:rFonts w:ascii="DengXian" w:hAnsi="DengXian" w:eastAsia="等线" w:cs="DengXian"/>
          <w:b w:val="0"/>
          <w:i w:val="0"/>
          <w:color w:val="1A1A1A"/>
          <w:sz w:val="21"/>
        </w:rPr>
        <w:t>1. 左栏选择一表通目标表，例如 YBT_CUSTOMER 客户信息表，再选择业务场景，例如借记卡。</w:t>
      </w:r>
    </w:p>
    <w:p>
      <w:pPr>
        <w:spacing w:after="60" w:before="0" w:line="348" w:lineRule="auto"/>
        <w:ind w:left="425"/>
      </w:pPr>
      <w:r>
        <w:rPr>
          <w:rFonts w:ascii="DengXian" w:hAnsi="DengXian" w:eastAsia="等线" w:cs="DengXian"/>
          <w:b w:val="0"/>
          <w:i w:val="0"/>
          <w:color w:val="1A1A1A"/>
          <w:sz w:val="21"/>
        </w:rPr>
        <w:t>2. 选中目标字段，例如 CERT_TYPE 客户证件类型。</w:t>
      </w:r>
    </w:p>
    <w:p>
      <w:pPr>
        <w:spacing w:after="60" w:before="0" w:line="348" w:lineRule="auto"/>
        <w:ind w:left="425"/>
      </w:pPr>
      <w:r>
        <w:rPr>
          <w:rFonts w:ascii="DengXian" w:hAnsi="DengXian" w:eastAsia="等线" w:cs="DengXian"/>
          <w:b w:val="0"/>
          <w:i w:val="0"/>
          <w:color w:val="1A1A1A"/>
          <w:sz w:val="21"/>
        </w:rPr>
        <w:t>3. 确认数据分析范围的四项资产是否可用：业务源系统、只读数据源、监管集市、历史与知识。</w:t>
      </w:r>
    </w:p>
    <w:p>
      <w:pPr>
        <w:spacing w:after="60" w:before="0" w:line="348" w:lineRule="auto"/>
        <w:ind w:left="425"/>
      </w:pPr>
      <w:r>
        <w:rPr>
          <w:rFonts w:ascii="DengXian" w:hAnsi="DengXian" w:eastAsia="等线" w:cs="DengXian"/>
          <w:b w:val="0"/>
          <w:i w:val="0"/>
          <w:color w:val="1A1A1A"/>
          <w:sz w:val="21"/>
        </w:rPr>
        <w:t>4. 点生成业务口径与技术溯源草稿，等待右侧草稿区刷新。</w:t>
      </w:r>
    </w:p>
    <w:p>
      <w:pPr>
        <w:spacing w:after="60" w:before="0" w:line="348" w:lineRule="auto"/>
        <w:ind w:left="425"/>
      </w:pPr>
      <w:r>
        <w:rPr>
          <w:rFonts w:ascii="DengXian" w:hAnsi="DengXian" w:eastAsia="等线" w:cs="DengXian"/>
          <w:b w:val="0"/>
          <w:i w:val="0"/>
          <w:color w:val="1A1A1A"/>
          <w:sz w:val="21"/>
        </w:rPr>
        <w:t>5. 在右侧业务口径与技术溯源两栏核对 AI 草稿，可以手工改写并保存人工终稿。</w:t>
      </w:r>
    </w:p>
    <w:p>
      <w:pPr>
        <w:spacing w:after="60" w:before="0" w:line="348" w:lineRule="auto"/>
        <w:ind w:left="425"/>
      </w:pPr>
      <w:r>
        <w:rPr>
          <w:rFonts w:ascii="DengXian" w:hAnsi="DengXian" w:eastAsia="等线" w:cs="DengXian"/>
          <w:b w:val="0"/>
          <w:i w:val="0"/>
          <w:color w:val="1A1A1A"/>
          <w:sz w:val="21"/>
        </w:rPr>
        <w:t>6. 需要走审批时点深度编辑、证据绑定与提交审核，进入审核流程。</w:t>
      </w:r>
    </w:p>
    <w:p>
      <w:pPr>
        <w:spacing w:after="60" w:before="0" w:line="348" w:lineRule="auto"/>
        <w:ind w:left="425"/>
      </w:pPr>
      <w:r>
        <w:rPr>
          <w:rFonts w:ascii="DengXian" w:hAnsi="DengXian" w:eastAsia="等线" w:cs="DengXian"/>
          <w:b w:val="0"/>
          <w:i w:val="0"/>
          <w:color w:val="1A1A1A"/>
          <w:sz w:val="21"/>
        </w:rPr>
        <w:t>7. 确认无误后点右上角导出需求文档，可导出 Word 或 Excel，也可以直接发起正式交付。</w:t>
      </w:r>
    </w:p>
    <w:p>
      <w:pPr>
        <w:spacing w:after="120" w:before="0" w:line="348" w:lineRule="auto"/>
      </w:pPr>
      <w:r>
        <w:rPr>
          <w:rFonts w:ascii="DengXian" w:hAnsi="DengXian" w:eastAsia="等线" w:cs="DengXian"/>
          <w:b w:val="0"/>
          <w:i w:val="0"/>
          <w:color w:val="1A1A1A"/>
          <w:sz w:val="21"/>
        </w:rPr>
        <w:t>页面下方的“为什么这样判断”会逐条列出监管依据、候选数据、加工规则、证据依据、置信度与治理状态，点击证据可以回溯到具体知识切片。带“仍需人工确认”标记的区域必须由人工处理，AI 不会自动放行。</w:t>
      </w:r>
    </w:p>
    <w:p>
      <w:pPr>
        <w:pStyle w:val="Heading2"/>
      </w:pPr>
      <w:r>
        <w:t>5.6 审核与治理</w:t>
      </w:r>
    </w:p>
    <w:p>
      <w:pPr>
        <w:spacing w:after="120" w:before="0" w:line="348" w:lineRule="auto"/>
      </w:pPr>
      <w:r>
        <w:rPr>
          <w:rFonts w:ascii="DengXian" w:hAnsi="DengXian" w:eastAsia="等线" w:cs="DengXian"/>
          <w:b w:val="0"/>
          <w:i w:val="0"/>
          <w:color w:val="1A1A1A"/>
          <w:sz w:val="21"/>
        </w:rPr>
        <w:t>入口：左侧待确认问题、我的工作、审核任务。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373499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review-task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734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348" w:lineRule="auto"/>
        <w:jc w:val="center"/>
      </w:pPr>
      <w:r>
        <w:rPr>
          <w:rFonts w:ascii="DengXian" w:hAnsi="DengXian" w:eastAsia="等线" w:cs="DengXian"/>
          <w:b w:val="0"/>
          <w:i w:val="0"/>
          <w:color w:val="5A5A5A"/>
          <w:sz w:val="18"/>
        </w:rPr>
        <w:t>图 10 审核任务</w:t>
      </w:r>
    </w:p>
    <w:p>
      <w:pPr>
        <w:spacing w:after="120" w:before="0" w:line="348" w:lineRule="auto"/>
      </w:pPr>
      <w:r>
        <w:rPr>
          <w:rFonts w:ascii="DengXian" w:hAnsi="DengXian" w:eastAsia="等线" w:cs="DengXian"/>
          <w:b w:val="0"/>
          <w:i w:val="0"/>
          <w:color w:val="1A1A1A"/>
          <w:sz w:val="21"/>
        </w:rPr>
        <w:t>审核按业务审核、技术审核、终审的顺序流转。每次决策都会写入审计日志，可在系统管理下的平台健康与审计页面查询，同时通过站内通知提醒相关人。</w:t>
      </w:r>
    </w:p>
    <w:p>
      <w:pPr>
        <w:pStyle w:val="Heading2"/>
      </w:pPr>
      <w:r>
        <w:t>5.7 血缘与影响分析</w:t>
      </w:r>
    </w:p>
    <w:p>
      <w:pPr>
        <w:spacing w:after="120" w:before="0" w:line="348" w:lineRule="auto"/>
      </w:pPr>
      <w:r>
        <w:rPr>
          <w:rFonts w:ascii="DengXian" w:hAnsi="DengXian" w:eastAsia="等线" w:cs="DengXian"/>
          <w:b w:val="0"/>
          <w:i w:val="0"/>
          <w:color w:val="1A1A1A"/>
          <w:sz w:val="21"/>
        </w:rPr>
        <w:t>入口：数据资产分组中的血缘相关页面（/lineage）。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373499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line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734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348" w:lineRule="auto"/>
        <w:jc w:val="center"/>
      </w:pPr>
      <w:r>
        <w:rPr>
          <w:rFonts w:ascii="DengXian" w:hAnsi="DengXian" w:eastAsia="等线" w:cs="DengXian"/>
          <w:b w:val="0"/>
          <w:i w:val="0"/>
          <w:color w:val="5A5A5A"/>
          <w:sz w:val="18"/>
        </w:rPr>
        <w:t>图 11 血缘与脚本版本对比</w:t>
      </w:r>
    </w:p>
    <w:p>
      <w:pPr>
        <w:spacing w:after="120" w:before="0" w:line="348" w:lineRule="auto"/>
      </w:pPr>
      <w:r>
        <w:rPr>
          <w:rFonts w:ascii="DengXian" w:hAnsi="DengXian" w:eastAsia="等线" w:cs="DengXian"/>
          <w:b w:val="0"/>
          <w:i w:val="0"/>
          <w:color w:val="1A1A1A"/>
          <w:sz w:val="21"/>
        </w:rPr>
        <w:t>上传 SQL 脚本后可以看到脚本版本差异、血缘节点与边，以及变更影响分类，例如字段新增或删除、过滤条件变化、关联变化。变更后需要人工确认影响范围，未审核的影响会出现在项目看板上。</w:t>
      </w:r>
    </w:p>
    <w:p>
      <w:pPr>
        <w:pStyle w:val="Heading2"/>
      </w:pPr>
      <w:r>
        <w:t>5.8 数据星云（多级分层血缘）</w:t>
      </w:r>
    </w:p>
    <w:p>
      <w:pPr>
        <w:spacing w:after="120" w:before="0" w:line="348" w:lineRule="auto"/>
      </w:pPr>
      <w:r>
        <w:rPr>
          <w:rFonts w:ascii="DengXian" w:hAnsi="DengXian" w:eastAsia="等线" w:cs="DengXian"/>
          <w:b w:val="0"/>
          <w:i w:val="0"/>
          <w:color w:val="1A1A1A"/>
          <w:sz w:val="21"/>
        </w:rPr>
        <w:t>入口：血缘页里的“数据星云”卡片，或直接打开 /lineage/nebula；在字段血缘页点“打开数据星云”会自动带上根对象与层级深度。</w:t>
      </w:r>
    </w:p>
    <w:p>
      <w:pPr>
        <w:spacing w:after="120" w:before="0" w:line="348" w:lineRule="auto"/>
      </w:pPr>
      <w:r>
        <w:rPr>
          <w:rFonts w:ascii="DengXian" w:hAnsi="DengXian" w:eastAsia="等线" w:cs="DengXian"/>
          <w:b w:val="0"/>
          <w:i w:val="0"/>
          <w:color w:val="1A1A1A"/>
          <w:sz w:val="21"/>
        </w:rPr>
        <w:t>数据星云把一条监管口径的多级血缘按数据流向分层铺开，一屏看清“这个字段怎么来的、改了会影响谁”。当前生产版本已包含该能力。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402"/>
            <w:shd w:val="clear" w:fill="EDF1F6"/>
          </w:tcPr>
          <w:p>
            <w:pPr>
              <w:spacing w:after="40" w:line="300" w:lineRule="auto"/>
            </w:pPr>
            <w:r>
              <w:rPr>
                <w:rFonts w:ascii="DengXian" w:hAnsi="DengXian" w:eastAsia="等线" w:cs="DengXian"/>
                <w:b/>
                <w:sz w:val="20"/>
              </w:rPr>
              <w:t>层级</w:t>
            </w:r>
          </w:p>
        </w:tc>
        <w:tc>
          <w:tcPr>
            <w:tcW w:type="dxa" w:w="6009"/>
            <w:shd w:val="clear" w:fill="EDF1F6"/>
          </w:tcPr>
          <w:p>
            <w:pPr>
              <w:spacing w:after="40" w:line="300" w:lineRule="auto"/>
            </w:pPr>
            <w:r>
              <w:rPr>
                <w:rFonts w:ascii="DengXian" w:hAnsi="DengXian" w:eastAsia="等线" w:cs="DengXian"/>
                <w:b/>
                <w:sz w:val="20"/>
              </w:rPr>
              <w:t>含义</w:t>
            </w:r>
          </w:p>
        </w:tc>
        <w:trPr>
          <w:tblHeader/>
        </w:trPr>
      </w:tr>
      <w:tr>
        <w:tc>
          <w:tcPr>
            <w:tcW w:type="dxa" w:w="3402"/>
          </w:tcPr>
          <w:p>
            <w:pPr>
              <w:spacing w:after="40" w:line="300" w:lineRule="auto"/>
            </w:pPr>
            <w:r>
              <w:rPr>
                <w:rFonts w:ascii="DengXian" w:hAnsi="DengXian" w:eastAsia="等线" w:cs="DengXian"/>
                <w:b w:val="0"/>
                <w:sz w:val="20"/>
              </w:rPr>
              <w:t>源系统 SOURCE</w:t>
            </w:r>
          </w:p>
        </w:tc>
        <w:tc>
          <w:tcPr>
            <w:tcW w:type="dxa" w:w="6009"/>
          </w:tcPr>
          <w:p>
            <w:pPr>
              <w:spacing w:after="40" w:line="300" w:lineRule="auto"/>
            </w:pPr>
            <w:r>
              <w:rPr>
                <w:rFonts w:ascii="DengXian" w:hAnsi="DengXian" w:eastAsia="等线" w:cs="DengXian"/>
                <w:b w:val="0"/>
                <w:sz w:val="20"/>
              </w:rPr>
              <w:t>业务系统原始表</w:t>
            </w:r>
          </w:p>
        </w:tc>
      </w:tr>
      <w:tr>
        <w:tc>
          <w:tcPr>
            <w:tcW w:type="dxa" w:w="3402"/>
          </w:tcPr>
          <w:p>
            <w:pPr>
              <w:spacing w:after="40" w:line="300" w:lineRule="auto"/>
            </w:pPr>
            <w:r>
              <w:rPr>
                <w:rFonts w:ascii="DengXian" w:hAnsi="DengXian" w:eastAsia="等线" w:cs="DengXian"/>
                <w:b w:val="0"/>
                <w:sz w:val="20"/>
              </w:rPr>
              <w:t>操作数据层 ODS</w:t>
            </w:r>
          </w:p>
        </w:tc>
        <w:tc>
          <w:tcPr>
            <w:tcW w:type="dxa" w:w="6009"/>
          </w:tcPr>
          <w:p>
            <w:pPr>
              <w:spacing w:after="40" w:line="300" w:lineRule="auto"/>
            </w:pPr>
            <w:r>
              <w:rPr>
                <w:rFonts w:ascii="DengXian" w:hAnsi="DengXian" w:eastAsia="等线" w:cs="DengXian"/>
                <w:b w:val="0"/>
                <w:sz w:val="20"/>
              </w:rPr>
              <w:t>贴源落地</w:t>
            </w:r>
          </w:p>
        </w:tc>
      </w:tr>
      <w:tr>
        <w:tc>
          <w:tcPr>
            <w:tcW w:type="dxa" w:w="3402"/>
          </w:tcPr>
          <w:p>
            <w:pPr>
              <w:spacing w:after="40" w:line="300" w:lineRule="auto"/>
            </w:pPr>
            <w:r>
              <w:rPr>
                <w:rFonts w:ascii="DengXian" w:hAnsi="DengXian" w:eastAsia="等线" w:cs="DengXian"/>
                <w:b w:val="0"/>
                <w:sz w:val="20"/>
              </w:rPr>
              <w:t>明细数据层 DWD</w:t>
            </w:r>
          </w:p>
        </w:tc>
        <w:tc>
          <w:tcPr>
            <w:tcW w:type="dxa" w:w="6009"/>
          </w:tcPr>
          <w:p>
            <w:pPr>
              <w:spacing w:after="40" w:line="300" w:lineRule="auto"/>
            </w:pPr>
            <w:r>
              <w:rPr>
                <w:rFonts w:ascii="DengXian" w:hAnsi="DengXian" w:eastAsia="等线" w:cs="DengXian"/>
                <w:b w:val="0"/>
                <w:sz w:val="20"/>
              </w:rPr>
              <w:t>明细加工</w:t>
            </w:r>
          </w:p>
        </w:tc>
      </w:tr>
      <w:tr>
        <w:tc>
          <w:tcPr>
            <w:tcW w:type="dxa" w:w="3402"/>
          </w:tcPr>
          <w:p>
            <w:pPr>
              <w:spacing w:after="40" w:line="300" w:lineRule="auto"/>
            </w:pPr>
            <w:r>
              <w:rPr>
                <w:rFonts w:ascii="DengXian" w:hAnsi="DengXian" w:eastAsia="等线" w:cs="DengXian"/>
                <w:b w:val="0"/>
                <w:sz w:val="20"/>
              </w:rPr>
              <w:t>汇总数据层 DWS</w:t>
            </w:r>
          </w:p>
        </w:tc>
        <w:tc>
          <w:tcPr>
            <w:tcW w:type="dxa" w:w="6009"/>
          </w:tcPr>
          <w:p>
            <w:pPr>
              <w:spacing w:after="40" w:line="300" w:lineRule="auto"/>
            </w:pPr>
            <w:r>
              <w:rPr>
                <w:rFonts w:ascii="DengXian" w:hAnsi="DengXian" w:eastAsia="等线" w:cs="DengXian"/>
                <w:b w:val="0"/>
                <w:sz w:val="20"/>
              </w:rPr>
              <w:t>轻度汇总</w:t>
            </w:r>
          </w:p>
        </w:tc>
      </w:tr>
      <w:tr>
        <w:tc>
          <w:tcPr>
            <w:tcW w:type="dxa" w:w="3402"/>
          </w:tcPr>
          <w:p>
            <w:pPr>
              <w:spacing w:after="40" w:line="300" w:lineRule="auto"/>
            </w:pPr>
            <w:r>
              <w:rPr>
                <w:rFonts w:ascii="DengXian" w:hAnsi="DengXian" w:eastAsia="等线" w:cs="DengXian"/>
                <w:b w:val="0"/>
                <w:sz w:val="20"/>
              </w:rPr>
              <w:t>监管集市 MART</w:t>
            </w:r>
          </w:p>
        </w:tc>
        <w:tc>
          <w:tcPr>
            <w:tcW w:type="dxa" w:w="6009"/>
          </w:tcPr>
          <w:p>
            <w:pPr>
              <w:spacing w:after="40" w:line="300" w:lineRule="auto"/>
            </w:pPr>
            <w:r>
              <w:rPr>
                <w:rFonts w:ascii="DengXian" w:hAnsi="DengXian" w:eastAsia="等线" w:cs="DengXian"/>
                <w:b w:val="0"/>
                <w:sz w:val="20"/>
              </w:rPr>
              <w:t>监管口径集市</w:t>
            </w:r>
          </w:p>
        </w:tc>
      </w:tr>
      <w:tr>
        <w:tc>
          <w:tcPr>
            <w:tcW w:type="dxa" w:w="3402"/>
          </w:tcPr>
          <w:p>
            <w:pPr>
              <w:spacing w:after="40" w:line="300" w:lineRule="auto"/>
            </w:pPr>
            <w:r>
              <w:rPr>
                <w:rFonts w:ascii="DengXian" w:hAnsi="DengXian" w:eastAsia="等线" w:cs="DengXian"/>
                <w:b w:val="0"/>
                <w:sz w:val="20"/>
              </w:rPr>
              <w:t>监管输出 TARGET</w:t>
            </w:r>
          </w:p>
        </w:tc>
        <w:tc>
          <w:tcPr>
            <w:tcW w:type="dxa" w:w="6009"/>
          </w:tcPr>
          <w:p>
            <w:pPr>
              <w:spacing w:after="40" w:line="300" w:lineRule="auto"/>
            </w:pPr>
            <w:r>
              <w:rPr>
                <w:rFonts w:ascii="DengXian" w:hAnsi="DengXian" w:eastAsia="等线" w:cs="DengXian"/>
                <w:b w:val="0"/>
                <w:sz w:val="20"/>
              </w:rPr>
              <w:t>一表通 / EAST / 1104 的报表字段</w:t>
            </w:r>
          </w:p>
        </w:tc>
      </w:tr>
      <w:tr>
        <w:tc>
          <w:tcPr>
            <w:tcW w:type="dxa" w:w="3402"/>
          </w:tcPr>
          <w:p>
            <w:pPr>
              <w:spacing w:after="40" w:line="300" w:lineRule="auto"/>
            </w:pPr>
            <w:r>
              <w:rPr>
                <w:rFonts w:ascii="DengXian" w:hAnsi="DengXian" w:eastAsia="等线" w:cs="DengXian"/>
                <w:b w:val="0"/>
                <w:sz w:val="20"/>
              </w:rPr>
              <w:t>数据目录 CATALOG / 处理脚本 SCRIPT</w:t>
            </w:r>
          </w:p>
        </w:tc>
        <w:tc>
          <w:tcPr>
            <w:tcW w:type="dxa" w:w="6009"/>
          </w:tcPr>
          <w:p>
            <w:pPr>
              <w:spacing w:after="40" w:line="300" w:lineRule="auto"/>
            </w:pPr>
            <w:r>
              <w:rPr>
                <w:rFonts w:ascii="DengXian" w:hAnsi="DengXian" w:eastAsia="等线" w:cs="DengXian"/>
                <w:b w:val="0"/>
                <w:sz w:val="20"/>
              </w:rPr>
              <w:t>目录字段与脚本血缘节点</w:t>
            </w:r>
          </w:p>
        </w:tc>
      </w:tr>
      <w:tr>
        <w:tc>
          <w:tcPr>
            <w:tcW w:type="dxa" w:w="3402"/>
          </w:tcPr>
          <w:p>
            <w:pPr>
              <w:spacing w:after="40" w:line="300" w:lineRule="auto"/>
            </w:pPr>
            <w:r>
              <w:rPr>
                <w:rFonts w:ascii="DengXian" w:hAnsi="DengXian" w:eastAsia="等线" w:cs="DengXian"/>
                <w:b w:val="0"/>
                <w:sz w:val="20"/>
              </w:rPr>
              <w:t>未识别层级 UNKNOWN</w:t>
            </w:r>
          </w:p>
        </w:tc>
        <w:tc>
          <w:tcPr>
            <w:tcW w:type="dxa" w:w="6009"/>
          </w:tcPr>
          <w:p>
            <w:pPr>
              <w:spacing w:after="40" w:line="300" w:lineRule="auto"/>
            </w:pPr>
            <w:r>
              <w:rPr>
                <w:rFonts w:ascii="DengXian" w:hAnsi="DengXian" w:eastAsia="等线" w:cs="DengXian"/>
                <w:b w:val="0"/>
                <w:sz w:val="20"/>
              </w:rPr>
              <w:t>判定不了层级的节点单独成列，不会被猜成某一层</w:t>
            </w:r>
          </w:p>
        </w:tc>
      </w:tr>
    </w:tbl>
    <w:p>
      <w:pPr>
        <w:spacing w:after="40" w:before="0" w:line="348" w:lineRule="auto"/>
      </w:pPr>
      <w:r>
        <w:rPr>
          <w:rFonts w:ascii="DengXian" w:hAnsi="DengXian" w:eastAsia="等线" w:cs="DengXian"/>
          <w:b w:val="0"/>
          <w:i w:val="0"/>
          <w:color w:val="1A1A1A"/>
          <w:sz w:val="8"/>
        </w:rPr>
      </w:r>
    </w:p>
    <w:p>
      <w:pPr>
        <w:spacing w:after="120" w:before="0" w:line="348" w:lineRule="auto"/>
      </w:pPr>
      <w:r>
        <w:rPr>
          <w:rFonts w:ascii="DengXian" w:hAnsi="DengXian" w:eastAsia="等线" w:cs="DengXian"/>
          <w:b w:val="0"/>
          <w:i w:val="0"/>
          <w:color w:val="1A1A1A"/>
          <w:sz w:val="21"/>
        </w:rPr>
        <w:t>用法：</w:t>
      </w:r>
    </w:p>
    <w:p>
      <w:pPr>
        <w:spacing w:after="60" w:before="0" w:line="348" w:lineRule="auto"/>
        <w:ind w:left="425"/>
      </w:pPr>
      <w:r>
        <w:rPr>
          <w:rFonts w:ascii="DengXian" w:hAnsi="DengXian" w:eastAsia="等线" w:cs="DengXian"/>
          <w:b w:val="0"/>
          <w:i w:val="0"/>
          <w:color w:val="1A1A1A"/>
          <w:sz w:val="21"/>
        </w:rPr>
        <w:t>1. 选根对象类型：监管目标字段 / 监管集市字段 / 源系统字段 / 数据目录字段 / 脚本血缘节点；</w:t>
      </w:r>
    </w:p>
    <w:p>
      <w:pPr>
        <w:spacing w:after="60" w:before="0" w:line="348" w:lineRule="auto"/>
        <w:ind w:left="425"/>
      </w:pPr>
      <w:r>
        <w:rPr>
          <w:rFonts w:ascii="DengXian" w:hAnsi="DengXian" w:eastAsia="等线" w:cs="DengXian"/>
          <w:b w:val="0"/>
          <w:i w:val="0"/>
          <w:color w:val="1A1A1A"/>
          <w:sz w:val="21"/>
        </w:rPr>
        <w:t>2. 填根对象 ID（例如某个监管目标字段的 ID），填好即自动加载，不需要再点查询；</w:t>
      </w:r>
    </w:p>
    <w:p>
      <w:pPr>
        <w:spacing w:after="60" w:before="0" w:line="348" w:lineRule="auto"/>
        <w:ind w:left="425"/>
      </w:pPr>
      <w:r>
        <w:rPr>
          <w:rFonts w:ascii="DengXian" w:hAnsi="DengXian" w:eastAsia="等线" w:cs="DengXian"/>
          <w:b w:val="0"/>
          <w:i w:val="0"/>
          <w:color w:val="1A1A1A"/>
          <w:sz w:val="21"/>
        </w:rPr>
        <w:t>3. 选方向：上游（取数来源）/ 下游（影响范围）/ 双向；</w:t>
      </w:r>
    </w:p>
    <w:p>
      <w:pPr>
        <w:spacing w:after="60" w:before="0" w:line="348" w:lineRule="auto"/>
        <w:ind w:left="425"/>
      </w:pPr>
      <w:r>
        <w:rPr>
          <w:rFonts w:ascii="DengXian" w:hAnsi="DengXian" w:eastAsia="等线" w:cs="DengXian"/>
          <w:b w:val="0"/>
          <w:i w:val="0"/>
          <w:color w:val="1A1A1A"/>
          <w:sz w:val="21"/>
        </w:rPr>
        <w:t>4. 选层级深度 1–10（默认 6）与视图（业务视图 / 技术视图）；</w:t>
      </w:r>
    </w:p>
    <w:p>
      <w:pPr>
        <w:spacing w:after="60" w:before="0" w:line="348" w:lineRule="auto"/>
        <w:ind w:left="425"/>
      </w:pPr>
      <w:r>
        <w:rPr>
          <w:rFonts w:ascii="DengXian" w:hAnsi="DengXian" w:eastAsia="等线" w:cs="DengXian"/>
          <w:b w:val="0"/>
          <w:i w:val="0"/>
          <w:color w:val="1A1A1A"/>
          <w:sz w:val="21"/>
        </w:rPr>
        <w:t>5. 需要对齐某个历史口径时，在“血缘版本”里选一个已发布版本，图与表格都读同一份版本。</w:t>
      </w:r>
    </w:p>
    <w:p>
      <w:pPr>
        <w:spacing w:after="120" w:before="0" w:line="348" w:lineRule="auto"/>
      </w:pPr>
      <w:r>
        <w:rPr>
          <w:rFonts w:ascii="DengXian" w:hAnsi="DengXian" w:eastAsia="等线" w:cs="DengXian"/>
          <w:b w:val="0"/>
          <w:i w:val="0"/>
          <w:color w:val="1A1A1A"/>
          <w:sz w:val="21"/>
        </w:rPr>
        <w:t>读图规则：</w:t>
      </w:r>
    </w:p>
    <w:p>
      <w:pPr>
        <w:spacing w:after="60" w:before="0" w:line="348" w:lineRule="auto"/>
        <w:ind w:left="425"/>
      </w:pPr>
      <w:r>
        <w:rPr>
          <w:rFonts w:ascii="DengXian" w:hAnsi="DengXian" w:eastAsia="等线" w:cs="DengXian"/>
          <w:b w:val="0"/>
          <w:i w:val="0"/>
          <w:color w:val="1A1A1A"/>
          <w:sz w:val="21"/>
        </w:rPr>
        <w:t>1. 点击任意节点可以按该节点重新聚焦上下游，按 Esc 取消聚焦；</w:t>
      </w:r>
    </w:p>
    <w:p>
      <w:pPr>
        <w:spacing w:after="60" w:before="0" w:line="348" w:lineRule="auto"/>
        <w:ind w:left="425"/>
      </w:pPr>
      <w:r>
        <w:rPr>
          <w:rFonts w:ascii="DengXian" w:hAnsi="DengXian" w:eastAsia="等线" w:cs="DengXian"/>
          <w:b w:val="0"/>
          <w:i w:val="0"/>
          <w:color w:val="1A1A1A"/>
          <w:sz w:val="21"/>
        </w:rPr>
        <w:t>2. 画布下方的明细表格与图来自同一份接口响应，所以“看到的图”和“列出来的边”始终一致；</w:t>
      </w:r>
    </w:p>
    <w:p>
      <w:pPr>
        <w:spacing w:after="60" w:before="0" w:line="348" w:lineRule="auto"/>
        <w:ind w:left="425"/>
      </w:pPr>
      <w:r>
        <w:rPr>
          <w:rFonts w:ascii="DengXian" w:hAnsi="DengXian" w:eastAsia="等线" w:cs="DengXian"/>
          <w:b w:val="0"/>
          <w:i w:val="0"/>
          <w:color w:val="1A1A1A"/>
          <w:sz w:val="21"/>
        </w:rPr>
        <w:t>3. 无法证明的关联保持“未解析”，平台不会自动补全；缺口（例如缺少业务备注）会汇总成缺口建议；</w:t>
      </w:r>
    </w:p>
    <w:p>
      <w:pPr>
        <w:spacing w:after="60" w:before="0" w:line="348" w:lineRule="auto"/>
        <w:ind w:left="425"/>
      </w:pPr>
      <w:r>
        <w:rPr>
          <w:rFonts w:ascii="DengXian" w:hAnsi="DengXian" w:eastAsia="等线" w:cs="DengXian"/>
          <w:b w:val="0"/>
          <w:i w:val="0"/>
          <w:color w:val="1A1A1A"/>
          <w:sz w:val="21"/>
        </w:rPr>
        <w:t>4. 单层节点超过 24 个会按顺序截断并在层级标签上标注“已截断 N”，需要看全就缩小深度或收窄方向；</w:t>
      </w:r>
    </w:p>
    <w:p>
      <w:pPr>
        <w:spacing w:after="60" w:before="0" w:line="348" w:lineRule="auto"/>
        <w:ind w:left="425"/>
      </w:pPr>
      <w:r>
        <w:rPr>
          <w:rFonts w:ascii="DengXian" w:hAnsi="DengXian" w:eastAsia="等线" w:cs="DengXian"/>
          <w:b w:val="0"/>
          <w:i w:val="0"/>
          <w:color w:val="1A1A1A"/>
          <w:sz w:val="21"/>
        </w:rPr>
        <w:t>5. 动画只表示已经登记的结构连接关系，不代表跑批脚本正在运行，也不代表数据正在实时流动。</w:t>
      </w:r>
    </w:p>
    <w:p>
      <w:pPr>
        <w:spacing w:after="120" w:before="0" w:line="348" w:lineRule="auto"/>
      </w:pPr>
      <w:r>
        <w:rPr>
          <w:rFonts w:ascii="DengXian" w:hAnsi="DengXian" w:eastAsia="等线" w:cs="DengXian"/>
          <w:b w:val="0"/>
          <w:i w:val="0"/>
          <w:color w:val="1A1A1A"/>
          <w:sz w:val="21"/>
        </w:rPr>
        <w:t>参数可以写进链接，方便把某一条血缘直接发给同事：/lineage/nebula?rootType=target_field&amp;rootId=&lt;字段ID&gt;&amp;direction=upstream&amp;depth=6&amp;view=business</w:t>
      </w:r>
    </w:p>
    <w:p>
      <w:pPr>
        <w:pStyle w:val="Heading2"/>
      </w:pPr>
      <w:r>
        <w:t>5.9 生成正式交付包</w:t>
      </w:r>
    </w:p>
    <w:p>
      <w:pPr>
        <w:spacing w:after="120" w:before="0" w:line="348" w:lineRule="auto"/>
      </w:pPr>
      <w:r>
        <w:rPr>
          <w:rFonts w:ascii="DengXian" w:hAnsi="DengXian" w:eastAsia="等线" w:cs="DengXian"/>
          <w:b w:val="0"/>
          <w:i w:val="0"/>
          <w:color w:val="1A1A1A"/>
          <w:sz w:val="21"/>
        </w:rPr>
        <w:t>入口：交付成果下的正式交付工作台（/deliverables）。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373499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deliverabl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734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348" w:lineRule="auto"/>
        <w:jc w:val="center"/>
      </w:pPr>
      <w:r>
        <w:rPr>
          <w:rFonts w:ascii="DengXian" w:hAnsi="DengXian" w:eastAsia="等线" w:cs="DengXian"/>
          <w:b w:val="0"/>
          <w:i w:val="0"/>
          <w:color w:val="5A5A5A"/>
          <w:sz w:val="18"/>
        </w:rPr>
        <w:t>图 12 正式交付工作台</w:t>
      </w:r>
    </w:p>
    <w:p>
      <w:pPr>
        <w:spacing w:after="120" w:before="0" w:line="348" w:lineRule="auto"/>
      </w:pPr>
      <w:r>
        <w:rPr>
          <w:rFonts w:ascii="DengXian" w:hAnsi="DengXian" w:eastAsia="等线" w:cs="DengXian"/>
          <w:b w:val="0"/>
          <w:i w:val="0"/>
          <w:color w:val="1A1A1A"/>
          <w:sz w:val="21"/>
        </w:rPr>
        <w:t>选择一表通目标表与已激活的模板版本后点创建交付包，系统会依次执行生成任务与渲染任务。完成后可以下载正式 Excel，其中包含结构化口径、技术溯源、血缘、变更影响等多个工作表，也可以查看版本对比。交付包带版本号与批准状态，重复批准是幂等的，不会重复产生版本。</w:t>
      </w:r>
    </w:p>
    <w:p>
      <w:pPr>
        <w:pStyle w:val="Heading2"/>
      </w:pPr>
      <w:r>
        <w:t>5.10 UAT 验收</w:t>
      </w:r>
    </w:p>
    <w:p>
      <w:pPr>
        <w:spacing w:after="120" w:before="0" w:line="348" w:lineRule="auto"/>
      </w:pPr>
      <w:r>
        <w:rPr>
          <w:rFonts w:ascii="DengXian" w:hAnsi="DengXian" w:eastAsia="等线" w:cs="DengXian"/>
          <w:b w:val="0"/>
          <w:i w:val="0"/>
          <w:color w:val="1A1A1A"/>
          <w:sz w:val="21"/>
        </w:rPr>
        <w:t>入口：交付中心下的 UAT。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71619" cy="722376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ua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1619" cy="722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348" w:lineRule="auto"/>
        <w:jc w:val="center"/>
      </w:pPr>
      <w:r>
        <w:rPr>
          <w:rFonts w:ascii="DengXian" w:hAnsi="DengXian" w:eastAsia="等线" w:cs="DengXian"/>
          <w:b w:val="0"/>
          <w:i w:val="0"/>
          <w:color w:val="5A5A5A"/>
          <w:sz w:val="18"/>
        </w:rPr>
        <w:t>图 13 UAT 验收</w:t>
      </w:r>
    </w:p>
    <w:p>
      <w:pPr>
        <w:spacing w:after="120" w:before="0" w:line="348" w:lineRule="auto"/>
      </w:pPr>
      <w:r>
        <w:rPr>
          <w:rFonts w:ascii="DengXian" w:hAnsi="DengXian" w:eastAsia="等线" w:cs="DengXian"/>
          <w:b w:val="0"/>
          <w:i w:val="0"/>
          <w:color w:val="1A1A1A"/>
          <w:sz w:val="21"/>
        </w:rPr>
        <w:t>平台内置 8 个套件、94 条用例，其中自动 60 条、人工 7 条、混合 27 条。流程是上传 UAT 包、校验、执行、提 finding、复验、签核 4 份、下载报告与证据包。首轮失败后整改补验通过是设计允许的正常路径。</w:t>
      </w:r>
    </w:p>
    <w:p>
      <w:pPr>
        <w:pStyle w:val="Heading2"/>
      </w:pPr>
      <w:r>
        <w:t>5.11 后台任务</w:t>
      </w:r>
    </w:p>
    <w:p>
      <w:pPr>
        <w:spacing w:after="120" w:before="0" w:line="348" w:lineRule="auto"/>
      </w:pPr>
      <w:r>
        <w:rPr>
          <w:rFonts w:ascii="DengXian" w:hAnsi="DengXian" w:eastAsia="等线" w:cs="DengXian"/>
          <w:b w:val="0"/>
          <w:i w:val="0"/>
          <w:color w:val="1A1A1A"/>
          <w:sz w:val="21"/>
        </w:rPr>
        <w:t>入口：顶部后台任务。知识解析、索引重建、元数据同步、交付渲染、UAT 执行等长耗时操作都在这里排队执行。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000851" cy="722376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job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00851" cy="722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348" w:lineRule="auto"/>
        <w:jc w:val="center"/>
      </w:pPr>
      <w:r>
        <w:rPr>
          <w:rFonts w:ascii="DengXian" w:hAnsi="DengXian" w:eastAsia="等线" w:cs="DengXian"/>
          <w:b w:val="0"/>
          <w:i w:val="0"/>
          <w:color w:val="5A5A5A"/>
          <w:sz w:val="18"/>
        </w:rPr>
        <w:t>图 14 后台任务列表</w:t>
      </w:r>
    </w:p>
    <w:p>
      <w:pPr>
        <w:spacing w:after="120" w:before="0" w:line="348" w:lineRule="auto"/>
      </w:pPr>
      <w:r>
        <w:rPr>
          <w:rFonts w:ascii="DengXian" w:hAnsi="DengXian" w:eastAsia="等线" w:cs="DengXian"/>
          <w:b w:val="0"/>
          <w:i w:val="0"/>
          <w:color w:val="1A1A1A"/>
          <w:sz w:val="21"/>
        </w:rPr>
        <w:t>任务失败会记录错误原因，可以重试。同类型任务带幂等键，重复提交不会重复执行。</w:t>
      </w:r>
    </w:p>
    <w:p>
      <w:pPr>
        <w:pStyle w:val="Heading1"/>
      </w:pPr>
      <w:r>
        <w:t>6 系统管理</w:t>
      </w:r>
    </w:p>
    <w:p>
      <w:pPr>
        <w:spacing w:after="120" w:before="0" w:line="348" w:lineRule="auto"/>
      </w:pPr>
      <w:r>
        <w:rPr>
          <w:rFonts w:ascii="DengXian" w:hAnsi="DengXian" w:eastAsia="等线" w:cs="DengXian"/>
          <w:b w:val="0"/>
          <w:i w:val="0"/>
          <w:color w:val="1A1A1A"/>
          <w:sz w:val="21"/>
        </w:rPr>
        <w:t>入口：左侧系统管理，分组为管理概览、机构管理、用户管理、角色与权限、平台健康，仅平台管理员可见。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09647" cy="722376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admin-user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09647" cy="722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348" w:lineRule="auto"/>
        <w:jc w:val="center"/>
      </w:pPr>
      <w:r>
        <w:rPr>
          <w:rFonts w:ascii="DengXian" w:hAnsi="DengXian" w:eastAsia="等线" w:cs="DengXian"/>
          <w:b w:val="0"/>
          <w:i w:val="0"/>
          <w:color w:val="5A5A5A"/>
          <w:sz w:val="18"/>
        </w:rPr>
        <w:t>图 15 用户管理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928"/>
            <w:shd w:val="clear" w:fill="EDF1F6"/>
          </w:tcPr>
          <w:p>
            <w:pPr>
              <w:spacing w:after="40" w:line="300" w:lineRule="auto"/>
            </w:pPr>
            <w:r>
              <w:rPr>
                <w:rFonts w:ascii="DengXian" w:hAnsi="DengXian" w:eastAsia="等线" w:cs="DengXian"/>
                <w:b/>
                <w:sz w:val="20"/>
              </w:rPr>
              <w:t>页面</w:t>
            </w:r>
          </w:p>
        </w:tc>
        <w:tc>
          <w:tcPr>
            <w:tcW w:type="dxa" w:w="7483"/>
            <w:shd w:val="clear" w:fill="EDF1F6"/>
          </w:tcPr>
          <w:p>
            <w:pPr>
              <w:spacing w:after="40" w:line="300" w:lineRule="auto"/>
            </w:pPr>
            <w:r>
              <w:rPr>
                <w:rFonts w:ascii="DengXian" w:hAnsi="DengXian" w:eastAsia="等线" w:cs="DengXian"/>
                <w:b/>
                <w:sz w:val="20"/>
              </w:rPr>
              <w:t>用途</w:t>
            </w:r>
          </w:p>
        </w:tc>
        <w:trPr>
          <w:tblHeader/>
        </w:trPr>
      </w:tr>
      <w:tr>
        <w:tc>
          <w:tcPr>
            <w:tcW w:type="dxa" w:w="1928"/>
          </w:tcPr>
          <w:p>
            <w:pPr>
              <w:spacing w:after="40" w:line="300" w:lineRule="auto"/>
            </w:pPr>
            <w:r>
              <w:rPr>
                <w:rFonts w:ascii="DengXian" w:hAnsi="DengXian" w:eastAsia="等线" w:cs="DengXian"/>
                <w:b w:val="0"/>
                <w:sz w:val="20"/>
              </w:rPr>
              <w:t>机构管理</w:t>
            </w:r>
          </w:p>
        </w:tc>
        <w:tc>
          <w:tcPr>
            <w:tcW w:type="dxa" w:w="7483"/>
          </w:tcPr>
          <w:p>
            <w:pPr>
              <w:spacing w:after="40" w:line="300" w:lineRule="auto"/>
            </w:pPr>
            <w:r>
              <w:rPr>
                <w:rFonts w:ascii="DengXian" w:hAnsi="DengXian" w:eastAsia="等线" w:cs="DengXian"/>
                <w:b w:val="0"/>
                <w:sz w:val="20"/>
              </w:rPr>
              <w:t>新建与查看机构，例如银行、平台运营方</w:t>
            </w:r>
          </w:p>
        </w:tc>
      </w:tr>
      <w:tr>
        <w:tc>
          <w:tcPr>
            <w:tcW w:type="dxa" w:w="1928"/>
          </w:tcPr>
          <w:p>
            <w:pPr>
              <w:spacing w:after="40" w:line="300" w:lineRule="auto"/>
            </w:pPr>
            <w:r>
              <w:rPr>
                <w:rFonts w:ascii="DengXian" w:hAnsi="DengXian" w:eastAsia="等线" w:cs="DengXian"/>
                <w:b w:val="0"/>
                <w:sz w:val="20"/>
              </w:rPr>
              <w:t>用户管理</w:t>
            </w:r>
          </w:p>
        </w:tc>
        <w:tc>
          <w:tcPr>
            <w:tcW w:type="dxa" w:w="7483"/>
          </w:tcPr>
          <w:p>
            <w:pPr>
              <w:spacing w:after="40" w:line="300" w:lineRule="auto"/>
            </w:pPr>
            <w:r>
              <w:rPr>
                <w:rFonts w:ascii="DengXian" w:hAnsi="DengXian" w:eastAsia="等线" w:cs="DengXian"/>
                <w:b w:val="0"/>
                <w:sz w:val="20"/>
              </w:rPr>
              <w:t>新建用户、分配机构与机构角色、启停账号</w:t>
            </w:r>
          </w:p>
        </w:tc>
      </w:tr>
      <w:tr>
        <w:tc>
          <w:tcPr>
            <w:tcW w:type="dxa" w:w="1928"/>
          </w:tcPr>
          <w:p>
            <w:pPr>
              <w:spacing w:after="40" w:line="300" w:lineRule="auto"/>
            </w:pPr>
            <w:r>
              <w:rPr>
                <w:rFonts w:ascii="DengXian" w:hAnsi="DengXian" w:eastAsia="等线" w:cs="DengXian"/>
                <w:b w:val="0"/>
                <w:sz w:val="20"/>
              </w:rPr>
              <w:t>角色与权限</w:t>
            </w:r>
          </w:p>
        </w:tc>
        <w:tc>
          <w:tcPr>
            <w:tcW w:type="dxa" w:w="7483"/>
          </w:tcPr>
          <w:p>
            <w:pPr>
              <w:spacing w:after="40" w:line="300" w:lineRule="auto"/>
            </w:pPr>
            <w:r>
              <w:rPr>
                <w:rFonts w:ascii="DengXian" w:hAnsi="DengXian" w:eastAsia="等线" w:cs="DengXian"/>
                <w:b w:val="0"/>
                <w:sz w:val="20"/>
              </w:rPr>
              <w:t>查看角色定义与权限项</w:t>
            </w:r>
          </w:p>
        </w:tc>
      </w:tr>
      <w:tr>
        <w:tc>
          <w:tcPr>
            <w:tcW w:type="dxa" w:w="1928"/>
          </w:tcPr>
          <w:p>
            <w:pPr>
              <w:spacing w:after="40" w:line="300" w:lineRule="auto"/>
            </w:pPr>
            <w:r>
              <w:rPr>
                <w:rFonts w:ascii="DengXian" w:hAnsi="DengXian" w:eastAsia="等线" w:cs="DengXian"/>
                <w:b w:val="0"/>
                <w:sz w:val="20"/>
              </w:rPr>
              <w:t>平台健康</w:t>
            </w:r>
          </w:p>
        </w:tc>
        <w:tc>
          <w:tcPr>
            <w:tcW w:type="dxa" w:w="7483"/>
          </w:tcPr>
          <w:p>
            <w:pPr>
              <w:spacing w:after="40" w:line="300" w:lineRule="auto"/>
            </w:pPr>
            <w:r>
              <w:rPr>
                <w:rFonts w:ascii="DengXian" w:hAnsi="DengXian" w:eastAsia="等线" w:cs="DengXian"/>
                <w:b w:val="0"/>
                <w:sz w:val="20"/>
              </w:rPr>
              <w:t>查看依赖健康状态、审计与运行信息</w:t>
            </w:r>
          </w:p>
        </w:tc>
      </w:tr>
    </w:tbl>
    <w:p>
      <w:pPr>
        <w:spacing w:after="40" w:before="0" w:line="348" w:lineRule="auto"/>
      </w:pPr>
      <w:r>
        <w:rPr>
          <w:rFonts w:ascii="DengXian" w:hAnsi="DengXian" w:eastAsia="等线" w:cs="DengXian"/>
          <w:b w:val="0"/>
          <w:i w:val="0"/>
          <w:color w:val="1A1A1A"/>
          <w:sz w:val="8"/>
        </w:rPr>
      </w:r>
    </w:p>
    <w:p>
      <w:pPr>
        <w:pStyle w:val="Heading2"/>
      </w:pPr>
      <w:r>
        <w:t>6.1 模型与运行环境</w:t>
      </w:r>
    </w:p>
    <w:p>
      <w:pPr>
        <w:spacing w:after="120" w:before="0" w:line="348" w:lineRule="auto"/>
      </w:pPr>
      <w:r>
        <w:rPr>
          <w:rFonts w:ascii="DengXian" w:hAnsi="DengXian" w:eastAsia="等线" w:cs="DengXian"/>
          <w:b w:val="0"/>
          <w:i w:val="0"/>
          <w:color w:val="1A1A1A"/>
          <w:sz w:val="21"/>
        </w:rPr>
        <w:t>入口：/model-profiles（AI 运行环境）。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96722" cy="722376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model-profil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96722" cy="722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348" w:lineRule="auto"/>
        <w:jc w:val="center"/>
      </w:pPr>
      <w:r>
        <w:rPr>
          <w:rFonts w:ascii="DengXian" w:hAnsi="DengXian" w:eastAsia="等线" w:cs="DengXian"/>
          <w:b w:val="0"/>
          <w:i w:val="0"/>
          <w:color w:val="5A5A5A"/>
          <w:sz w:val="18"/>
        </w:rPr>
        <w:t>图 16 AI 运行环境的模型与向量存储配置</w:t>
      </w:r>
    </w:p>
    <w:p>
      <w:pPr>
        <w:spacing w:after="120" w:before="0" w:line="348" w:lineRule="auto"/>
      </w:pPr>
      <w:r>
        <w:rPr>
          <w:rFonts w:ascii="DengXian" w:hAnsi="DengXian" w:eastAsia="等线" w:cs="DengXian"/>
          <w:b w:val="0"/>
          <w:i w:val="0"/>
          <w:color w:val="1A1A1A"/>
          <w:sz w:val="21"/>
        </w:rPr>
        <w:t>这里能看到聊天模型、Embedding、向量存储三项的实际配置与连通性，以及当前项目最近的模型调用记录。当前生产状态有两点需要注意。</w:t>
      </w:r>
    </w:p>
    <w:p>
      <w:pPr>
        <w:spacing w:after="60" w:before="0" w:line="348" w:lineRule="auto"/>
        <w:ind w:left="425"/>
      </w:pPr>
      <w:r>
        <w:rPr>
          <w:rFonts w:ascii="DengXian" w:hAnsi="DengXian" w:eastAsia="等线" w:cs="DengXian"/>
          <w:b w:val="0"/>
          <w:i w:val="0"/>
          <w:color w:val="1A1A1A"/>
          <w:sz w:val="21"/>
        </w:rPr>
        <w:t>1. 聊天模型档案指向外部服务，服务器访问该地址受限，且档案引用的密钥变量名与服务器的 .env 不一致，因此页面显示配置不完整。本次上线验收是用协议级假提供方跑通的，页面里 local_vllm 与 fake-openai-compatible 的调用记录就是那次验收留下的。</w:t>
      </w:r>
    </w:p>
    <w:p>
      <w:pPr>
        <w:spacing w:after="60" w:before="0" w:line="348" w:lineRule="auto"/>
        <w:ind w:left="425"/>
      </w:pPr>
      <w:r>
        <w:rPr>
          <w:rFonts w:ascii="DengXian" w:hAnsi="DengXian" w:eastAsia="等线" w:cs="DengXian"/>
          <w:b w:val="0"/>
          <w:i w:val="0"/>
          <w:color w:val="1A1A1A"/>
          <w:sz w:val="21"/>
        </w:rPr>
        <w:t>2. 库中已预置 deepseek 档案（api.deepseek.com、deepseek-chat），尚未启用，缺少 DEEPSEEK_API_KEY。要启用真实模型，按《服务器配置说明》3.5.1 的做法配置密钥并激活档案，然后在本页点测试连接确认。</w:t>
      </w:r>
    </w:p>
    <w:p>
      <w:pPr>
        <w:pStyle w:val="Heading2"/>
      </w:pPr>
      <w:r>
        <w:t>6.2 平台健康</w:t>
      </w:r>
    </w:p>
    <w:p>
      <w:pPr>
        <w:spacing w:after="120" w:before="0" w:line="348" w:lineRule="auto"/>
      </w:pPr>
      <w:r>
        <w:rPr>
          <w:rFonts w:ascii="DengXian" w:hAnsi="DengXian" w:eastAsia="等线" w:cs="DengXian"/>
          <w:b w:val="0"/>
          <w:i w:val="0"/>
          <w:color w:val="1A1A1A"/>
          <w:sz w:val="21"/>
        </w:rPr>
        <w:t>平台健康页（/admin/system-health）聚合数据库、Redis、任务队列、向量库、Embedding、模型配置与磁盘状态，出现异常时先看这一页再定位具体任务。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373499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admin-health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734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 w:line="348" w:lineRule="auto"/>
        <w:jc w:val="center"/>
      </w:pPr>
      <w:r>
        <w:rPr>
          <w:rFonts w:ascii="DengXian" w:hAnsi="DengXian" w:eastAsia="等线" w:cs="DengXian"/>
          <w:b w:val="0"/>
          <w:i w:val="0"/>
          <w:color w:val="5A5A5A"/>
          <w:sz w:val="18"/>
        </w:rPr>
        <w:t>图 17 系统健康</w:t>
      </w:r>
    </w:p>
    <w:p>
      <w:pPr>
        <w:pStyle w:val="Heading1"/>
      </w:pPr>
      <w:r>
        <w:t>7 常见问题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835"/>
            <w:shd w:val="clear" w:fill="EDF1F6"/>
          </w:tcPr>
          <w:p>
            <w:pPr>
              <w:spacing w:after="40" w:line="300" w:lineRule="auto"/>
            </w:pPr>
            <w:r>
              <w:rPr>
                <w:rFonts w:ascii="DengXian" w:hAnsi="DengXian" w:eastAsia="等线" w:cs="DengXian"/>
                <w:b/>
                <w:sz w:val="20"/>
              </w:rPr>
              <w:t>现象</w:t>
            </w:r>
          </w:p>
        </w:tc>
        <w:tc>
          <w:tcPr>
            <w:tcW w:type="dxa" w:w="6576"/>
            <w:shd w:val="clear" w:fill="EDF1F6"/>
          </w:tcPr>
          <w:p>
            <w:pPr>
              <w:spacing w:after="40" w:line="300" w:lineRule="auto"/>
            </w:pPr>
            <w:r>
              <w:rPr>
                <w:rFonts w:ascii="DengXian" w:hAnsi="DengXian" w:eastAsia="等线" w:cs="DengXian"/>
                <w:b/>
                <w:sz w:val="20"/>
              </w:rPr>
              <w:t>原因与处理</w:t>
            </w:r>
          </w:p>
        </w:tc>
        <w:trPr>
          <w:tblHeader/>
        </w:trPr>
      </w:tr>
      <w:tr>
        <w:tc>
          <w:tcPr>
            <w:tcW w:type="dxa" w:w="2835"/>
          </w:tcPr>
          <w:p>
            <w:pPr>
              <w:spacing w:after="40" w:line="300" w:lineRule="auto"/>
            </w:pPr>
            <w:r>
              <w:rPr>
                <w:rFonts w:ascii="DengXian" w:hAnsi="DengXian" w:eastAsia="等线" w:cs="DengXian"/>
                <w:b w:val="0"/>
                <w:sz w:val="20"/>
              </w:rPr>
              <w:t>打开页面一直转圈或提示 401</w:t>
            </w:r>
          </w:p>
        </w:tc>
        <w:tc>
          <w:tcPr>
            <w:tcW w:type="dxa" w:w="6576"/>
          </w:tcPr>
          <w:p>
            <w:pPr>
              <w:spacing w:after="40" w:line="300" w:lineRule="auto"/>
            </w:pPr>
            <w:r>
              <w:rPr>
                <w:rFonts w:ascii="DengXian" w:hAnsi="DengXian" w:eastAsia="等线" w:cs="DengXian"/>
                <w:b w:val="0"/>
                <w:sz w:val="20"/>
              </w:rPr>
              <w:t>令牌过期，重新登录一次；仍然不行就清理浏览器缓存</w:t>
            </w:r>
          </w:p>
        </w:tc>
      </w:tr>
      <w:tr>
        <w:tc>
          <w:tcPr>
            <w:tcW w:type="dxa" w:w="2835"/>
          </w:tcPr>
          <w:p>
            <w:pPr>
              <w:spacing w:after="40" w:line="300" w:lineRule="auto"/>
            </w:pPr>
            <w:r>
              <w:rPr>
                <w:rFonts w:ascii="DengXian" w:hAnsi="DengXian" w:eastAsia="等线" w:cs="DengXian"/>
                <w:b w:val="0"/>
                <w:sz w:val="20"/>
              </w:rPr>
              <w:t>检索报“请先重建索引”</w:t>
            </w:r>
          </w:p>
        </w:tc>
        <w:tc>
          <w:tcPr>
            <w:tcW w:type="dxa" w:w="6576"/>
          </w:tcPr>
          <w:p>
            <w:pPr>
              <w:spacing w:after="40" w:line="300" w:lineRule="auto"/>
            </w:pPr>
            <w:r>
              <w:rPr>
                <w:rFonts w:ascii="DengXian" w:hAnsi="DengXian" w:eastAsia="等线" w:cs="DengXian"/>
                <w:b w:val="0"/>
                <w:sz w:val="20"/>
              </w:rPr>
              <w:t>生产使用 Milvus 正式索引，上传或删改知识后需要到知识文档页点重新构建语义索引</w:t>
            </w:r>
          </w:p>
        </w:tc>
      </w:tr>
      <w:tr>
        <w:tc>
          <w:tcPr>
            <w:tcW w:type="dxa" w:w="2835"/>
          </w:tcPr>
          <w:p>
            <w:pPr>
              <w:spacing w:after="40" w:line="300" w:lineRule="auto"/>
            </w:pPr>
            <w:r>
              <w:rPr>
                <w:rFonts w:ascii="DengXian" w:hAnsi="DengXian" w:eastAsia="等线" w:cs="DengXian"/>
                <w:b w:val="0"/>
                <w:sz w:val="20"/>
              </w:rPr>
              <w:t>目录检索不到字段</w:t>
            </w:r>
          </w:p>
        </w:tc>
        <w:tc>
          <w:tcPr>
            <w:tcW w:type="dxa" w:w="6576"/>
          </w:tcPr>
          <w:p>
            <w:pPr>
              <w:spacing w:after="40" w:line="300" w:lineRule="auto"/>
            </w:pPr>
            <w:r>
              <w:rPr>
                <w:rFonts w:ascii="DengXian" w:hAnsi="DengXian" w:eastAsia="等线" w:cs="DengXian"/>
                <w:b w:val="0"/>
                <w:sz w:val="20"/>
              </w:rPr>
              <w:t>数据源元数据同步未成功或只部分完成，先修数据源连通性再同步</w:t>
            </w:r>
          </w:p>
        </w:tc>
      </w:tr>
      <w:tr>
        <w:tc>
          <w:tcPr>
            <w:tcW w:type="dxa" w:w="2835"/>
          </w:tcPr>
          <w:p>
            <w:pPr>
              <w:spacing w:after="40" w:line="300" w:lineRule="auto"/>
            </w:pPr>
            <w:r>
              <w:rPr>
                <w:rFonts w:ascii="DengXian" w:hAnsi="DengXian" w:eastAsia="等线" w:cs="DengXian"/>
                <w:b w:val="0"/>
                <w:sz w:val="20"/>
              </w:rPr>
              <w:t>交付包生成卡住</w:t>
            </w:r>
          </w:p>
        </w:tc>
        <w:tc>
          <w:tcPr>
            <w:tcW w:type="dxa" w:w="6576"/>
          </w:tcPr>
          <w:p>
            <w:pPr>
              <w:spacing w:after="40" w:line="300" w:lineRule="auto"/>
            </w:pPr>
            <w:r>
              <w:rPr>
                <w:rFonts w:ascii="DengXian" w:hAnsi="DengXian" w:eastAsia="等线" w:cs="DengXian"/>
                <w:b w:val="0"/>
                <w:sz w:val="20"/>
              </w:rPr>
              <w:t>到后台任务查看具体任务状态与错误；Worker 异常时联系运维</w:t>
            </w:r>
          </w:p>
        </w:tc>
      </w:tr>
      <w:tr>
        <w:tc>
          <w:tcPr>
            <w:tcW w:type="dxa" w:w="2835"/>
          </w:tcPr>
          <w:p>
            <w:pPr>
              <w:spacing w:after="40" w:line="300" w:lineRule="auto"/>
            </w:pPr>
            <w:r>
              <w:rPr>
                <w:rFonts w:ascii="DengXian" w:hAnsi="DengXian" w:eastAsia="等线" w:cs="DengXian"/>
                <w:b w:val="0"/>
                <w:sz w:val="20"/>
              </w:rPr>
              <w:t>生成的草稿内容很空或像占位文本</w:t>
            </w:r>
          </w:p>
        </w:tc>
        <w:tc>
          <w:tcPr>
            <w:tcW w:type="dxa" w:w="6576"/>
          </w:tcPr>
          <w:p>
            <w:pPr>
              <w:spacing w:after="40" w:line="300" w:lineRule="auto"/>
            </w:pPr>
            <w:r>
              <w:rPr>
                <w:rFonts w:ascii="DengXian" w:hAnsi="DengXian" w:eastAsia="等线" w:cs="DengXian"/>
                <w:b w:val="0"/>
                <w:sz w:val="20"/>
              </w:rPr>
              <w:t>当前聊天模型尚未接入真实大模型，生成走的是降级或假提供方链路，见第 6 章</w:t>
            </w:r>
          </w:p>
        </w:tc>
      </w:tr>
      <w:tr>
        <w:tc>
          <w:tcPr>
            <w:tcW w:type="dxa" w:w="2835"/>
          </w:tcPr>
          <w:p>
            <w:pPr>
              <w:spacing w:after="40" w:line="300" w:lineRule="auto"/>
            </w:pPr>
            <w:r>
              <w:rPr>
                <w:rFonts w:ascii="DengXian" w:hAnsi="DengXian" w:eastAsia="等线" w:cs="DengXian"/>
                <w:b w:val="0"/>
                <w:sz w:val="20"/>
              </w:rPr>
              <w:t>重复建机构或用户报资源状态冲突</w:t>
            </w:r>
          </w:p>
        </w:tc>
        <w:tc>
          <w:tcPr>
            <w:tcW w:type="dxa" w:w="6576"/>
          </w:tcPr>
          <w:p>
            <w:pPr>
              <w:spacing w:after="40" w:line="300" w:lineRule="auto"/>
            </w:pPr>
            <w:r>
              <w:rPr>
                <w:rFonts w:ascii="DengXian" w:hAnsi="DengXian" w:eastAsia="等线" w:cs="DengXian"/>
                <w:b w:val="0"/>
                <w:sz w:val="20"/>
              </w:rPr>
              <w:t>编码、用户名或邮箱已存在，属于正常校验（HTTP 409），换一个唯一值即可</w:t>
            </w:r>
          </w:p>
        </w:tc>
      </w:tr>
      <w:tr>
        <w:tc>
          <w:tcPr>
            <w:tcW w:type="dxa" w:w="2835"/>
          </w:tcPr>
          <w:p>
            <w:pPr>
              <w:spacing w:after="40" w:line="300" w:lineRule="auto"/>
            </w:pPr>
            <w:r>
              <w:rPr>
                <w:rFonts w:ascii="DengXian" w:hAnsi="DengXian" w:eastAsia="等线" w:cs="DengXian"/>
                <w:b w:val="0"/>
                <w:sz w:val="20"/>
              </w:rPr>
              <w:t>想换项目看数据</w:t>
            </w:r>
          </w:p>
        </w:tc>
        <w:tc>
          <w:tcPr>
            <w:tcW w:type="dxa" w:w="6576"/>
          </w:tcPr>
          <w:p>
            <w:pPr>
              <w:spacing w:after="40" w:line="300" w:lineRule="auto"/>
            </w:pPr>
            <w:r>
              <w:rPr>
                <w:rFonts w:ascii="DengXian" w:hAnsi="DengXian" w:eastAsia="等线" w:cs="DengXian"/>
                <w:b w:val="0"/>
                <w:sz w:val="20"/>
              </w:rPr>
              <w:t>用顶部项目下拉切换，或带 ?projectId=&lt;ID&gt; 打开链接</w:t>
            </w:r>
          </w:p>
        </w:tc>
      </w:tr>
      <w:tr>
        <w:tc>
          <w:tcPr>
            <w:tcW w:type="dxa" w:w="2835"/>
          </w:tcPr>
          <w:p>
            <w:pPr>
              <w:spacing w:after="40" w:line="300" w:lineRule="auto"/>
            </w:pPr>
            <w:r>
              <w:rPr>
                <w:rFonts w:ascii="DengXian" w:hAnsi="DengXian" w:eastAsia="等线" w:cs="DengXian"/>
                <w:b w:val="0"/>
                <w:sz w:val="20"/>
              </w:rPr>
              <w:t>数据星云打开是空的或提示没有可展示节点</w:t>
            </w:r>
          </w:p>
        </w:tc>
        <w:tc>
          <w:tcPr>
            <w:tcW w:type="dxa" w:w="6576"/>
          </w:tcPr>
          <w:p>
            <w:pPr>
              <w:spacing w:after="40" w:line="300" w:lineRule="auto"/>
            </w:pPr>
            <w:r>
              <w:rPr>
                <w:rFonts w:ascii="DengXian" w:hAnsi="DengXian" w:eastAsia="等线" w:cs="DengXian"/>
                <w:b w:val="0"/>
                <w:sz w:val="20"/>
              </w:rPr>
              <w:t>该根对象在当前血缘版本下没有已登记的边：确认当前项目与根对象 ID 正确，或先在血缘页上传并发布脚本血缘</w:t>
            </w:r>
          </w:p>
        </w:tc>
      </w:tr>
    </w:tbl>
    <w:p>
      <w:pPr>
        <w:spacing w:after="40" w:before="0" w:line="348" w:lineRule="auto"/>
      </w:pPr>
      <w:r>
        <w:rPr>
          <w:rFonts w:ascii="DengXian" w:hAnsi="DengXian" w:eastAsia="等线" w:cs="DengXian"/>
          <w:b w:val="0"/>
          <w:i w:val="0"/>
          <w:color w:val="1A1A1A"/>
          <w:sz w:val="8"/>
        </w:rPr>
      </w:r>
    </w:p>
    <w:p>
      <w:pPr>
        <w:pStyle w:val="Heading1"/>
      </w:pPr>
      <w:r>
        <w:t>8 已知边界</w:t>
      </w:r>
    </w:p>
    <w:p>
      <w:pPr>
        <w:spacing w:after="60" w:before="0" w:line="348" w:lineRule="auto"/>
        <w:ind w:left="425"/>
      </w:pPr>
      <w:r>
        <w:rPr>
          <w:rFonts w:ascii="DengXian" w:hAnsi="DengXian" w:eastAsia="等线" w:cs="DengXian"/>
          <w:b w:val="0"/>
          <w:i w:val="0"/>
          <w:color w:val="1A1A1A"/>
          <w:sz w:val="21"/>
        </w:rPr>
        <w:t>1. 真实大模型尚未接入：www.hejuapi.com 在服务器上不可达，且模型档案引用的密钥变量名与 .env 不一致；DeepSeek 档案已建好但缺密钥。需要提供可用密钥或确认切换方案。</w:t>
      </w:r>
    </w:p>
    <w:p>
      <w:pPr>
        <w:spacing w:after="60" w:before="0" w:line="348" w:lineRule="auto"/>
        <w:ind w:left="425"/>
      </w:pPr>
      <w:r>
        <w:rPr>
          <w:rFonts w:ascii="DengXian" w:hAnsi="DengXian" w:eastAsia="等线" w:cs="DengXian"/>
          <w:b w:val="0"/>
          <w:i w:val="0"/>
          <w:color w:val="1A1A1A"/>
          <w:sz w:val="21"/>
        </w:rPr>
        <w:t>2. 本次上线验收覆盖了后端全部主链路与 8 个内置 UAT 套件，前端只做了 HTTP 层与页面级验证，本文截图即真实页面，未做多浏览器兼容性与压力并发测试。</w:t>
      </w:r>
    </w:p>
    <w:p>
      <w:pPr>
        <w:spacing w:after="60" w:before="0" w:line="348" w:lineRule="auto"/>
        <w:ind w:left="425"/>
      </w:pPr>
      <w:r>
        <w:rPr>
          <w:rFonts w:ascii="DengXian" w:hAnsi="DengXian" w:eastAsia="等线" w:cs="DengXian"/>
          <w:b w:val="0"/>
          <w:i w:val="0"/>
          <w:color w:val="1A1A1A"/>
          <w:sz w:val="21"/>
        </w:rPr>
        <w:t>3. 服务器提示内核更新待重启，尚未重启，不影响当前业务。</w:t>
      </w:r>
    </w:p>
    <w:p>
      <w:pPr>
        <w:spacing w:after="60" w:before="0" w:line="348" w:lineRule="auto"/>
        <w:ind w:left="425"/>
      </w:pPr>
      <w:r>
        <w:rPr>
          <w:rFonts w:ascii="DengXian" w:hAnsi="DengXian" w:eastAsia="等线" w:cs="DengXian"/>
          <w:b w:val="0"/>
          <w:i w:val="0"/>
          <w:color w:val="1A1A1A"/>
          <w:sz w:val="21"/>
        </w:rPr>
        <w:t>4. 库中的演示数据来自验收脚本，正式投产后建议清理，或改用真实机构与用户。</w:t>
      </w:r>
    </w:p>
    <w:p>
      <w:pPr>
        <w:spacing w:after="60" w:before="0" w:line="348" w:lineRule="auto"/>
        <w:ind w:left="425"/>
      </w:pPr>
      <w:r>
        <w:rPr>
          <w:rFonts w:ascii="DengXian" w:hAnsi="DengXian" w:eastAsia="等线" w:cs="DengXian"/>
          <w:b w:val="0"/>
          <w:i w:val="0"/>
          <w:color w:val="1A1A1A"/>
          <w:sz w:val="21"/>
        </w:rPr>
        <w:t>5. 数据星云只呈现已登记的血缘：脚本血缘要先在血缘页上传并发布，业务映射要先审核通过；平台不会按名称相似度自动连线，无法证明的关联一律留在“未解析”。</w:t>
      </w:r>
    </w:p>
    <w:p>
      <w:pPr>
        <w:pStyle w:val="Heading1"/>
      </w:pPr>
      <w:r>
        <w:t>9 文档维护</w:t>
      </w:r>
    </w:p>
    <w:p>
      <w:pPr>
        <w:spacing w:after="120" w:before="0" w:line="348" w:lineRule="auto"/>
      </w:pPr>
      <w:r>
        <w:rPr>
          <w:rFonts w:ascii="DengXian" w:hAnsi="DengXian" w:eastAsia="等线" w:cs="DengXian"/>
          <w:b w:val="0"/>
          <w:i w:val="0"/>
          <w:color w:val="1A1A1A"/>
          <w:sz w:val="21"/>
        </w:rPr>
        <w:t>本文对应生产版本 0020b42。版本升级后如需更新本文，先在能访问站点的机器上重新采集截图：GUIDE_USER 与 GUIDE_PASSWORD 传入管理员账号口令，运行 scripts/docs/capture_system_guide.py；再运行 scripts/docs/build_system_guide_docx.py 重新生成 Word 文档。同目录的 docs/系统使用文档.md 保留 Markdown 版本，两者内容保持一致。</w:t>
      </w:r>
    </w:p>
    <w:sectPr w:rsidR="00FC693F" w:rsidRPr="0006063C" w:rsidSect="00034616">
      <w:pgSz w:w="11906" w:h="16838"/>
      <w:pgMar w:top="1304" w:right="1247" w:bottom="130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20"/>
    </w:pPr>
    <w:rPr>
      <w:rFonts w:ascii="DengXian" w:hAnsi="DengXian" w:eastAsia="等线" w:cs="DengXian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icrosoft YaHei" w:hAnsi="Microsoft YaHei" w:eastAsia="微软雅黑" w:cs="Microsoft YaHei"/>
      <w:b/>
      <w:bCs/>
      <w:color w:val="142B45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微软雅黑" w:cs="Microsoft YaHei"/>
      <w:b/>
      <w:bCs/>
      <w:color w:val="142B4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微软雅黑" w:cs="Microsoft YaHei"/>
      <w:b/>
      <w:bCs/>
      <w:color w:val="142B4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 w:cs="Microsoft YaHei"/>
      <w:b/>
      <w:color w:val="142B45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智能分析智能体平台系统使用文档</dc:title>
  <dc:subject>生产版本 0020b42 使用说明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