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跑批脚本需求说明</w:t>
      </w:r>
    </w:p>
    <w:p>
      <w:r>
        <w:rPr>
          <w:b/>
        </w:rPr>
        <w:t>需求名称：</w:t>
      </w:r>
      <w:r>
        <w:t>根据借据关联产品生成一表通客户统一标识（VNEXT2 P0-C 浏览器闭环）</w:t>
      </w:r>
    </w:p>
    <w:p>
      <w:r>
        <w:rPr>
          <w:b/>
        </w:rPr>
        <w:t>文档状态：</w:t>
      </w:r>
      <w:r>
        <w:t>已审核正式交付</w:t>
      </w:r>
    </w:p>
    <w:p>
      <w:r>
        <w:rPr>
          <w:b/>
        </w:rPr>
        <w:t>固定内容版本：</w:t>
      </w:r>
      <w:r>
        <w:t>11</w:t>
      </w:r>
    </w:p>
    <w:p>
      <w:r>
        <w:rPr>
          <w:b/>
        </w:rPr>
        <w:t>固定内容标识：</w:t>
      </w:r>
      <w:r>
        <w:t>935b88a67e59f2ecf60d92029767950e06a4106c78acddf550447d8f13459e15</w:t>
      </w:r>
    </w:p>
    <w:p>
      <w:r>
        <w:t>本文记录本需求范围内的字段说明、脚本实现事实、制度依据和人工核验结果。业务背景、目的与验收要求尚未填写的部分保留待补充标记。</w:t>
      </w:r>
    </w:p>
    <w:p>
      <w:pPr>
        <w:pStyle w:val="Heading1"/>
      </w:pPr>
      <w:r>
        <w:t>需求范围与业务说明</w:t>
      </w:r>
    </w:p>
    <w:p>
      <w:r>
        <w:rPr>
          <w:b/>
        </w:rPr>
        <w:t>目标表：</w:t>
      </w:r>
      <w:r>
        <w:t>一表通客户信息表 EAST_CUSTOMER</w:t>
      </w:r>
    </w:p>
    <w:p>
      <w:r>
        <w:rPr>
          <w:b/>
        </w:rPr>
        <w:t>业务背景：</w:t>
      </w:r>
      <w:r>
        <w:t>根据借据信息中的产品编号与期限关联产品信息，形成一表通客户统一标识口径。</w:t>
      </w:r>
    </w:p>
    <w:p>
      <w:r>
        <w:rPr>
          <w:b/>
        </w:rPr>
        <w:t>业务目的：</w:t>
      </w:r>
      <w:r>
        <w:t>待业务补充</w:t>
      </w:r>
    </w:p>
    <w:p>
      <w:r>
        <w:rPr>
          <w:b/>
        </w:rPr>
        <w:t>纳入范围：</w:t>
      </w:r>
      <w:r>
        <w:t>待业务补充</w:t>
      </w:r>
    </w:p>
    <w:p>
      <w:r>
        <w:rPr>
          <w:b/>
        </w:rPr>
        <w:t>排除范围：</w:t>
      </w:r>
      <w:r>
        <w:t>待业务补充</w:t>
      </w:r>
    </w:p>
    <w:p>
      <w:r>
        <w:rPr>
          <w:b/>
        </w:rPr>
        <w:t>生效日期：</w:t>
      </w:r>
      <w:r>
        <w:t>待业务补充</w:t>
      </w:r>
    </w:p>
    <w:p>
      <w:r>
        <w:rPr>
          <w:b/>
        </w:rPr>
        <w:t>验收要求：</w:t>
      </w:r>
      <w:r>
        <w:t>待业务补充</w:t>
      </w:r>
    </w:p>
    <w:p>
      <w:pPr>
        <w:pStyle w:val="Heading1"/>
      </w:pPr>
      <w:r>
        <w:t>字段业务说明</w:t>
      </w:r>
    </w:p>
    <w:p>
      <w:pPr>
        <w:pStyle w:val="Heading2"/>
      </w:pPr>
      <w:r>
        <w:t>客户统一标识 CUSTOMER_ID</w:t>
      </w:r>
    </w:p>
    <w:p>
      <w:r>
        <w:rPr>
          <w:b/>
        </w:rPr>
        <w:t>业务定义：</w:t>
      </w:r>
      <w:r>
        <w:t>一表通客户统一标识按客户粒度报送，业务取值应来自客户主数据中的客户编号。借据关联产品信息及产品ID与期限编号组合业务键用于产品维度识别，不改变客户统一标识的取值来源。</w:t>
      </w:r>
    </w:p>
    <w:p>
      <w:r>
        <w:rPr>
          <w:b/>
        </w:rPr>
        <w:t>业务正文：</w:t>
      </w:r>
      <w:r>
        <w:t>客户统一标识按客户粒度填报，取客户主数据中的客户编号；无法确认客户主数据具体来源表及客户编号字段时，应形成待确认问题，不得以借据产品关联信息替代客户统一标识取值。</w:t>
      </w:r>
    </w:p>
    <w:p>
      <w:r>
        <w:rPr>
          <w:b/>
        </w:rPr>
        <w:t>技术正文：</w:t>
      </w:r>
      <w:r>
        <w:t>客户统一标识候选加工口径：以借据表客户号 CUST_NO 作为候选来源映射至监管客户集市表客户统一标识 CUSTOMER_ID；按客户粒度形成。因未提供客户主数据表，CUST_NO 是否等于制度要求的客户主数据客户编号待确认；未确认前不得将借据产品维度规则作为客户统一标识的加工依据。</w:t>
      </w:r>
    </w:p>
    <w:p>
      <w:r>
        <w:rPr>
          <w:b/>
        </w:rPr>
        <w:t>来源系统：</w:t>
      </w:r>
      <w:r>
        <w:t>ECIF 客户信息系统</w:t>
      </w:r>
    </w:p>
    <w:p>
      <w:r>
        <w:rPr>
          <w:b/>
        </w:rPr>
        <w:t>加工规则：</w:t>
      </w:r>
      <w:r>
        <w:t>候选来源路径：借据表 LOAN_IOU 的客户号字段 CUST_NO 可作为客户统一标识的候选来源，目标字段为监管客户集市表 REG_CUSTOMER 的 CUSTOMER_ID。制度口径要求客户统一标识取客户主数据中的客户编号并按客户粒度报送；当前物理资料未提供客户主数据表，无法确认 CUST_NO 是否等同客户主数据客户编号，也无法确认是否需要从客户主数据补充关联。产品ID与期限编号组合业务键及空值处理规则属于产品维度关联口径，不直接用于 CUSTOMER_ID 的加工。</w:t>
      </w:r>
    </w:p>
    <w:p>
      <w:r>
        <w:rPr>
          <w:b/>
        </w:rPr>
        <w:t>内容维护记录：</w:t>
      </w:r>
      <w:r>
        <w:t>business.business_definition ai_adopted 确认人 16；business.final_content ai_adopted 确认人 16；lineage.processing_logic manual 确认人 17；lineage.final_content manual 确认人 17；lineage.physical_references ai_adopted 确认人 17；lineage.source_system_name manual 确认人 17；lineage.source_table_english_name manual 确认人 17；lineage.source_field_english_name manual 确认人 17；lineage.remarks manual 确认人 17</w:t>
      </w:r>
    </w:p>
    <w:p>
      <w:pPr>
        <w:pStyle w:val="Heading1"/>
      </w:pPr>
      <w:r>
        <w:t>来源系统与分层路径</w:t>
      </w:r>
    </w:p>
    <w:p>
      <w:r>
        <w:t>尚无已固定的目录分层路径，需要核验上游元数据。脚本跨层读写不表示脚本只属于某一层。</w:t>
      </w:r>
    </w:p>
    <w:p>
      <w:pPr>
        <w:pStyle w:val="Heading1"/>
      </w:pPr>
      <w:r>
        <w:t>加工规则与脚本证据</w:t>
      </w:r>
    </w:p>
    <w:p>
      <w:r>
        <w:t>本版本尚未固定脚本规则。现有人工技术说明不能替代可追溯的脚本证据。</w:t>
      </w:r>
    </w:p>
    <w:p>
      <w:pPr>
        <w:pStyle w:val="Heading1"/>
      </w:pPr>
      <w:r>
        <w:t>制度依据与差异</w:t>
      </w:r>
    </w:p>
    <w:p>
      <w:r>
        <w:t>缺少制度依据。脚本现状不能自动升级为监管要求。</w:t>
      </w:r>
    </w:p>
    <w:p>
      <w:pPr>
        <w:pStyle w:val="Heading1"/>
      </w:pPr>
      <w:r>
        <w:t>待确认事项</w:t>
      </w:r>
    </w:p>
    <w:p>
      <w:r>
        <w:rPr>
          <w:b/>
        </w:rPr>
        <w:t>事项：</w:t>
      </w:r>
      <w:r>
        <w:t>客户主数据的具体来源表、客户编号字段及其与借据表CUST_NO、监管客户集市CUSTOMER_ID的映射关系未在证据中明确。</w:t>
      </w:r>
    </w:p>
    <w:p>
      <w:r>
        <w:rPr>
          <w:b/>
        </w:rPr>
        <w:t>事项：</w:t>
      </w:r>
      <w:r>
        <w:t>需求背景提出根据借据产品编号与期限关联产品信息形成客户统一标识口径，与制度证据“取客户主数据中的客户编号”存在口径差异，需业务确认。</w:t>
      </w:r>
    </w:p>
    <w:p>
      <w:r>
        <w:rPr>
          <w:b/>
        </w:rPr>
        <w:t>事项：</w:t>
      </w:r>
      <w:r>
        <w:t>未提供客户主数据表或客户主数据中的客户编号字段，无法确认客户统一标识的最终来源是否应直接取客户主数据。</w:t>
      </w:r>
    </w:p>
    <w:p>
      <w:r>
        <w:rPr>
          <w:b/>
        </w:rPr>
        <w:t>事项：</w:t>
      </w:r>
      <w:r>
        <w:t>无法确认借据表客户号 CUST_NO 与制度所称客户主数据客户编号的映射关系及唯一性。</w:t>
      </w:r>
    </w:p>
    <w:p>
      <w:r>
        <w:rPr>
          <w:b/>
        </w:rPr>
        <w:t>事项：</w:t>
      </w:r>
      <w:r>
        <w:t>未提供客户粒度去重、空值处理及异常客户标识的加工规则。</w:t>
      </w:r>
    </w:p>
    <w:p>
      <w:pPr>
        <w:pStyle w:val="Heading1"/>
      </w:pPr>
      <w:r>
        <w:t>审核与正式交付记录</w:t>
      </w:r>
    </w:p>
    <w:p>
      <w:r>
        <w:rPr>
          <w:b/>
        </w:rPr>
        <w:t>正式交付版本：</w:t>
      </w:r>
      <w:r>
        <w:t>1</w:t>
      </w:r>
    </w:p>
    <w:p>
      <w:r>
        <w:rPr>
          <w:b/>
        </w:rPr>
        <w:t>business_review：</w:t>
      </w:r>
      <w:r>
        <w:t>approved 审核人 p0c-breview 时间 2026-10-22T16:25:08.767060+00:00 意见 业务口径、来源与加工逻辑核对通过（浏览器验收）。</w:t>
      </w:r>
    </w:p>
    <w:p>
      <w:r>
        <w:rPr>
          <w:b/>
        </w:rPr>
        <w:t>technical_review：</w:t>
      </w:r>
      <w:r>
        <w:t>approved 审核人 p0c-treview 时间 2026-10-22T16:25:15.749904+00:00 意见 技术溯源与物理字段引用核对通过（浏览器验收）。</w:t>
      </w:r>
    </w:p>
    <w:p>
      <w:r>
        <w:rPr>
          <w:b/>
        </w:rPr>
        <w:t>final_review：</w:t>
      </w:r>
      <w:r>
        <w:t>approved 审核人 p0c-freview 时间 2026-10-22T16:25:22.191471+00:00 意见 终审通过：证据与快照一致（浏览器验收）。</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rial" w:hAnsi="Arial" w:eastAsia="微软雅黑"/>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