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Hiragino Sans GB" w:hAnsi="Hiragino Sans GB" w:eastAsia="Hiragino Sans GB"/>
          <w:b/>
          <w:color w:val="172033"/>
          <w:sz w:val="50"/>
        </w:rPr>
        <w:t>因果网络应用设计规范</w:t>
      </w:r>
    </w:p>
    <w:p>
      <w:pPr>
        <w:spacing w:after="360"/>
      </w:pPr>
      <w:r>
        <w:rPr>
          <w:rFonts w:ascii="Hiragino Sans GB" w:hAnsi="Hiragino Sans GB" w:eastAsia="Hiragino Sans GB"/>
          <w:color w:val="667085"/>
          <w:sz w:val="26"/>
        </w:rPr>
        <w:t>建立可追溯、可验证的事件与因果知识网络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72033"/>
          <w:sz w:val="21"/>
        </w:rPr>
        <w:t>版本：</w:t>
      </w:r>
      <w:r>
        <w:rPr>
          <w:rFonts w:ascii="Hiragino Sans GB" w:hAnsi="Hiragino Sans GB" w:eastAsia="Hiragino Sans GB"/>
          <w:color w:val="172033"/>
          <w:sz w:val="21"/>
        </w:rPr>
        <w:t>V1.0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72033"/>
          <w:sz w:val="21"/>
        </w:rPr>
        <w:t>状态：</w:t>
      </w:r>
      <w:r>
        <w:rPr>
          <w:rFonts w:ascii="Hiragino Sans GB" w:hAnsi="Hiragino Sans GB" w:eastAsia="Hiragino Sans GB"/>
          <w:color w:val="172033"/>
          <w:sz w:val="21"/>
        </w:rPr>
        <w:t>可进入原型与开发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72033"/>
          <w:sz w:val="21"/>
        </w:rPr>
        <w:t>日期：</w:t>
      </w:r>
      <w:r>
        <w:rPr>
          <w:rFonts w:ascii="Hiragino Sans GB" w:hAnsi="Hiragino Sans GB" w:eastAsia="Hiragino Sans GB"/>
          <w:color w:val="172033"/>
          <w:sz w:val="21"/>
        </w:rPr>
        <w:t>2026-07-19</w:t>
      </w:r>
    </w:p>
    <w:p>
      <w:pPr>
        <w:spacing w:after="160"/>
      </w:pP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1. 产品结论</w:t>
      </w:r>
    </w:p>
    <w:p>
      <w:pPr/>
      <w:r>
        <w:rPr>
          <w:rFonts w:ascii="Hiragino Sans GB" w:hAnsi="Hiragino Sans GB" w:eastAsia="Hiragino Sans GB"/>
          <w:color w:val="172033"/>
        </w:rPr>
        <w:t>本应用用于建立一套可追溯的因果知识网络：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用户维护“抽象事件”和“抽象因果关系”，它们构成默认展示的因果网络。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用户用真实发生过的“具体事件”和“具体因果依据”支持抽象内容。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抽象事件与抽象因果关系的置信度由有效依据数量自动计算，不能手工修改。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主网络只展示抽象层；具体记录集中在依据库，并可从节点或连线追溯查看。</w:t>
      </w:r>
    </w:p>
    <w:p>
      <w:pPr/>
      <w:r>
        <w:rPr>
          <w:rFonts w:ascii="Hiragino Sans GB" w:hAnsi="Hiragino Sans GB" w:eastAsia="Hiragino Sans GB"/>
          <w:color w:val="172033"/>
        </w:rPr>
        <w:t>产品首版只解决四件事：添加事件、添加因果关系、维护具体依据、浏览因果网络。暂不加入 AI 自动推理、多人审批、统计因果推断或复杂权限。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2. 核心概念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2.1 抽象事件（Event）</w:t>
      </w:r>
    </w:p>
    <w:p>
      <w:pPr/>
      <w:r>
        <w:rPr>
          <w:rFonts w:ascii="Hiragino Sans GB" w:hAnsi="Hiragino Sans GB" w:eastAsia="Hiragino Sans GB"/>
          <w:color w:val="172033"/>
        </w:rPr>
        <w:t>从多个真实发生的具体事件中抽象出的、在当前分析粒度下不可再拆分的单一状态变化。</w:t>
      </w:r>
    </w:p>
    <w:p>
      <w:pPr/>
      <w:r>
        <w:rPr>
          <w:rFonts w:ascii="Hiragino Sans GB" w:hAnsi="Hiragino Sans GB" w:eastAsia="Hiragino Sans GB"/>
          <w:color w:val="172033"/>
        </w:rPr>
        <w:t>示例：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合格：“用户取消订阅”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不合格：“用户发现价格上涨并取消订阅”——包含“发现价格上涨”和“取消订阅”两个事件</w:t>
      </w:r>
    </w:p>
    <w:p>
      <w:pPr/>
      <w:r>
        <w:rPr>
          <w:rFonts w:ascii="Hiragino Sans GB" w:hAnsi="Hiragino Sans GB" w:eastAsia="Hiragino Sans GB"/>
          <w:color w:val="172033"/>
        </w:rPr>
        <w:t>原子性不是物理意义上的绝对不可分，而是相对于当前产品的分析粒度不可再分。一个抽象事件必须同时满足：</w:t>
      </w:r>
    </w:p>
    <w:p>
      <w:pPr>
        <w:keepLines/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只描述一个主体的一次状态变化。</w:t>
      </w:r>
    </w:p>
    <w:p>
      <w:pPr>
        <w:keepLines/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名称中不包含“并且、然后、导致”等组合或因果表达。</w:t>
      </w:r>
    </w:p>
    <w:p>
      <w:pPr>
        <w:keepLines/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任一具体事件都能明确映射到它，而不需要只取具体事件的一部分。</w:t>
      </w:r>
    </w:p>
    <w:p>
      <w:pPr>
        <w:keepLines/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继续拆分后将失去当前分析价值。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2.2 具体事件（Event Occurrence）</w:t>
      </w:r>
    </w:p>
    <w:p>
      <w:pPr/>
      <w:r>
        <w:rPr>
          <w:rFonts w:ascii="Hiragino Sans GB" w:hAnsi="Hiragino Sans GB" w:eastAsia="Hiragino Sans GB"/>
          <w:color w:val="172033"/>
        </w:rPr>
        <w:t>在真实时间轴上发生过的一次事件，必须归属于一个抽象事件，并具有发生时间和可核查的依据说明。</w:t>
      </w:r>
    </w:p>
    <w:p>
      <w:pPr/>
      <w:r>
        <w:rPr>
          <w:rFonts w:ascii="Hiragino Sans GB" w:hAnsi="Hiragino Sans GB" w:eastAsia="Hiragino Sans GB"/>
          <w:color w:val="172033"/>
        </w:rPr>
        <w:t>示例：“2026 年 7 月 10 日，客户 A 在账单页取消年度订阅。”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2.3 抽象因果关系（Causal Relation）</w:t>
      </w:r>
    </w:p>
    <w:p>
      <w:pPr/>
      <w:r>
        <w:rPr>
          <w:rFonts w:ascii="Hiragino Sans GB" w:hAnsi="Hiragino Sans GB" w:eastAsia="Hiragino Sans GB"/>
          <w:color w:val="172033"/>
        </w:rPr>
        <w:t>两个抽象事件之间的有方向关联，表达“原因事件的发生会促成结果事件发生”。方向固定为：</w:t>
      </w:r>
    </w:p>
    <w:p>
      <w:pPr/>
      <w:r>
        <w:rPr>
          <w:rFonts w:ascii="Menlo" w:hAnsi="Menlo" w:eastAsia="Hiragino Sans GB"/>
          <w:color w:val="384250"/>
          <w:sz w:val="19"/>
        </w:rPr>
        <w:t>原因事件 → 结果事件</w:t>
      </w:r>
    </w:p>
    <w:p>
      <w:pPr/>
      <w:r>
        <w:rPr>
          <w:rFonts w:ascii="Hiragino Sans GB" w:hAnsi="Hiragino Sans GB" w:eastAsia="Hiragino Sans GB"/>
          <w:color w:val="172033"/>
        </w:rPr>
        <w:t>首版允许反馈环，但不允许同一事件指向自身，也不允许同一方向上出现重复关系。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2.4 具体因果依据（Causal Evidence）</w:t>
      </w:r>
    </w:p>
    <w:p>
      <w:pPr/>
      <w:r>
        <w:rPr>
          <w:rFonts w:ascii="Hiragino Sans GB" w:hAnsi="Hiragino Sans GB" w:eastAsia="Hiragino Sans GB"/>
          <w:color w:val="172033"/>
        </w:rPr>
        <w:t>一次真实的“具体原因事件促成具体结果事件”的记录。它必须引用两个已经存在的具体事件，并归属于对应的抽象因果关系。</w:t>
      </w:r>
    </w:p>
    <w:p>
      <w:pPr/>
      <w:r>
        <w:rPr>
          <w:rFonts w:ascii="Hiragino Sans GB" w:hAnsi="Hiragino Sans GB" w:eastAsia="Hiragino Sans GB"/>
          <w:color w:val="172033"/>
        </w:rPr>
        <w:t>只有满足以下一致性约束时才能保存：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具体原因事件归属抽象关系的原因事件。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具体结果事件归属抽象关系的结果事件。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结果事件时间不早于原因事件时间。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同一对具体事件不能重复作为同一关系的依据。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3. 产品原则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抽象层与依据层分离</w:t>
      </w:r>
      <w:r>
        <w:rPr>
          <w:rFonts w:ascii="Hiragino Sans GB" w:hAnsi="Hiragino Sans GB" w:eastAsia="Hiragino Sans GB"/>
          <w:color w:val="172033"/>
        </w:rPr>
        <w:t>：网络用于理解规律，依据库用于核查规律。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全程可追溯</w:t>
      </w:r>
      <w:r>
        <w:rPr>
          <w:rFonts w:ascii="Hiragino Sans GB" w:hAnsi="Hiragino Sans GB" w:eastAsia="Hiragino Sans GB"/>
          <w:color w:val="172033"/>
        </w:rPr>
        <w:t>：每个置信度数字都能下钻到具体记录。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先去重，再新增</w:t>
      </w:r>
      <w:r>
        <w:rPr>
          <w:rFonts w:ascii="Hiragino Sans GB" w:hAnsi="Hiragino Sans GB" w:eastAsia="Hiragino Sans GB"/>
          <w:color w:val="172033"/>
        </w:rPr>
        <w:t>：创建事件和关系前必须先搜索相似项。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置信度自动生成</w:t>
      </w:r>
      <w:r>
        <w:rPr>
          <w:rFonts w:ascii="Hiragino Sans GB" w:hAnsi="Hiragino Sans GB" w:eastAsia="Hiragino Sans GB"/>
          <w:color w:val="172033"/>
        </w:rPr>
        <w:t>：用户只能增删依据，不能直接编辑分数。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原子性优先于表达完整</w:t>
      </w:r>
      <w:r>
        <w:rPr>
          <w:rFonts w:ascii="Hiragino Sans GB" w:hAnsi="Hiragino Sans GB" w:eastAsia="Hiragino Sans GB"/>
          <w:color w:val="172033"/>
        </w:rPr>
        <w:t>：复合叙述应拆成多个事件，再用关系连接。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首版只表达支持强度</w:t>
      </w:r>
      <w:r>
        <w:rPr>
          <w:rFonts w:ascii="Hiragino Sans GB" w:hAnsi="Hiragino Sans GB" w:eastAsia="Hiragino Sans GB"/>
          <w:color w:val="172033"/>
        </w:rPr>
        <w:t>：置信度表示累计依据强度，不宣称完成了统计学因果证明。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4. 信息架构</w:t>
      </w:r>
    </w:p>
    <w:p>
      <w:pPr/>
      <w:r>
        <w:rPr>
          <w:rFonts w:ascii="Hiragino Sans GB" w:hAnsi="Hiragino Sans GB" w:eastAsia="Hiragino Sans GB"/>
          <w:color w:val="172033"/>
        </w:rPr>
        <w:t>桌面端使用左侧导航，移动端折叠为底部或抽屉导航。</w:t>
      </w:r>
    </w:p>
    <w:p>
      <w:pPr>
        <w:keepLines/>
        <w:numPr>
          <w:ilvl w:val="0"/>
          <w:numId w:val="13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因果网络</w:t>
      </w:r>
      <w:r>
        <w:rPr>
          <w:rFonts w:ascii="Hiragino Sans GB" w:hAnsi="Hiragino Sans GB" w:eastAsia="Hiragino Sans GB"/>
          <w:color w:val="172033"/>
        </w:rPr>
        <w:t>：默认首页，查看全部抽象事件与关系。</w:t>
      </w:r>
    </w:p>
    <w:p>
      <w:pPr>
        <w:keepLines/>
        <w:numPr>
          <w:ilvl w:val="0"/>
          <w:numId w:val="13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事件</w:t>
      </w:r>
      <w:r>
        <w:rPr>
          <w:rFonts w:ascii="Hiragino Sans GB" w:hAnsi="Hiragino Sans GB" w:eastAsia="Hiragino Sans GB"/>
          <w:color w:val="172033"/>
        </w:rPr>
        <w:t>：管理抽象事件，并查看其具体事件。</w:t>
      </w:r>
    </w:p>
    <w:p>
      <w:pPr>
        <w:keepLines/>
        <w:numPr>
          <w:ilvl w:val="0"/>
          <w:numId w:val="13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因果关系</w:t>
      </w:r>
      <w:r>
        <w:rPr>
          <w:rFonts w:ascii="Hiragino Sans GB" w:hAnsi="Hiragino Sans GB" w:eastAsia="Hiragino Sans GB"/>
          <w:color w:val="172033"/>
        </w:rPr>
        <w:t>：管理抽象关系，并查看其具体因果依据。</w:t>
      </w:r>
    </w:p>
    <w:p>
      <w:pPr>
        <w:keepLines/>
        <w:numPr>
          <w:ilvl w:val="0"/>
          <w:numId w:val="13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依据库</w:t>
      </w:r>
      <w:r>
        <w:rPr>
          <w:rFonts w:ascii="Hiragino Sans GB" w:hAnsi="Hiragino Sans GB" w:eastAsia="Hiragino Sans GB"/>
          <w:color w:val="172033"/>
        </w:rPr>
        <w:t>：统一检索全部具体事件和具体因果依据。</w:t>
      </w:r>
    </w:p>
    <w:p>
      <w:pPr/>
      <w:r>
        <w:rPr>
          <w:rFonts w:ascii="Hiragino Sans GB" w:hAnsi="Hiragino Sans GB" w:eastAsia="Hiragino Sans GB"/>
          <w:color w:val="172033"/>
        </w:rPr>
        <w:t>全局右上角只保留两个主操作：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Menlo" w:hAnsi="Menlo" w:eastAsia="Hiragino Sans GB"/>
          <w:color w:val="384250"/>
          <w:sz w:val="19"/>
        </w:rPr>
        <w:t>添加事件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Menlo" w:hAnsi="Menlo" w:eastAsia="Hiragino Sans GB"/>
          <w:color w:val="384250"/>
          <w:sz w:val="19"/>
        </w:rPr>
        <w:t>添加因果关系</w:t>
      </w:r>
    </w:p>
    <w:p>
      <w:pPr/>
      <w:r>
        <w:rPr>
          <w:rFonts w:ascii="Hiragino Sans GB" w:hAnsi="Hiragino Sans GB" w:eastAsia="Hiragino Sans GB"/>
          <w:color w:val="172033"/>
        </w:rPr>
        <w:t>“添加具体事件”和“添加具体依据”作为对应详情页或侧边详情面板中的次级操作，不与两个主操作竞争。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5. 核心页面设计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5.1 因果网络页</w:t>
      </w:r>
    </w:p>
    <w:p>
      <w:pPr/>
      <w:r>
        <w:rPr>
          <w:rFonts w:ascii="Hiragino Sans GB" w:hAnsi="Hiragino Sans GB" w:eastAsia="Hiragino Sans GB"/>
          <w:color w:val="172033"/>
        </w:rPr>
        <w:t>页面采用“顶部工具栏 + 全屏画布 + 右侧详情面板”的结构。</w:t>
      </w:r>
    </w:p>
    <w:p>
      <w:pPr>
        <w:spacing w:before="80" w:after="160" w:line="252" w:lineRule="auto"/>
        <w:ind w:left="259" w:right="259"/>
        <w:shd w:fill="F4F6F9"/>
      </w:pPr>
      <w:r>
        <w:rPr>
          <w:rFonts w:ascii="Menlo" w:hAnsi="Menlo" w:eastAsia="Hiragino Sans GB"/>
          <w:color w:val="384250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Menlo" w:hAnsi="Menlo" w:eastAsia="Hiragino Sans GB"/>
          <w:color w:val="384250"/>
          <w:sz w:val="17"/>
        </w:rPr>
        <w:t>│ 搜索事件   置信度筛选   显示孤立节点   重新布局   适应画布    + 添加 │</w:t>
      </w:r>
      <w:r>
        <w:br/>
      </w:r>
      <w:r>
        <w:rPr>
          <w:rFonts w:ascii="Menlo" w:hAnsi="Menlo" w:eastAsia="Hiragino Sans GB"/>
          <w:color w:val="384250"/>
          <w:sz w:val="17"/>
        </w:rPr>
        <w:t>├───────────────────────────────────────────────┬──────────────────────┤</w:t>
      </w:r>
      <w:r>
        <w:br/>
      </w:r>
      <w:r>
        <w:rPr>
          <w:rFonts w:ascii="Menlo" w:hAnsi="Menlo" w:eastAsia="Hiragino Sans GB"/>
          <w:color w:val="384250"/>
          <w:sz w:val="17"/>
        </w:rPr>
        <w:t>│                                               │ 选中项详情           │</w:t>
      </w:r>
      <w:r>
        <w:br/>
      </w:r>
      <w:r>
        <w:rPr>
          <w:rFonts w:ascii="Menlo" w:hAnsi="Menlo" w:eastAsia="Hiragino Sans GB"/>
          <w:color w:val="384250"/>
          <w:sz w:val="17"/>
        </w:rPr>
        <w:t>│             可缩放、可拖动画布                │ 名称 / 定义          │</w:t>
      </w:r>
      <w:r>
        <w:br/>
      </w:r>
      <w:r>
        <w:rPr>
          <w:rFonts w:ascii="Menlo" w:hAnsi="Menlo" w:eastAsia="Hiragino Sans GB"/>
          <w:color w:val="384250"/>
          <w:sz w:val="17"/>
        </w:rPr>
        <w:t>│                                               │ 置信度 / 依据数       │</w:t>
      </w:r>
      <w:r>
        <w:br/>
      </w:r>
      <w:r>
        <w:rPr>
          <w:rFonts w:ascii="Menlo" w:hAnsi="Menlo" w:eastAsia="Hiragino Sans GB"/>
          <w:color w:val="384250"/>
          <w:sz w:val="17"/>
        </w:rPr>
        <w:t>│      [事件 A] ━━━━━━━▶ [事件 B]               │ 相邻关系             │</w:t>
      </w:r>
      <w:r>
        <w:br/>
      </w:r>
      <w:r>
        <w:rPr>
          <w:rFonts w:ascii="Menlo" w:hAnsi="Menlo" w:eastAsia="Hiragino Sans GB"/>
          <w:color w:val="384250"/>
          <w:sz w:val="17"/>
        </w:rPr>
        <w:t>│          └──────────▶ [事件 C]                │ 最近依据             │</w:t>
      </w:r>
      <w:r>
        <w:br/>
      </w:r>
      <w:r>
        <w:rPr>
          <w:rFonts w:ascii="Menlo" w:hAnsi="Menlo" w:eastAsia="Hiragino Sans GB"/>
          <w:color w:val="384250"/>
          <w:sz w:val="17"/>
        </w:rPr>
        <w:t>│                                               │ 查看完整详情          │</w:t>
      </w:r>
      <w:r>
        <w:br/>
      </w:r>
      <w:r>
        <w:rPr>
          <w:rFonts w:ascii="Menlo" w:hAnsi="Menlo" w:eastAsia="Hiragino Sans GB"/>
          <w:color w:val="384250"/>
          <w:sz w:val="17"/>
        </w:rPr>
        <w:t>└───────────────────────────────────────────────┴──────────────────────┘</w:t>
      </w:r>
    </w:p>
    <w:p>
      <w:pPr/>
      <w:r>
        <w:rPr>
          <w:rFonts w:ascii="Hiragino Sans GB" w:hAnsi="Hiragino Sans GB" w:eastAsia="Hiragino Sans GB"/>
          <w:color w:val="172033"/>
        </w:rPr>
        <w:t>节点表达抽象事件：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节点标题显示事件名称，最多两行；悬停显示完整定义。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节点边框饱和度表示事件置信度，右下角显示具体事件数量。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孤立节点默认显示，可通过开关隐藏。</w:t>
      </w:r>
    </w:p>
    <w:p>
      <w:pPr/>
      <w:r>
        <w:rPr>
          <w:rFonts w:ascii="Hiragino Sans GB" w:hAnsi="Hiragino Sans GB" w:eastAsia="Hiragino Sans GB"/>
          <w:color w:val="172033"/>
        </w:rPr>
        <w:t>连线表达抽象因果关系：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箭头指向结果事件。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线宽与不透明度随关系置信度增加。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连线中点显示置信度百分比；缩放较小时自动隐藏文字，避免拥挤。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选中连线后，高亮两端节点并打开关系详情面板。</w:t>
      </w:r>
    </w:p>
    <w:p>
      <w:pPr/>
      <w:r>
        <w:rPr>
          <w:rFonts w:ascii="Hiragino Sans GB" w:hAnsi="Hiragino Sans GB" w:eastAsia="Hiragino Sans GB"/>
          <w:color w:val="172033"/>
        </w:rPr>
        <w:t>交互要求：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滚轮缩放、空白处拖动画布、拖动节点、双击节点打开详情。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搜索命中后居中并高亮节点。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支持按最低置信度、是否有依据筛选。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一键“适应画布”和“重新布局”。用户拖动后的坐标按账户保存。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网络为空时显示简短说明和“添加第一个事件”按钮。</w:t>
      </w:r>
    </w:p>
    <w:p>
      <w:pPr/>
      <w:r>
        <w:rPr>
          <w:rFonts w:ascii="Hiragino Sans GB" w:hAnsi="Hiragino Sans GB" w:eastAsia="Hiragino Sans GB"/>
          <w:color w:val="172033"/>
        </w:rPr>
        <w:t xml:space="preserve">图组件选用 </w:t>
      </w:r>
      <w:r>
        <w:rPr>
          <w:rFonts w:ascii="Hiragino Sans GB" w:hAnsi="Hiragino Sans GB" w:eastAsia="Hiragino Sans GB"/>
          <w:b/>
          <w:color w:val="172033"/>
        </w:rPr>
        <w:t>Cytoscape.js</w:t>
      </w:r>
      <w:r>
        <w:rPr>
          <w:rFonts w:ascii="Hiragino Sans GB" w:hAnsi="Hiragino Sans GB" w:eastAsia="Hiragino Sans GB"/>
          <w:color w:val="172033"/>
        </w:rPr>
        <w:t xml:space="preserve">。它采用 MIT 许可证，支持交互式网络、图分析、复合节点和可扩展布局，适合本产品的网络浏览场景。默认采用有向层级布局；出现较多反馈环或交叉边时切换为力导向布局。组件信息以 </w:t>
      </w:r>
      <w:hyperlink r:id="rId11">
        <w:r>
          <w:rPr>
            <w:color w:val="2E74B5"/>
            <w:u w:val="single"/>
            <w:rFonts w:ascii="Hiragino Sans GB" w:hAnsi="Hiragino Sans GB" w:eastAsia="Hiragino Sans GB"/>
          </w:rPr>
          <w:t>Cytoscape.js 官方文档</w:t>
        </w:r>
      </w:hyperlink>
      <w:r>
        <w:rPr>
          <w:rFonts w:ascii="Hiragino Sans GB" w:hAnsi="Hiragino Sans GB" w:eastAsia="Hiragino Sans GB"/>
          <w:color w:val="172033"/>
        </w:rPr>
        <w:t xml:space="preserve"> 为准。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5.2 事件列表页</w:t>
      </w:r>
    </w:p>
    <w:p>
      <w:pPr/>
      <w:r>
        <w:rPr>
          <w:rFonts w:ascii="Hiragino Sans GB" w:hAnsi="Hiragino Sans GB" w:eastAsia="Hiragino Sans GB"/>
          <w:color w:val="172033"/>
        </w:rPr>
        <w:t>列表列项：事件名称、简短定义、具体事件数、置信度、关联关系数、更新时间。</w:t>
      </w:r>
    </w:p>
    <w:p>
      <w:pPr/>
      <w:r>
        <w:rPr>
          <w:rFonts w:ascii="Hiragino Sans GB" w:hAnsi="Hiragino Sans GB" w:eastAsia="Hiragino Sans GB"/>
          <w:color w:val="172033"/>
        </w:rPr>
        <w:t>支持：搜索、按置信度筛选、按更新时间排序、打开详情。默认不加入分类体系，避免首版维护额外层级。</w:t>
      </w:r>
    </w:p>
    <w:p>
      <w:pPr/>
      <w:r>
        <w:rPr>
          <w:rFonts w:ascii="Hiragino Sans GB" w:hAnsi="Hiragino Sans GB" w:eastAsia="Hiragino Sans GB"/>
          <w:color w:val="172033"/>
        </w:rPr>
        <w:t>事件详情使用右侧宽面板或独立页，包含：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基本信息：名称、定义、创建时间、更新时间。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原子性检查结果。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置信度与具体事件数量。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作为原因的关系列表、作为结果的关系列表。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具体事件记录列表与“添加具体事件”操作。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5.3 因果关系列表页</w:t>
      </w:r>
    </w:p>
    <w:p>
      <w:pPr/>
      <w:r>
        <w:rPr>
          <w:rFonts w:ascii="Hiragino Sans GB" w:hAnsi="Hiragino Sans GB" w:eastAsia="Hiragino Sans GB"/>
          <w:color w:val="172033"/>
        </w:rPr>
        <w:t>列表列项：原因事件、结果事件、关系说明、具体依据数、置信度、更新时间。</w:t>
      </w:r>
    </w:p>
    <w:p>
      <w:pPr/>
      <w:r>
        <w:rPr>
          <w:rFonts w:ascii="Hiragino Sans GB" w:hAnsi="Hiragino Sans GB" w:eastAsia="Hiragino Sans GB"/>
          <w:color w:val="172033"/>
        </w:rPr>
        <w:t>关系详情包含：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Menlo" w:hAnsi="Menlo" w:eastAsia="Hiragino Sans GB"/>
          <w:color w:val="384250"/>
          <w:sz w:val="19"/>
        </w:rPr>
        <w:t>原因事件 → 结果事件</w:t>
      </w:r>
      <w:r>
        <w:rPr>
          <w:rFonts w:ascii="Hiragino Sans GB" w:hAnsi="Hiragino Sans GB" w:eastAsia="Hiragino Sans GB"/>
          <w:color w:val="172033"/>
        </w:rPr>
        <w:t xml:space="preserve"> 的方向摘要。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关系说明。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置信度、有效依据数量和计算说明。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具体因果依据列表。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“添加具体依据”操作。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5.4 依据库</w:t>
      </w:r>
    </w:p>
    <w:p>
      <w:pPr/>
      <w:r>
        <w:rPr>
          <w:rFonts w:ascii="Hiragino Sans GB" w:hAnsi="Hiragino Sans GB" w:eastAsia="Hiragino Sans GB"/>
          <w:color w:val="172033"/>
        </w:rPr>
        <w:t>依据库包含两个页签：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具体事件</w:t>
      </w:r>
      <w:r>
        <w:rPr>
          <w:rFonts w:ascii="Hiragino Sans GB" w:hAnsi="Hiragino Sans GB" w:eastAsia="Hiragino Sans GB"/>
          <w:color w:val="172033"/>
        </w:rPr>
        <w:t>：时间、标题、所属抽象事件、依据来源、录入时间。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b/>
          <w:color w:val="172033"/>
        </w:rPr>
        <w:t>具体因果依据</w:t>
      </w:r>
      <w:r>
        <w:rPr>
          <w:rFonts w:ascii="Hiragino Sans GB" w:hAnsi="Hiragino Sans GB" w:eastAsia="Hiragino Sans GB"/>
          <w:color w:val="172033"/>
        </w:rPr>
        <w:t>：具体原因事件、具体结果事件、所属抽象关系、依据说明、录入时间。</w:t>
      </w:r>
    </w:p>
    <w:p>
      <w:pPr/>
      <w:r>
        <w:rPr>
          <w:rFonts w:ascii="Hiragino Sans GB" w:hAnsi="Hiragino Sans GB" w:eastAsia="Hiragino Sans GB"/>
          <w:color w:val="172033"/>
        </w:rPr>
        <w:t>依据库只承担检索和核查，不提供新的顶级业务对象。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6. 添加流程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6.1 添加事件</w:t>
      </w:r>
    </w:p>
    <w:p>
      <w:pPr/>
      <w:r>
        <w:rPr>
          <w:rFonts w:ascii="Hiragino Sans GB" w:hAnsi="Hiragino Sans GB" w:eastAsia="Hiragino Sans GB"/>
          <w:color w:val="172033"/>
        </w:rPr>
        <w:t>采用右侧抽屉或聚焦式弹窗，分两步完成。</w:t>
      </w:r>
    </w:p>
    <w:p>
      <w:pPr>
        <w:spacing w:before="120" w:after="80"/>
      </w:pPr>
      <w:r>
        <w:rPr>
          <w:rFonts w:ascii="Hiragino Sans GB" w:hAnsi="Hiragino Sans GB" w:eastAsia="Hiragino Sans GB"/>
          <w:b/>
          <w:color w:val="1F4D78"/>
        </w:rPr>
        <w:t>步骤 1：定义抽象事件</w:t>
      </w:r>
    </w:p>
    <w:p>
      <w:pPr/>
      <w:r>
        <w:rPr>
          <w:rFonts w:ascii="Hiragino Sans GB" w:hAnsi="Hiragino Sans GB" w:eastAsia="Hiragino Sans GB"/>
          <w:color w:val="172033"/>
        </w:rPr>
        <w:t>字段：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事件名称，必填，建议使用“主体 + 原子状态变化”，2–40 字。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事件定义，必填，说明什么情况算该事件，20–300 字。</w:t>
      </w:r>
    </w:p>
    <w:p>
      <w:pPr/>
      <w:r>
        <w:rPr>
          <w:rFonts w:ascii="Hiragino Sans GB" w:hAnsi="Hiragino Sans GB" w:eastAsia="Hiragino Sans GB"/>
          <w:color w:val="172033"/>
        </w:rPr>
        <w:t>输入名称后即时搜索相似事件；发现高度相似项时优先提示复用，用户确认不同后仍可创建。</w:t>
      </w:r>
    </w:p>
    <w:p>
      <w:pPr/>
      <w:r>
        <w:rPr>
          <w:rFonts w:ascii="Hiragino Sans GB" w:hAnsi="Hiragino Sans GB" w:eastAsia="Hiragino Sans GB"/>
          <w:color w:val="172033"/>
        </w:rPr>
        <w:t>提交前执行四项原子性检查：单一主体、单一变化、无组合词、无因果词。自动检查只作提示，最终由用户确认。</w:t>
      </w:r>
    </w:p>
    <w:p>
      <w:pPr>
        <w:spacing w:before="120" w:after="80"/>
      </w:pPr>
      <w:r>
        <w:rPr>
          <w:rFonts w:ascii="Hiragino Sans GB" w:hAnsi="Hiragino Sans GB" w:eastAsia="Hiragino Sans GB"/>
          <w:b/>
          <w:color w:val="1F4D78"/>
        </w:rPr>
        <w:t>步骤 2：添加首条具体事件（可跳过）</w:t>
      </w:r>
    </w:p>
    <w:p>
      <w:pPr/>
      <w:r>
        <w:rPr>
          <w:rFonts w:ascii="Hiragino Sans GB" w:hAnsi="Hiragino Sans GB" w:eastAsia="Hiragino Sans GB"/>
          <w:color w:val="172033"/>
        </w:rPr>
        <w:t>字段：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具体事件标题，必填。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发生时间，必填；允许精确时间或时间范围。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事件描述，必填。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依据，必填；至少提供来源链接、附件或文字出处中的一种。</w:t>
      </w:r>
    </w:p>
    <w:p>
      <w:pPr/>
      <w:r>
        <w:rPr>
          <w:rFonts w:ascii="Hiragino Sans GB" w:hAnsi="Hiragino Sans GB" w:eastAsia="Hiragino Sans GB"/>
          <w:color w:val="172033"/>
        </w:rPr>
        <w:t>跳过后，抽象事件以“未验证”状态进入网络，置信度为 0。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6.2 添加因果关系</w:t>
      </w:r>
    </w:p>
    <w:p>
      <w:pPr/>
      <w:r>
        <w:rPr>
          <w:rFonts w:ascii="Hiragino Sans GB" w:hAnsi="Hiragino Sans GB" w:eastAsia="Hiragino Sans GB"/>
          <w:color w:val="172033"/>
        </w:rPr>
        <w:t>同样分两步完成。</w:t>
      </w:r>
    </w:p>
    <w:p>
      <w:pPr>
        <w:spacing w:before="120" w:after="80"/>
      </w:pPr>
      <w:r>
        <w:rPr>
          <w:rFonts w:ascii="Hiragino Sans GB" w:hAnsi="Hiragino Sans GB" w:eastAsia="Hiragino Sans GB"/>
          <w:b/>
          <w:color w:val="1F4D78"/>
        </w:rPr>
        <w:t>步骤 1：定义抽象关系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原因事件，必填，可搜索选择。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结果事件，必填，可搜索选择。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关系说明，必填，说明原因事件如何促成结果事件，20–500 字。</w:t>
      </w:r>
    </w:p>
    <w:p>
      <w:pPr/>
      <w:r>
        <w:rPr>
          <w:rFonts w:ascii="Hiragino Sans GB" w:hAnsi="Hiragino Sans GB" w:eastAsia="Hiragino Sans GB"/>
          <w:color w:val="172033"/>
        </w:rPr>
        <w:t>界面始终显示大号方向预览：</w:t>
      </w:r>
      <w:r>
        <w:rPr>
          <w:rFonts w:ascii="Menlo" w:hAnsi="Menlo" w:eastAsia="Hiragino Sans GB"/>
          <w:color w:val="384250"/>
          <w:sz w:val="19"/>
        </w:rPr>
        <w:t>原因事件 → 结果事件</w:t>
      </w:r>
      <w:r>
        <w:rPr>
          <w:rFonts w:ascii="Hiragino Sans GB" w:hAnsi="Hiragino Sans GB" w:eastAsia="Hiragino Sans GB"/>
          <w:color w:val="172033"/>
        </w:rPr>
        <w:t>。如果反向关系已经存在，应明确提示但允许创建；如果同向关系已存在，则阻止重复创建并引导打开原关系。</w:t>
      </w:r>
    </w:p>
    <w:p>
      <w:pPr>
        <w:spacing w:before="120" w:after="80"/>
      </w:pPr>
      <w:r>
        <w:rPr>
          <w:rFonts w:ascii="Hiragino Sans GB" w:hAnsi="Hiragino Sans GB" w:eastAsia="Hiragino Sans GB"/>
          <w:b/>
          <w:color w:val="1F4D78"/>
        </w:rPr>
        <w:t>步骤 2：添加首条具体因果依据（可跳过）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具体原因事件，必填，只显示归属于原因事件的记录。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具体结果事件，必填，只显示归属于结果事件的记录。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因果依据说明，必填，说明为什么不是单纯的时间先后或相关性。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依据，必填；至少提供来源链接、附件或文字出处中的一种。</w:t>
      </w:r>
    </w:p>
    <w:p>
      <w:pPr/>
      <w:r>
        <w:rPr>
          <w:rFonts w:ascii="Hiragino Sans GB" w:hAnsi="Hiragino Sans GB" w:eastAsia="Hiragino Sans GB"/>
          <w:color w:val="172033"/>
        </w:rPr>
        <w:t>如果所需具体事件尚不存在，允许在当前流程中快速创建，完成后返回原表单。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7. 置信度规则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7.1 首版计算方式</w:t>
      </w:r>
    </w:p>
    <w:p>
      <w:pPr/>
      <w:r>
        <w:rPr>
          <w:rFonts w:ascii="Hiragino Sans GB" w:hAnsi="Hiragino Sans GB" w:eastAsia="Hiragino Sans GB"/>
          <w:color w:val="172033"/>
        </w:rPr>
        <w:t>事件置信度依据其有效具体事件数量；关系置信度依据其有效具体因果依据数量。两者使用同一条饱和增长公式：</w:t>
      </w:r>
    </w:p>
    <w:p>
      <w:pPr>
        <w:spacing w:before="80" w:after="160" w:line="252" w:lineRule="auto"/>
        <w:ind w:left="259" w:right="259"/>
        <w:shd w:fill="F4F6F9"/>
      </w:pPr>
      <w:r>
        <w:rPr>
          <w:rFonts w:ascii="Menlo" w:hAnsi="Menlo" w:eastAsia="Hiragino Sans GB"/>
          <w:color w:val="384250"/>
          <w:sz w:val="17"/>
        </w:rPr>
        <w:t>confidence = round(100 × (1 - e^(-n / 5)))</w:t>
      </w:r>
    </w:p>
    <w:p>
      <w:pPr/>
      <w:r>
        <w:rPr>
          <w:rFonts w:ascii="Hiragino Sans GB" w:hAnsi="Hiragino Sans GB" w:eastAsia="Hiragino Sans GB"/>
          <w:color w:val="172033"/>
        </w:rPr>
        <w:t xml:space="preserve">其中 </w:t>
      </w:r>
      <w:r>
        <w:rPr>
          <w:rFonts w:ascii="Menlo" w:hAnsi="Menlo" w:eastAsia="Hiragino Sans GB"/>
          <w:color w:val="384250"/>
          <w:sz w:val="19"/>
        </w:rPr>
        <w:t>n</w:t>
      </w:r>
      <w:r>
        <w:rPr>
          <w:rFonts w:ascii="Hiragino Sans GB" w:hAnsi="Hiragino Sans GB" w:eastAsia="Hiragino Sans GB"/>
          <w:color w:val="172033"/>
        </w:rPr>
        <w:t xml:space="preserve"> 为去重后的有效依据数，结果最高显示为 99%，避免把累计支持误读为绝对确定。</w:t>
      </w:r>
    </w:p>
    <w:p>
      <w:pPr/>
      <w:r>
        <w:rPr>
          <w:rFonts w:ascii="Hiragino Sans GB" w:hAnsi="Hiragino Sans GB" w:eastAsia="Hiragino Sans GB"/>
          <w:color w:val="172033"/>
        </w:rPr>
        <w:t>参考值：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1900"/>
        <w:gridCol w:w="1450"/>
        <w:gridCol w:w="601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有效依据数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置信度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展示等级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0%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未验证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18%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初步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45%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初步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63%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中等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10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86%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较高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15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95%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很高</w:t>
            </w:r>
          </w:p>
        </w:tc>
      </w:tr>
    </w:tbl>
    <w:p>
      <w:pPr>
        <w:spacing w:after="40"/>
      </w:pPr>
    </w:p>
    <w:p>
      <w:pPr/>
      <w:r>
        <w:rPr>
          <w:rFonts w:ascii="Hiragino Sans GB" w:hAnsi="Hiragino Sans GB" w:eastAsia="Hiragino Sans GB"/>
          <w:color w:val="172033"/>
        </w:rPr>
        <w:t>展示等级仅用于阅读：0% 为“未验证”，1–49% 为“初步”，50–79% 为“中等”，80–94% 为“较高”，95–99% 为“很高”。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7.2 计算约束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依据新增、删除或失效时立即重算。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同一具体事件只能为一个抽象事件计数一次。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同一对具体事件只能为同一抽象关系计数一次。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首版所有有效依据等权，不引入人工质量打分。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分数旁必须显示“基于 N 条依据”，并提供计算说明入口。</w:t>
      </w:r>
    </w:p>
    <w:p>
      <w:pPr/>
      <w:r>
        <w:rPr>
          <w:rFonts w:ascii="Hiragino Sans GB" w:hAnsi="Hiragino Sans GB" w:eastAsia="Hiragino Sans GB"/>
          <w:color w:val="172033"/>
        </w:rPr>
        <w:t>该分数只表示应用内累计支持强度。它不能替代实验、反事实分析或统计因果推断。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8. 数据模型</w:t>
      </w:r>
    </w:p>
    <w:p>
      <w:pPr>
        <w:spacing w:before="80" w:after="80"/>
        <w:shd w:fill="F4F6F9"/>
      </w:pPr>
      <w:r>
        <w:rPr>
          <w:rFonts w:ascii="Menlo" w:hAnsi="Menlo" w:eastAsia="Hiragino Sans GB"/>
          <w:color w:val="384250"/>
          <w:sz w:val="19"/>
        </w:rPr>
        <w:t>抽象事件  1 ─── N  具体事件</w:t>
      </w:r>
      <w:r>
        <w:br/>
      </w:r>
      <w:r>
        <w:rPr>
          <w:rFonts w:ascii="Menlo" w:hAnsi="Menlo" w:eastAsia="Hiragino Sans GB"/>
          <w:color w:val="384250"/>
          <w:sz w:val="19"/>
        </w:rPr>
        <w:t>抽象事件（原因） 1 ─── N  抽象因果关系  N ─── 1 抽象事件（结果）</w:t>
      </w:r>
      <w:r>
        <w:br/>
      </w:r>
      <w:r>
        <w:rPr>
          <w:rFonts w:ascii="Menlo" w:hAnsi="Menlo" w:eastAsia="Hiragino Sans GB"/>
          <w:color w:val="384250"/>
          <w:sz w:val="19"/>
        </w:rPr>
        <w:t>抽象因果关系  1 ─── N  具体因果依据</w:t>
      </w:r>
      <w:r>
        <w:br/>
      </w:r>
      <w:r>
        <w:rPr>
          <w:rFonts w:ascii="Menlo" w:hAnsi="Menlo" w:eastAsia="Hiragino Sans GB"/>
          <w:color w:val="384250"/>
          <w:sz w:val="19"/>
        </w:rPr>
        <w:t>具体事件（原因 / 结果） 1 ─── N  具体因果依据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 xml:space="preserve">8.1 </w:t>
      </w:r>
      <w:r>
        <w:rPr>
          <w:rFonts w:ascii="Menlo" w:hAnsi="Menlo" w:eastAsia="Hiragino Sans GB"/>
          <w:color w:val="384250"/>
          <w:sz w:val="19"/>
        </w:rPr>
        <w:t>abstract_event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1900"/>
        <w:gridCol w:w="1450"/>
        <w:gridCol w:w="601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主键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varchar(40)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必填；同名规范化后唯一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definition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text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必填，20–300 字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evidence_count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系统维护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confidence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0–99，系统维护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enum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active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archived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created_at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系统维护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 xml:space="preserve">8.2 </w:t>
      </w:r>
      <w:r>
        <w:rPr>
          <w:rFonts w:ascii="Menlo" w:hAnsi="Menlo" w:eastAsia="Hiragino Sans GB"/>
          <w:color w:val="384250"/>
          <w:sz w:val="19"/>
        </w:rPr>
        <w:t>concrete_event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1900"/>
        <w:gridCol w:w="1450"/>
        <w:gridCol w:w="601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主键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abstract_event_id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必填，外键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title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varchar(120)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text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occurred_at_start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occurred_at_end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可空；不得早于开始时间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source_type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enum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url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file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text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source_value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text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enum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valid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invalid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created_at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系统维护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 xml:space="preserve">8.3 </w:t>
      </w:r>
      <w:r>
        <w:rPr>
          <w:rFonts w:ascii="Menlo" w:hAnsi="Menlo" w:eastAsia="Hiragino Sans GB"/>
          <w:color w:val="384250"/>
          <w:sz w:val="19"/>
        </w:rPr>
        <w:t>causal_relation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1900"/>
        <w:gridCol w:w="1450"/>
        <w:gridCol w:w="601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主键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cause_event_id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必填，外键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effect_event_id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必填，外键；不得等于原因事件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text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必填，20–500 字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evidence_count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系统维护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confidence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0–99，系统维护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enum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active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archived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created_at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系统维护</w:t>
            </w:r>
          </w:p>
        </w:tc>
      </w:tr>
    </w:tbl>
    <w:p>
      <w:pPr>
        <w:spacing w:after="40"/>
      </w:pPr>
    </w:p>
    <w:p>
      <w:pPr/>
      <w:r>
        <w:rPr>
          <w:rFonts w:ascii="Hiragino Sans GB" w:hAnsi="Hiragino Sans GB" w:eastAsia="Hiragino Sans GB"/>
          <w:color w:val="172033"/>
        </w:rPr>
        <w:t>唯一约束：</w:t>
      </w:r>
      <w:r>
        <w:rPr>
          <w:rFonts w:ascii="Menlo" w:hAnsi="Menlo" w:eastAsia="Hiragino Sans GB"/>
          <w:color w:val="384250"/>
          <w:sz w:val="19"/>
        </w:rPr>
        <w:t>(cause_event_id, effect_event_id)</w:t>
      </w:r>
      <w:r>
        <w:rPr>
          <w:rFonts w:ascii="Hiragino Sans GB" w:hAnsi="Hiragino Sans GB" w:eastAsia="Hiragino Sans GB"/>
          <w:color w:val="172033"/>
        </w:rPr>
        <w:t>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 xml:space="preserve">8.4 </w:t>
      </w:r>
      <w:r>
        <w:rPr>
          <w:rFonts w:ascii="Menlo" w:hAnsi="Menlo" w:eastAsia="Hiragino Sans GB"/>
          <w:color w:val="384250"/>
          <w:sz w:val="19"/>
        </w:rPr>
        <w:t>causal_evidence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1900"/>
        <w:gridCol w:w="1450"/>
        <w:gridCol w:w="601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172033"/>
                <w:sz w:val="18"/>
              </w:rPr>
              <w:t>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主键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causal_relation_id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必填，外键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cause_occurrence_id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必填，外键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effect_occurrence_id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UUID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必填，外键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explanation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text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source_type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enum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url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file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text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source_value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text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必填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enum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valid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invalid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created_at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timestamp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172033"/>
                <w:sz w:val="18"/>
              </w:rPr>
              <w:t>系统维护</w:t>
            </w:r>
          </w:p>
        </w:tc>
      </w:tr>
    </w:tbl>
    <w:p>
      <w:pPr>
        <w:spacing w:after="40"/>
      </w:pPr>
    </w:p>
    <w:p>
      <w:pPr/>
      <w:r>
        <w:rPr>
          <w:rFonts w:ascii="Hiragino Sans GB" w:hAnsi="Hiragino Sans GB" w:eastAsia="Hiragino Sans GB"/>
          <w:color w:val="172033"/>
        </w:rPr>
        <w:t>唯一约束：</w:t>
      </w:r>
      <w:r>
        <w:rPr>
          <w:rFonts w:ascii="Menlo" w:hAnsi="Menlo" w:eastAsia="Hiragino Sans GB"/>
          <w:color w:val="384250"/>
          <w:sz w:val="19"/>
        </w:rPr>
        <w:t>(causal_relation_id, cause_occurrence_id, effect_occurrence_id)</w:t>
      </w:r>
      <w:r>
        <w:rPr>
          <w:rFonts w:ascii="Hiragino Sans GB" w:hAnsi="Hiragino Sans GB" w:eastAsia="Hiragino Sans GB"/>
          <w:color w:val="172033"/>
        </w:rPr>
        <w:t>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9. 视觉与交互规范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9.1 视觉方向</w:t>
      </w:r>
    </w:p>
    <w:p>
      <w:pPr/>
      <w:r>
        <w:rPr>
          <w:rFonts w:ascii="Hiragino Sans GB" w:hAnsi="Hiragino Sans GB" w:eastAsia="Hiragino Sans GB"/>
          <w:color w:val="172033"/>
        </w:rPr>
        <w:t>整体采用专业、克制的知识工具风格：浅灰背景、白色内容面板、深色正文、单一蓝紫强调色。避免大面积渐变、拟物阴影和装饰性图标。</w:t>
      </w:r>
    </w:p>
    <w:p>
      <w:pPr/>
      <w:r>
        <w:rPr>
          <w:rFonts w:ascii="Hiragino Sans GB" w:hAnsi="Hiragino Sans GB" w:eastAsia="Hiragino Sans GB"/>
          <w:color w:val="172033"/>
        </w:rPr>
        <w:t>建议色值：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页面背景：</w:t>
      </w:r>
      <w:r>
        <w:rPr>
          <w:rFonts w:ascii="Menlo" w:hAnsi="Menlo" w:eastAsia="Hiragino Sans GB"/>
          <w:color w:val="384250"/>
          <w:sz w:val="19"/>
        </w:rPr>
        <w:t>#F6F7F9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面板：</w:t>
      </w:r>
      <w:r>
        <w:rPr>
          <w:rFonts w:ascii="Menlo" w:hAnsi="Menlo" w:eastAsia="Hiragino Sans GB"/>
          <w:color w:val="384250"/>
          <w:sz w:val="19"/>
        </w:rPr>
        <w:t>#FFFFFF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主文字：</w:t>
      </w:r>
      <w:r>
        <w:rPr>
          <w:rFonts w:ascii="Menlo" w:hAnsi="Menlo" w:eastAsia="Hiragino Sans GB"/>
          <w:color w:val="384250"/>
          <w:sz w:val="19"/>
        </w:rPr>
        <w:t>#172033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次文字：</w:t>
      </w:r>
      <w:r>
        <w:rPr>
          <w:rFonts w:ascii="Menlo" w:hAnsi="Menlo" w:eastAsia="Hiragino Sans GB"/>
          <w:color w:val="384250"/>
          <w:sz w:val="19"/>
        </w:rPr>
        <w:t>#667085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主色：</w:t>
      </w:r>
      <w:r>
        <w:rPr>
          <w:rFonts w:ascii="Menlo" w:hAnsi="Menlo" w:eastAsia="Hiragino Sans GB"/>
          <w:color w:val="384250"/>
          <w:sz w:val="19"/>
        </w:rPr>
        <w:t>#5B5BD6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成功/高置信：</w:t>
      </w:r>
      <w:r>
        <w:rPr>
          <w:rFonts w:ascii="Menlo" w:hAnsi="Menlo" w:eastAsia="Hiragino Sans GB"/>
          <w:color w:val="384250"/>
          <w:sz w:val="19"/>
        </w:rPr>
        <w:t>#168B72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警示/低置信：</w:t>
      </w:r>
      <w:r>
        <w:rPr>
          <w:rFonts w:ascii="Menlo" w:hAnsi="Menlo" w:eastAsia="Hiragino Sans GB"/>
          <w:color w:val="384250"/>
          <w:sz w:val="19"/>
        </w:rPr>
        <w:t>#D97706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边框：</w:t>
      </w:r>
      <w:r>
        <w:rPr>
          <w:rFonts w:ascii="Menlo" w:hAnsi="Menlo" w:eastAsia="Hiragino Sans GB"/>
          <w:color w:val="384250"/>
          <w:sz w:val="19"/>
        </w:rPr>
        <w:t>#E4E7EC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9.2 组件与密度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圆角：卡片 12px，输入框与按钮 8px。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阴影：仅浮层和右侧面板使用轻阴影。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字体：系统无衬线字体栈；正文 14px，列表主信息 14–15px，页面标题 24px。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常用间距基于 4px 网格；表单字段间距 16px，区块间距 24px。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主按钮每个视图不超过一个；危险操作使用文字按钮并二次确认。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9.3 反馈与状态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保存成功后就地更新，不整页刷新，并显示短暂提示。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网络重新布局期间保留旧图并显示顶部进度条，避免画布闪空。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删除抽象事件或关系前，如果仍有关联依据则禁止硬删除，只允许归档。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表单错误显示在对应字段下，不只使用全局提示。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所有置信度颜色同时配合文字或数值，不能只依赖颜色传达。</w:t>
      </w:r>
    </w:p>
    <w:p>
      <w:pPr>
        <w:pStyle w:val="Heading2"/>
      </w:pPr>
      <w:r>
        <w:rPr>
          <w:rFonts w:ascii="Hiragino Sans GB" w:hAnsi="Hiragino Sans GB" w:eastAsia="Hiragino Sans GB"/>
          <w:color w:val="172033"/>
        </w:rPr>
        <w:t>9.4 响应式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主要面向宽度不低于 1024px 的桌面使用。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768–1023px：侧栏折叠为图标，详情面板覆盖画布。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小于 768px：支持列表和详情操作；网络图可浏览，但不承诺复杂编辑体验。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10. 建议技术边界</w:t>
      </w:r>
    </w:p>
    <w:p>
      <w:pPr/>
      <w:r>
        <w:rPr>
          <w:rFonts w:ascii="Hiragino Sans GB" w:hAnsi="Hiragino Sans GB" w:eastAsia="Hiragino Sans GB"/>
          <w:color w:val="172033"/>
        </w:rPr>
        <w:t>首版建议采用以下简单架构：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前端：React + TypeScript。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图可视化：Cytoscape.js。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后端：常规 REST API；事件、关系和依据均采用事务写入。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数据库：PostgreSQL，使用外键和唯一约束保证映射一致性。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附件：对象存储；数据库只保存文件元数据和地址。</w:t>
      </w:r>
    </w:p>
    <w:p>
      <w:pPr/>
      <w:r>
        <w:rPr>
          <w:rFonts w:ascii="Hiragino Sans GB" w:hAnsi="Hiragino Sans GB" w:eastAsia="Hiragino Sans GB"/>
          <w:color w:val="172033"/>
        </w:rPr>
        <w:t>不要求首版引入图数据库。当前查询主要是列表、详情、相邻关系和全图读取，关系型数据库足以满足；未来只有在大规模多跳路径分析成为核心功能时再评估图数据库。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11. 关键业务规则</w:t>
      </w:r>
    </w:p>
    <w:p>
      <w:pPr>
        <w:keepLines/>
        <w:numPr>
          <w:ilvl w:val="0"/>
          <w:numId w:val="14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归档抽象事件后，它及其相关关系默认不在网络显示，但历史依据保留。</w:t>
      </w:r>
    </w:p>
    <w:p>
      <w:pPr>
        <w:keepLines/>
        <w:numPr>
          <w:ilvl w:val="0"/>
          <w:numId w:val="14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不能把已被因果依据引用的具体事件直接删除；应标记为失效并自动重算置信度。</w:t>
      </w:r>
    </w:p>
    <w:p>
      <w:pPr>
        <w:keepLines/>
        <w:numPr>
          <w:ilvl w:val="0"/>
          <w:numId w:val="14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编辑具体事件的归属前，必须先检查是否会破坏既有因果依据映射。</w:t>
      </w:r>
    </w:p>
    <w:p>
      <w:pPr>
        <w:keepLines/>
        <w:numPr>
          <w:ilvl w:val="0"/>
          <w:numId w:val="14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反向关系是独立关系，</w:t>
      </w:r>
      <w:r>
        <w:rPr>
          <w:rFonts w:ascii="Menlo" w:hAnsi="Menlo" w:eastAsia="Hiragino Sans GB"/>
          <w:color w:val="384250"/>
          <w:sz w:val="19"/>
        </w:rPr>
        <w:t>A → B</w:t>
      </w:r>
      <w:r>
        <w:rPr>
          <w:rFonts w:ascii="Hiragino Sans GB" w:hAnsi="Hiragino Sans GB" w:eastAsia="Hiragino Sans GB"/>
          <w:color w:val="172033"/>
        </w:rPr>
        <w:t xml:space="preserve"> 与 </w:t>
      </w:r>
      <w:r>
        <w:rPr>
          <w:rFonts w:ascii="Menlo" w:hAnsi="Menlo" w:eastAsia="Hiragino Sans GB"/>
          <w:color w:val="384250"/>
          <w:sz w:val="19"/>
        </w:rPr>
        <w:t>B → A</w:t>
      </w:r>
      <w:r>
        <w:rPr>
          <w:rFonts w:ascii="Hiragino Sans GB" w:hAnsi="Hiragino Sans GB" w:eastAsia="Hiragino Sans GB"/>
          <w:color w:val="172033"/>
        </w:rPr>
        <w:t xml:space="preserve"> 可以同时存在。</w:t>
      </w:r>
    </w:p>
    <w:p>
      <w:pPr>
        <w:keepLines/>
        <w:numPr>
          <w:ilvl w:val="0"/>
          <w:numId w:val="14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网络允许形成环，不能以“检测到环”为由阻止保存。</w:t>
      </w:r>
    </w:p>
    <w:p>
      <w:pPr>
        <w:keepLines/>
        <w:numPr>
          <w:ilvl w:val="0"/>
          <w:numId w:val="14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所有列表、详情和网络使用同一份置信度数据，避免展示不一致。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12. MVP 验收标准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能创建、编辑、归档抽象事件，并执行原子性提示与相似项提示。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能为抽象事件添加具体事件，且置信度即时更新。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能创建、编辑、归档有方向的抽象因果关系，并阻止同向重复关系。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能用两个匹配的具体事件创建具体因果依据，且关系置信度即时更新。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能在依据库检索具体事件和具体因果依据，并从抽象对象追溯到全部依据。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能在网络中查看全部有效抽象事件和关系，完成缩放、拖动、搜索、筛选、选中和重新布局。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节点和连线能明确展示方向、置信度和依据数量。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归档、失效或删除依据后，网络和详情中的置信度保持一致。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桌面端键盘可操作主要表单，文字与背景对比度满足 WCAG AA 的基本要求。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13. 首版明确不做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AI 自动拆分事件、自动发现关系或自动判断因果。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统计学因果推断、反事实模拟和实验设计。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多人审批、角色权限、评论和通知。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标签体系、事件本体继承、复杂条件关系和多原因组合关系。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大规模数据导入、公开分享、报表中心和移动端完整编辑。</w:t>
      </w:r>
    </w:p>
    <w:p>
      <w:pPr>
        <w:pStyle w:val="Heading1"/>
      </w:pPr>
      <w:r>
        <w:rPr>
          <w:rFonts w:ascii="Hiragino Sans GB" w:hAnsi="Hiragino Sans GB" w:eastAsia="Hiragino Sans GB"/>
          <w:color w:val="172033"/>
        </w:rPr>
        <w:t>14. 已采用的产品假设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一个具体事件在首版只归属于一个抽象事件。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一条抽象关系只连接一个原因事件和一个结果事件。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具体记录由用户录入并对其真实性负责，系统只校验结构一致性。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置信度只基于去重后的有效支持依据，不处理反例和来源质量差异。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color w:val="172033"/>
        </w:rPr>
        <w:t>“原子事件”的边界由当前分析目标决定，自动规则只提示，不代替人的判断。</w:t>
      </w:r>
    </w:p>
    <w:p>
      <w:pPr/>
      <w:r>
        <w:rPr>
          <w:rFonts w:ascii="Hiragino Sans GB" w:hAnsi="Hiragino Sans GB" w:eastAsia="Hiragino Sans GB"/>
          <w:color w:val="172033"/>
        </w:rPr>
        <w:t>如果后续需要引入反例、证据质量权重或复合原因，必须先升级置信度模型和数据结构，不能直接叠加到当前分数上。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7085"/>
        <w:sz w:val="18"/>
      </w:rPr>
      <w:t xml:space="preserve">第 </w:t>
    </w:r>
    <w:fldSimple w:instr="PAGE"/>
    <w:r>
      <w:rPr>
        <w:rFonts w:ascii="Hiragino Sans GB" w:hAnsi="Hiragino Sans GB" w:eastAsia="Hiragino Sans GB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b/>
        <w:color w:val="667085"/>
        <w:sz w:val="18"/>
      </w:rPr>
      <w:t>产品设计规范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Hiragino Sans GB" w:hAnsi="Hiragino Sans GB" w:eastAsia="Hiragino Sans GB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Hiragino Sans GB" w:hAnsi="Hiragino Sans GB" w:eastAsia="Hiragino Sans GB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Hiragino Sans GB" w:hAnsi="Hiragino Sans GB" w:eastAsia="Hiragino Sans GB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Hiragino Sans GB" w:hAnsi="Hiragino Sans GB" w:eastAsia="Hiragino Sans GB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s.cytoscap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因果网络应用设计规范</dc:title>
  <dc:subject>事件、因果关系、依据库与网络可视化设计</dc:subject>
  <dc:creator>Codex</dc:creator>
  <cp:keywords>因果网络, 产品设计, 应用规范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