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0000001">
      <w:pPr>
        <w:rPr>
          <w:rFonts w:ascii="Times New Roman" w:hAnsi="Times New Roman" w:eastAsia="Times New Roman" w:cs="Times New Roman"/>
          <w:b/>
          <w:bCs/>
          <w:sz w:val="24"/>
          <w:szCs w:val="24"/>
        </w:rPr>
      </w:pPr>
      <w:r>
        <w:drawing>
          <wp:anchor distT="0" distB="0" distL="114300" distR="114300" simplePos="0" relativeHeight="251659264" behindDoc="0" locked="0" layoutInCell="1" allowOverlap="1">
            <wp:simplePos x="0" y="0"/>
            <wp:positionH relativeFrom="page">
              <wp:align>right</wp:align>
            </wp:positionH>
            <wp:positionV relativeFrom="page">
              <wp:posOffset>69850</wp:posOffset>
            </wp:positionV>
            <wp:extent cx="7772400" cy="10076180"/>
            <wp:effectExtent l="0" t="0" r="0" b="0"/>
            <wp:wrapTopAndBottom/>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8"/>
                    <a:srcRect/>
                    <a:stretch>
                      <a:fillRect/>
                    </a:stretch>
                  </pic:blipFill>
                  <pic:spPr>
                    <a:xfrm>
                      <a:off x="0" y="0"/>
                      <a:ext cx="7772400" cy="10076180"/>
                    </a:xfrm>
                    <a:prstGeom prst="rect">
                      <a:avLst/>
                    </a:prstGeom>
                  </pic:spPr>
                </pic:pic>
              </a:graphicData>
            </a:graphic>
          </wp:anchor>
        </w:drawing>
      </w:r>
      <w:r>
        <w:br w:type="page"/>
      </w:r>
    </w:p>
    <w:p w14:paraId="00000002">
      <w:pPr>
        <w:jc w:val="center"/>
      </w:pPr>
      <w:r>
        <w:rPr>
          <w:rFonts w:ascii="Times New Roman" w:hAnsi="Times New Roman" w:eastAsia="Times New Roman" w:cs="Times New Roman"/>
          <w:b/>
          <w:bCs/>
          <w:sz w:val="24"/>
          <w:szCs w:val="24"/>
          <w:rtl w:val="0"/>
        </w:rPr>
        <w:t>SDC HACKATHON 2026</w:t>
      </w:r>
    </w:p>
    <w:p w14:paraId="00000003">
      <w:pPr>
        <w:jc w:val="center"/>
      </w:pPr>
      <w:r>
        <w:rPr>
          <w:rFonts w:ascii="Times New Roman" w:hAnsi="Times New Roman" w:eastAsia="Times New Roman" w:cs="Times New Roman"/>
          <w:b/>
          <w:bCs/>
          <w:sz w:val="40"/>
          <w:szCs w:val="40"/>
          <w:rtl w:val="0"/>
        </w:rPr>
        <w:t>Technical &amp; Tools Declaration</w:t>
      </w:r>
    </w:p>
    <w:p w14:paraId="00000004">
      <w:pPr>
        <w:jc w:val="center"/>
      </w:pPr>
      <w:r>
        <w:rPr>
          <w:rFonts w:ascii="Times New Roman" w:hAnsi="Times New Roman" w:eastAsia="Times New Roman" w:cs="Times New Roman"/>
          <w:sz w:val="24"/>
          <w:szCs w:val="24"/>
          <w:rtl w:val="0"/>
        </w:rPr>
        <w:t>Hosted by Xiamen University Malaysia (XMUM) AI Club</w:t>
      </w:r>
    </w:p>
    <w:p w14:paraId="00000005">
      <w:pPr>
        <w:spacing w:after="200"/>
        <w:jc w:val="center"/>
      </w:pPr>
      <w:r>
        <w:rPr>
          <w:rFonts w:ascii="Times New Roman" w:hAnsi="Times New Roman" w:eastAsia="Times New Roman" w:cs="Times New Roman"/>
          <w:sz w:val="24"/>
          <w:szCs w:val="24"/>
          <w:rtl w:val="0"/>
        </w:rPr>
        <w:t>Submission Deadline: [Insert date]</w:t>
      </w:r>
    </w:p>
    <w:tbl>
      <w:tblPr>
        <w:tblStyle w:val="1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49CF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Mar>
              <w:top w:w="140" w:type="dxa"/>
              <w:left w:w="180" w:type="dxa"/>
              <w:bottom w:w="140" w:type="dxa"/>
              <w:right w:w="180" w:type="dxa"/>
            </w:tcMar>
          </w:tcPr>
          <w:p w14:paraId="00000006">
            <w:pPr>
              <w:jc w:val="both"/>
            </w:pPr>
            <w:r>
              <w:rPr>
                <w:rFonts w:ascii="Times New Roman" w:hAnsi="Times New Roman" w:eastAsia="Times New Roman" w:cs="Times New Roman"/>
                <w:sz w:val="20"/>
                <w:szCs w:val="20"/>
                <w:rtl w:val="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00000007">
      <w:pPr>
        <w:spacing w:after="200"/>
        <w:jc w:val="both"/>
      </w:pPr>
    </w:p>
    <w:p w14:paraId="00000008">
      <w:pPr>
        <w:pStyle w:val="2"/>
        <w:pBdr>
          <w:bottom w:val="none" w:color="auto" w:sz="0" w:space="0"/>
        </w:pBdr>
        <w:jc w:val="both"/>
      </w:pPr>
      <w:r>
        <w:rPr>
          <w:rFonts w:ascii="Times New Roman" w:hAnsi="Times New Roman" w:eastAsia="Times New Roman" w:cs="Times New Roman"/>
          <w:color w:val="000000"/>
          <w:rtl w:val="0"/>
        </w:rPr>
        <w:t>1. Team &amp; Project Overview</w:t>
      </w:r>
    </w:p>
    <w:tbl>
      <w:tblPr>
        <w:tblStyle w:val="14"/>
        <w:tblW w:w="9360" w:type="dxa"/>
        <w:tblInd w:w="0" w:type="dxa"/>
        <w:tblLayout w:type="fixed"/>
        <w:tblCellMar>
          <w:top w:w="0" w:type="dxa"/>
          <w:left w:w="115" w:type="dxa"/>
          <w:bottom w:w="0" w:type="dxa"/>
          <w:right w:w="115" w:type="dxa"/>
        </w:tblCellMar>
      </w:tblPr>
      <w:tblGrid>
        <w:gridCol w:w="3200"/>
        <w:gridCol w:w="6160"/>
      </w:tblGrid>
      <w:tr w14:paraId="2C3366A1">
        <w:tblPrEx>
          <w:tblCellMar>
            <w:top w:w="0" w:type="dxa"/>
            <w:left w:w="115" w:type="dxa"/>
            <w:bottom w:w="0" w:type="dxa"/>
            <w:right w:w="115" w:type="dxa"/>
          </w:tblCellMar>
        </w:tblPrEx>
        <w:trPr>
          <w:trHeight w:val="520" w:hRule="atLeast"/>
        </w:trPr>
        <w:tc>
          <w:tcPr>
            <w:tcBorders>
              <w:top w:val="nil"/>
              <w:left w:val="nil"/>
              <w:bottom w:val="nil"/>
              <w:right w:val="nil"/>
            </w:tcBorders>
            <w:tcMar>
              <w:top w:w="60" w:type="dxa"/>
              <w:left w:w="0" w:type="dxa"/>
              <w:bottom w:w="60" w:type="dxa"/>
              <w:right w:w="80" w:type="dxa"/>
            </w:tcMar>
            <w:vAlign w:val="bottom"/>
          </w:tcPr>
          <w:p w14:paraId="00000009">
            <w:r>
              <w:rPr>
                <w:rFonts w:ascii="Times New Roman" w:hAnsi="Times New Roman" w:eastAsia="Times New Roman" w:cs="Times New Roman"/>
                <w:b/>
                <w:bCs/>
                <w:sz w:val="24"/>
                <w:szCs w:val="24"/>
                <w:rtl w:val="0"/>
              </w:rPr>
              <w:t>Team Name</w:t>
            </w:r>
          </w:p>
        </w:tc>
        <w:tc>
          <w:tcPr>
            <w:tcBorders>
              <w:top w:val="nil"/>
              <w:left w:val="nil"/>
              <w:bottom w:val="single" w:color="000000" w:sz="4" w:space="0"/>
              <w:right w:val="nil"/>
            </w:tcBorders>
            <w:tcMar>
              <w:top w:w="60" w:type="dxa"/>
              <w:left w:w="80" w:type="dxa"/>
              <w:bottom w:w="60" w:type="dxa"/>
              <w:right w:w="0" w:type="dxa"/>
            </w:tcMar>
          </w:tcPr>
          <w:p w14:paraId="0000000A">
            <w:pPr>
              <w:jc w:val="center"/>
            </w:pPr>
            <w:r>
              <w:rPr>
                <w:rtl w:val="0"/>
              </w:rPr>
              <w:t>418 I'm a Teapot</w:t>
            </w:r>
          </w:p>
        </w:tc>
      </w:tr>
      <w:tr w14:paraId="55A8371E">
        <w:tblPrEx>
          <w:tblCellMar>
            <w:top w:w="0" w:type="dxa"/>
            <w:left w:w="115" w:type="dxa"/>
            <w:bottom w:w="0" w:type="dxa"/>
            <w:right w:w="115" w:type="dxa"/>
          </w:tblCellMar>
        </w:tblPrEx>
        <w:trPr>
          <w:trHeight w:val="520" w:hRule="atLeast"/>
        </w:trPr>
        <w:tc>
          <w:tcPr>
            <w:tcBorders>
              <w:top w:val="nil"/>
              <w:left w:val="nil"/>
              <w:bottom w:val="nil"/>
              <w:right w:val="nil"/>
            </w:tcBorders>
            <w:tcMar>
              <w:top w:w="60" w:type="dxa"/>
              <w:left w:w="0" w:type="dxa"/>
              <w:bottom w:w="60" w:type="dxa"/>
              <w:right w:w="80" w:type="dxa"/>
            </w:tcMar>
            <w:vAlign w:val="bottom"/>
          </w:tcPr>
          <w:p w14:paraId="0000000B">
            <w:r>
              <w:rPr>
                <w:rFonts w:ascii="Times New Roman" w:hAnsi="Times New Roman" w:eastAsia="Times New Roman" w:cs="Times New Roman"/>
                <w:b/>
                <w:bCs/>
                <w:sz w:val="24"/>
                <w:szCs w:val="24"/>
                <w:rtl w:val="0"/>
              </w:rPr>
              <w:t>Project / Solution Name</w:t>
            </w:r>
          </w:p>
        </w:tc>
        <w:tc>
          <w:tcPr>
            <w:tcBorders>
              <w:top w:val="nil"/>
              <w:left w:val="nil"/>
              <w:bottom w:val="single" w:color="000000" w:sz="4" w:space="0"/>
              <w:right w:val="nil"/>
            </w:tcBorders>
            <w:tcMar>
              <w:top w:w="60" w:type="dxa"/>
              <w:left w:w="80" w:type="dxa"/>
              <w:bottom w:w="60" w:type="dxa"/>
              <w:right w:w="0" w:type="dxa"/>
            </w:tcMar>
          </w:tcPr>
          <w:p w14:paraId="0000000C">
            <w:pPr>
              <w:jc w:val="center"/>
            </w:pPr>
            <w:r>
              <w:rPr>
                <w:rtl w:val="0"/>
              </w:rPr>
              <w:t>AI Career Navigator</w:t>
            </w:r>
          </w:p>
        </w:tc>
      </w:tr>
      <w:tr w14:paraId="35057C25">
        <w:tblPrEx>
          <w:tblCellMar>
            <w:top w:w="0" w:type="dxa"/>
            <w:left w:w="115" w:type="dxa"/>
            <w:bottom w:w="0" w:type="dxa"/>
            <w:right w:w="115" w:type="dxa"/>
          </w:tblCellMar>
        </w:tblPrEx>
        <w:trPr>
          <w:trHeight w:val="520" w:hRule="atLeast"/>
        </w:trPr>
        <w:tc>
          <w:tcPr>
            <w:tcBorders>
              <w:top w:val="nil"/>
              <w:left w:val="nil"/>
              <w:bottom w:val="nil"/>
              <w:right w:val="nil"/>
            </w:tcBorders>
            <w:tcMar>
              <w:top w:w="60" w:type="dxa"/>
              <w:left w:w="0" w:type="dxa"/>
              <w:bottom w:w="60" w:type="dxa"/>
              <w:right w:w="80" w:type="dxa"/>
            </w:tcMar>
            <w:vAlign w:val="bottom"/>
          </w:tcPr>
          <w:p w14:paraId="0000000D">
            <w:r>
              <w:rPr>
                <w:rFonts w:ascii="Times New Roman" w:hAnsi="Times New Roman" w:eastAsia="Times New Roman" w:cs="Times New Roman"/>
                <w:b/>
                <w:bCs/>
                <w:sz w:val="24"/>
                <w:szCs w:val="24"/>
                <w:rtl w:val="0"/>
              </w:rPr>
              <w:t>Name (Leader)</w:t>
            </w:r>
          </w:p>
        </w:tc>
        <w:tc>
          <w:tcPr>
            <w:tcBorders>
              <w:top w:val="nil"/>
              <w:left w:val="nil"/>
              <w:bottom w:val="single" w:color="000000" w:sz="4" w:space="0"/>
              <w:right w:val="nil"/>
            </w:tcBorders>
            <w:tcMar>
              <w:top w:w="60" w:type="dxa"/>
              <w:left w:w="80" w:type="dxa"/>
              <w:bottom w:w="60" w:type="dxa"/>
              <w:right w:w="0" w:type="dxa"/>
            </w:tcMar>
          </w:tcPr>
          <w:p w14:paraId="0000000E">
            <w:pPr>
              <w:jc w:val="center"/>
            </w:pPr>
            <w:r>
              <w:rPr>
                <w:rtl w:val="0"/>
              </w:rPr>
              <w:t>Chen Xiangyu</w:t>
            </w:r>
          </w:p>
        </w:tc>
      </w:tr>
      <w:tr w14:paraId="04F0CE0E">
        <w:tblPrEx>
          <w:tblCellMar>
            <w:top w:w="0" w:type="dxa"/>
            <w:left w:w="115" w:type="dxa"/>
            <w:bottom w:w="0" w:type="dxa"/>
            <w:right w:w="115" w:type="dxa"/>
          </w:tblCellMar>
        </w:tblPrEx>
        <w:trPr>
          <w:trHeight w:val="520" w:hRule="atLeast"/>
        </w:trPr>
        <w:tc>
          <w:tcPr>
            <w:tcBorders>
              <w:top w:val="nil"/>
              <w:left w:val="nil"/>
              <w:bottom w:val="nil"/>
              <w:right w:val="nil"/>
            </w:tcBorders>
            <w:tcMar>
              <w:top w:w="60" w:type="dxa"/>
              <w:left w:w="0" w:type="dxa"/>
              <w:bottom w:w="60" w:type="dxa"/>
              <w:right w:w="80" w:type="dxa"/>
            </w:tcMar>
            <w:vAlign w:val="bottom"/>
          </w:tcPr>
          <w:p w14:paraId="0000000F">
            <w:r>
              <w:rPr>
                <w:rFonts w:ascii="Times New Roman" w:hAnsi="Times New Roman" w:eastAsia="Times New Roman" w:cs="Times New Roman"/>
                <w:b/>
                <w:bCs/>
                <w:sz w:val="24"/>
                <w:szCs w:val="24"/>
                <w:rtl w:val="0"/>
              </w:rPr>
              <w:t>Email &amp; Phone (Leader)</w:t>
            </w:r>
          </w:p>
        </w:tc>
        <w:tc>
          <w:tcPr>
            <w:tcBorders>
              <w:top w:val="nil"/>
              <w:left w:val="nil"/>
              <w:bottom w:val="single" w:color="000000" w:sz="4" w:space="0"/>
              <w:right w:val="nil"/>
            </w:tcBorders>
            <w:tcMar>
              <w:top w:w="60" w:type="dxa"/>
              <w:left w:w="80" w:type="dxa"/>
              <w:bottom w:w="60" w:type="dxa"/>
              <w:right w:w="0" w:type="dxa"/>
            </w:tcMar>
          </w:tcPr>
          <w:p w14:paraId="00000010">
            <w:pPr>
              <w:jc w:val="center"/>
            </w:pPr>
            <w:r>
              <w:rPr>
                <w:rtl w:val="0"/>
              </w:rPr>
              <w:t>CufoFlux@outlook.com +60173568532</w:t>
            </w:r>
          </w:p>
        </w:tc>
      </w:tr>
      <w:tr w14:paraId="3FA01AC2">
        <w:tblPrEx>
          <w:tblCellMar>
            <w:top w:w="0" w:type="dxa"/>
            <w:left w:w="115" w:type="dxa"/>
            <w:bottom w:w="0" w:type="dxa"/>
            <w:right w:w="115" w:type="dxa"/>
          </w:tblCellMar>
        </w:tblPrEx>
        <w:trPr>
          <w:trHeight w:val="520" w:hRule="atLeast"/>
        </w:trPr>
        <w:tc>
          <w:tcPr>
            <w:tcBorders>
              <w:top w:val="nil"/>
              <w:left w:val="nil"/>
              <w:bottom w:val="nil"/>
              <w:right w:val="nil"/>
            </w:tcBorders>
            <w:tcMar>
              <w:top w:w="60" w:type="dxa"/>
              <w:left w:w="0" w:type="dxa"/>
              <w:bottom w:w="60" w:type="dxa"/>
              <w:right w:w="80" w:type="dxa"/>
            </w:tcMar>
            <w:vAlign w:val="bottom"/>
          </w:tcPr>
          <w:p w14:paraId="00000011">
            <w:r>
              <w:rPr>
                <w:rFonts w:ascii="Times New Roman" w:hAnsi="Times New Roman" w:eastAsia="Times New Roman" w:cs="Times New Roman"/>
                <w:b/>
                <w:bCs/>
                <w:sz w:val="24"/>
                <w:szCs w:val="24"/>
                <w:rtl w:val="0"/>
              </w:rPr>
              <w:t>University Affiliation(s)</w:t>
            </w:r>
          </w:p>
        </w:tc>
        <w:tc>
          <w:tcPr>
            <w:tcBorders>
              <w:top w:val="nil"/>
              <w:left w:val="nil"/>
              <w:bottom w:val="single" w:color="000000" w:sz="4" w:space="0"/>
              <w:right w:val="nil"/>
            </w:tcBorders>
            <w:tcMar>
              <w:top w:w="60" w:type="dxa"/>
              <w:left w:w="80" w:type="dxa"/>
              <w:bottom w:w="60" w:type="dxa"/>
              <w:right w:w="0" w:type="dxa"/>
            </w:tcMar>
          </w:tcPr>
          <w:p w14:paraId="00000012">
            <w:pPr>
              <w:jc w:val="center"/>
            </w:pPr>
            <w:r>
              <w:rPr>
                <w:rtl w:val="0"/>
              </w:rPr>
              <w:t>Xiamen University Malaysia</w:t>
            </w:r>
          </w:p>
        </w:tc>
      </w:tr>
      <w:tr w14:paraId="7B7FF01D">
        <w:tblPrEx>
          <w:tblCellMar>
            <w:top w:w="0" w:type="dxa"/>
            <w:left w:w="115" w:type="dxa"/>
            <w:bottom w:w="0" w:type="dxa"/>
            <w:right w:w="115" w:type="dxa"/>
          </w:tblCellMar>
        </w:tblPrEx>
        <w:trPr>
          <w:trHeight w:val="520" w:hRule="atLeast"/>
        </w:trPr>
        <w:tc>
          <w:tcPr>
            <w:tcBorders>
              <w:top w:val="nil"/>
              <w:left w:val="nil"/>
              <w:bottom w:val="nil"/>
              <w:right w:val="nil"/>
            </w:tcBorders>
            <w:tcMar>
              <w:top w:w="60" w:type="dxa"/>
              <w:left w:w="0" w:type="dxa"/>
              <w:bottom w:w="60" w:type="dxa"/>
              <w:right w:w="80" w:type="dxa"/>
            </w:tcMar>
            <w:vAlign w:val="bottom"/>
          </w:tcPr>
          <w:p w14:paraId="00000013">
            <w:r>
              <w:rPr>
                <w:rFonts w:ascii="Times New Roman" w:hAnsi="Times New Roman" w:eastAsia="Times New Roman" w:cs="Times New Roman"/>
                <w:b/>
                <w:bCs/>
                <w:sz w:val="24"/>
                <w:szCs w:val="24"/>
                <w:rtl w:val="0"/>
              </w:rPr>
              <w:t>Live Prototype URL</w:t>
            </w:r>
          </w:p>
        </w:tc>
        <w:tc>
          <w:tcPr>
            <w:tcBorders>
              <w:top w:val="nil"/>
              <w:left w:val="nil"/>
              <w:bottom w:val="single" w:color="000000" w:sz="4" w:space="0"/>
              <w:right w:val="nil"/>
            </w:tcBorders>
            <w:tcMar>
              <w:top w:w="60" w:type="dxa"/>
              <w:left w:w="80" w:type="dxa"/>
              <w:bottom w:w="60" w:type="dxa"/>
              <w:right w:w="0" w:type="dxa"/>
            </w:tcMar>
          </w:tcPr>
          <w:p w14:paraId="00000014"/>
        </w:tc>
      </w:tr>
      <w:tr w14:paraId="1FCFDF43">
        <w:tblPrEx>
          <w:tblCellMar>
            <w:top w:w="0" w:type="dxa"/>
            <w:left w:w="115" w:type="dxa"/>
            <w:bottom w:w="0" w:type="dxa"/>
            <w:right w:w="115" w:type="dxa"/>
          </w:tblCellMar>
        </w:tblPrEx>
        <w:trPr>
          <w:trHeight w:val="520" w:hRule="atLeast"/>
        </w:trPr>
        <w:tc>
          <w:tcPr>
            <w:tcBorders>
              <w:top w:val="nil"/>
              <w:left w:val="nil"/>
              <w:bottom w:val="nil"/>
              <w:right w:val="nil"/>
            </w:tcBorders>
            <w:tcMar>
              <w:top w:w="60" w:type="dxa"/>
              <w:left w:w="0" w:type="dxa"/>
              <w:bottom w:w="60" w:type="dxa"/>
              <w:right w:w="80" w:type="dxa"/>
            </w:tcMar>
            <w:vAlign w:val="bottom"/>
          </w:tcPr>
          <w:p w14:paraId="00000015">
            <w:r>
              <w:rPr>
                <w:rFonts w:ascii="Times New Roman" w:hAnsi="Times New Roman" w:eastAsia="Times New Roman" w:cs="Times New Roman"/>
                <w:b/>
                <w:bCs/>
                <w:sz w:val="24"/>
                <w:szCs w:val="24"/>
                <w:rtl w:val="0"/>
              </w:rPr>
              <w:t>Code Repository URL (public / access granted to judges)</w:t>
            </w:r>
          </w:p>
        </w:tc>
        <w:tc>
          <w:tcPr>
            <w:tcBorders>
              <w:top w:val="nil"/>
              <w:left w:val="nil"/>
              <w:bottom w:val="single" w:color="000000" w:sz="4" w:space="0"/>
              <w:right w:val="nil"/>
            </w:tcBorders>
            <w:tcMar>
              <w:top w:w="60" w:type="dxa"/>
              <w:left w:w="80" w:type="dxa"/>
              <w:bottom w:w="60" w:type="dxa"/>
              <w:right w:w="0" w:type="dxa"/>
            </w:tcMar>
          </w:tcPr>
          <w:p w14:paraId="00000016">
            <w:pPr>
              <w:jc w:val="center"/>
            </w:pPr>
            <w:r>
              <w:rPr>
                <w:rtl w:val="0"/>
              </w:rPr>
              <w:t>https://github.com/Sleepy-Tianhao/SDC_Hackathon_418-I-m-a-Teapot_Submission</w:t>
            </w:r>
          </w:p>
        </w:tc>
      </w:tr>
    </w:tbl>
    <w:p w14:paraId="00000017">
      <w:pPr>
        <w:pStyle w:val="2"/>
        <w:pageBreakBefore/>
        <w:pBdr>
          <w:bottom w:val="none" w:color="auto" w:sz="0" w:space="0"/>
        </w:pBdr>
        <w:jc w:val="both"/>
      </w:pPr>
      <w:r>
        <w:rPr>
          <w:rFonts w:ascii="Times New Roman" w:hAnsi="Times New Roman" w:eastAsia="Times New Roman" w:cs="Times New Roman"/>
          <w:color w:val="000000"/>
          <w:rtl w:val="0"/>
        </w:rPr>
        <w:t>2. Architecture &amp; Technology Stack</w:t>
      </w:r>
    </w:p>
    <w:p w14:paraId="00000018">
      <w:pPr>
        <w:pStyle w:val="3"/>
        <w:jc w:val="both"/>
      </w:pPr>
      <w:r>
        <w:rPr>
          <w:rFonts w:ascii="Times New Roman" w:hAnsi="Times New Roman" w:eastAsia="Times New Roman" w:cs="Times New Roman"/>
          <w:color w:val="000000"/>
          <w:sz w:val="24"/>
          <w:szCs w:val="24"/>
          <w:rtl w:val="0"/>
        </w:rPr>
        <w:t>2.1 System Architecture Overview</w:t>
      </w:r>
    </w:p>
    <w:p w14:paraId="00000019">
      <w:pPr>
        <w:keepNext/>
        <w:spacing w:after="120"/>
        <w:jc w:val="both"/>
      </w:pPr>
      <w:r>
        <w:rPr>
          <w:rFonts w:ascii="Cardo" w:hAnsi="Cardo" w:eastAsia="Cardo" w:cs="Cardo"/>
          <w:i/>
          <w:iCs/>
          <w:sz w:val="24"/>
          <w:szCs w:val="24"/>
          <w:rtl w:val="0"/>
        </w:rPr>
        <w:t>Describe how the components declared in this document connect end-to-end (e.g., user interface → backend → AI model/API → database → cloud hosting). Attach a system block diagram as an appendix if available.</w:t>
      </w:r>
    </w:p>
    <w:p w14:paraId="0000001A">
      <w:pPr>
        <w:spacing w:after="120"/>
        <w:jc w:val="both"/>
      </w:pPr>
      <w:r>
        <w:rPr>
          <w:rFonts w:ascii="Times New Roman" w:hAnsi="Times New Roman" w:eastAsia="Times New Roman" w:cs="Times New Roman"/>
          <w:b/>
          <w:bCs/>
          <w:i/>
          <w:iCs/>
          <w:sz w:val="24"/>
          <w:szCs w:val="24"/>
          <w:rtl w:val="0"/>
        </w:rPr>
        <w:t>[Maximum 200 words]</w:t>
      </w:r>
    </w:p>
    <w:tbl>
      <w:tblPr>
        <w:tblStyle w:val="1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93D60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600" w:hRule="atLeast"/>
        </w:trPr>
        <w:tc>
          <w:tcPr>
            <w:tcMar>
              <w:top w:w="140" w:type="dxa"/>
              <w:left w:w="160" w:type="dxa"/>
              <w:bottom w:w="140" w:type="dxa"/>
              <w:right w:w="160" w:type="dxa"/>
            </w:tcMar>
          </w:tcPr>
          <w:p w14:paraId="0000001B"/>
        </w:tc>
      </w:tr>
    </w:tbl>
    <w:p w14:paraId="0000001C">
      <w:pPr>
        <w:spacing w:after="120"/>
        <w:jc w:val="both"/>
      </w:pPr>
    </w:p>
    <w:p w14:paraId="0000001D">
      <w:pPr>
        <w:pStyle w:val="3"/>
        <w:jc w:val="both"/>
      </w:pPr>
      <w:r>
        <w:rPr>
          <w:rFonts w:ascii="Times New Roman" w:hAnsi="Times New Roman" w:eastAsia="Times New Roman" w:cs="Times New Roman"/>
          <w:color w:val="000000"/>
          <w:sz w:val="24"/>
          <w:szCs w:val="24"/>
          <w:rtl w:val="0"/>
        </w:rPr>
        <w:t>2.2 Languages, Frameworks &amp; Libraries</w:t>
      </w:r>
    </w:p>
    <w:p w14:paraId="0000001E">
      <w:pPr>
        <w:keepNext/>
        <w:spacing w:after="120"/>
        <w:jc w:val="both"/>
      </w:pPr>
      <w:r>
        <w:rPr>
          <w:rFonts w:ascii="Times New Roman" w:hAnsi="Times New Roman" w:eastAsia="Times New Roman" w:cs="Times New Roman"/>
          <w:i/>
          <w:iCs/>
          <w:sz w:val="24"/>
          <w:szCs w:val="24"/>
          <w:rtl w:val="0"/>
        </w:rPr>
        <w:t>List the main programming languages, frameworks, and third-party libraries that your team did not create. Open-source use is permitted provided it is declared and properly licensed/attributed.</w:t>
      </w:r>
    </w:p>
    <w:tbl>
      <w:tblPr>
        <w:tblStyle w:val="1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300"/>
        <w:gridCol w:w="3960"/>
        <w:gridCol w:w="2100"/>
      </w:tblGrid>
      <w:tr w14:paraId="21330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shd w:val="clear" w:color="auto" w:fill="F2F2F2"/>
            <w:tcMar>
              <w:top w:w="100" w:type="dxa"/>
              <w:left w:w="140" w:type="dxa"/>
              <w:bottom w:w="100" w:type="dxa"/>
              <w:right w:w="100" w:type="dxa"/>
            </w:tcMar>
          </w:tcPr>
          <w:p w14:paraId="0000001F">
            <w:r>
              <w:rPr>
                <w:rFonts w:ascii="Times New Roman" w:hAnsi="Times New Roman" w:eastAsia="Times New Roman" w:cs="Times New Roman"/>
                <w:b/>
                <w:bCs/>
                <w:sz w:val="22"/>
                <w:szCs w:val="22"/>
                <w:rtl w:val="0"/>
              </w:rPr>
              <w:t>Name &amp; Version</w:t>
            </w:r>
          </w:p>
        </w:tc>
        <w:tc>
          <w:tcPr>
            <w:shd w:val="clear" w:color="auto" w:fill="F2F2F2"/>
            <w:tcMar>
              <w:top w:w="100" w:type="dxa"/>
              <w:left w:w="140" w:type="dxa"/>
              <w:bottom w:w="100" w:type="dxa"/>
              <w:right w:w="100" w:type="dxa"/>
            </w:tcMar>
          </w:tcPr>
          <w:p w14:paraId="00000020">
            <w:r>
              <w:rPr>
                <w:rFonts w:ascii="Times New Roman" w:hAnsi="Times New Roman" w:eastAsia="Times New Roman" w:cs="Times New Roman"/>
                <w:b/>
                <w:bCs/>
                <w:sz w:val="22"/>
                <w:szCs w:val="22"/>
                <w:rtl w:val="0"/>
              </w:rPr>
              <w:t>Purpose in Project</w:t>
            </w:r>
          </w:p>
        </w:tc>
        <w:tc>
          <w:tcPr>
            <w:shd w:val="clear" w:color="auto" w:fill="F2F2F2"/>
            <w:tcMar>
              <w:top w:w="100" w:type="dxa"/>
              <w:left w:w="140" w:type="dxa"/>
              <w:bottom w:w="100" w:type="dxa"/>
              <w:right w:w="100" w:type="dxa"/>
            </w:tcMar>
          </w:tcPr>
          <w:p w14:paraId="00000021">
            <w:r>
              <w:rPr>
                <w:rFonts w:ascii="Times New Roman" w:hAnsi="Times New Roman" w:eastAsia="Times New Roman" w:cs="Times New Roman"/>
                <w:b/>
                <w:bCs/>
                <w:sz w:val="22"/>
                <w:szCs w:val="22"/>
                <w:rtl w:val="0"/>
              </w:rPr>
              <w:t>License</w:t>
            </w:r>
          </w:p>
        </w:tc>
      </w:tr>
      <w:tr w14:paraId="3BD06F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22">
            <w:r>
              <w:rPr>
                <w:rtl w:val="0"/>
              </w:rPr>
              <w:t>JavaScript</w:t>
            </w:r>
          </w:p>
        </w:tc>
        <w:tc>
          <w:tcPr>
            <w:tcMar>
              <w:top w:w="100" w:type="dxa"/>
              <w:left w:w="140" w:type="dxa"/>
              <w:bottom w:w="100" w:type="dxa"/>
              <w:right w:w="100" w:type="dxa"/>
            </w:tcMar>
          </w:tcPr>
          <w:p w14:paraId="00000023">
            <w:r>
              <w:rPr>
                <w:rtl w:val="0"/>
              </w:rPr>
              <w:t>Enhance the interactivity and dynamism of web pages</w:t>
            </w:r>
          </w:p>
        </w:tc>
        <w:tc>
          <w:tcPr>
            <w:tcMar>
              <w:top w:w="100" w:type="dxa"/>
              <w:left w:w="140" w:type="dxa"/>
              <w:bottom w:w="100" w:type="dxa"/>
              <w:right w:w="100" w:type="dxa"/>
            </w:tcMar>
          </w:tcPr>
          <w:p w14:paraId="00000024">
            <w:r>
              <w:rPr>
                <w:rtl w:val="0"/>
              </w:rPr>
              <w:t>ECMAScript Specification License</w:t>
            </w:r>
          </w:p>
        </w:tc>
      </w:tr>
      <w:tr w14:paraId="338E2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25">
            <w:r>
              <w:rPr>
                <w:rtl w:val="0"/>
              </w:rPr>
              <w:t>Python</w:t>
            </w:r>
          </w:p>
        </w:tc>
        <w:tc>
          <w:tcPr>
            <w:tcMar>
              <w:top w:w="100" w:type="dxa"/>
              <w:left w:w="140" w:type="dxa"/>
              <w:bottom w:w="100" w:type="dxa"/>
              <w:right w:w="100" w:type="dxa"/>
            </w:tcMar>
          </w:tcPr>
          <w:p w14:paraId="00000026">
            <w:r>
              <w:rPr>
                <w:rtl w:val="0"/>
              </w:rPr>
              <w:t>Language/runtime for the whole backend.</w:t>
            </w:r>
          </w:p>
        </w:tc>
        <w:tc>
          <w:tcPr>
            <w:tcMar>
              <w:top w:w="100" w:type="dxa"/>
              <w:left w:w="140" w:type="dxa"/>
              <w:bottom w:w="100" w:type="dxa"/>
              <w:right w:w="100" w:type="dxa"/>
            </w:tcMar>
          </w:tcPr>
          <w:p w14:paraId="00000027">
            <w:r>
              <w:rPr>
                <w:rtl w:val="0"/>
              </w:rPr>
              <w:t>Python Software Foundation License Version 2</w:t>
            </w:r>
          </w:p>
        </w:tc>
      </w:tr>
      <w:tr w14:paraId="173F54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28">
            <w:r>
              <w:rPr>
                <w:rtl w:val="0"/>
              </w:rPr>
              <w:t>CSS</w:t>
            </w:r>
          </w:p>
        </w:tc>
        <w:tc>
          <w:tcPr>
            <w:tcMar>
              <w:top w:w="100" w:type="dxa"/>
              <w:left w:w="140" w:type="dxa"/>
              <w:bottom w:w="100" w:type="dxa"/>
              <w:right w:w="100" w:type="dxa"/>
            </w:tcMar>
          </w:tcPr>
          <w:p w14:paraId="00000029">
            <w:r>
              <w:rPr>
                <w:rtl w:val="0"/>
              </w:rPr>
              <w:t>Add styles to HTML or XML documents, including controlling colors, fonts, layouts, spacing, animations, and other visual presentations, in order to separate structure from style in web pages, enhancing maintainability and reusability.</w:t>
            </w:r>
          </w:p>
        </w:tc>
        <w:tc>
          <w:tcPr>
            <w:tcMar>
              <w:top w:w="100" w:type="dxa"/>
              <w:left w:w="140" w:type="dxa"/>
              <w:bottom w:w="100" w:type="dxa"/>
              <w:right w:w="100" w:type="dxa"/>
            </w:tcMar>
          </w:tcPr>
          <w:p w14:paraId="0000002A">
            <w:r>
              <w:rPr>
                <w:rtl w:val="0"/>
              </w:rPr>
              <w:t>MIT License</w:t>
            </w:r>
          </w:p>
        </w:tc>
      </w:tr>
      <w:tr w14:paraId="330CF6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2B">
            <w:r>
              <w:rPr>
                <w:rtl w:val="0"/>
              </w:rPr>
              <w:t>HTML</w:t>
            </w:r>
          </w:p>
        </w:tc>
        <w:tc>
          <w:tcPr>
            <w:tcMar>
              <w:top w:w="100" w:type="dxa"/>
              <w:left w:w="140" w:type="dxa"/>
              <w:bottom w:w="100" w:type="dxa"/>
              <w:right w:w="100" w:type="dxa"/>
            </w:tcMar>
          </w:tcPr>
          <w:p w14:paraId="0000002C">
            <w:r>
              <w:rPr>
                <w:rtl w:val="0"/>
              </w:rPr>
              <w:t>Create a Web Page</w:t>
            </w:r>
          </w:p>
        </w:tc>
        <w:tc>
          <w:tcPr>
            <w:tcMar>
              <w:top w:w="100" w:type="dxa"/>
              <w:left w:w="140" w:type="dxa"/>
              <w:bottom w:w="100" w:type="dxa"/>
              <w:right w:w="100" w:type="dxa"/>
            </w:tcMar>
          </w:tcPr>
          <w:p w14:paraId="0000002D">
            <w:r>
              <w:rPr>
                <w:rtl w:val="0"/>
              </w:rPr>
              <w:t>Creative Commons Attribution 4.0 International License</w:t>
            </w:r>
          </w:p>
        </w:tc>
      </w:tr>
      <w:tr w14:paraId="0F3D60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2E">
            <w:r>
              <w:rPr>
                <w:rtl w:val="0"/>
              </w:rPr>
              <w:t>FastAPI</w:t>
            </w:r>
          </w:p>
        </w:tc>
        <w:tc>
          <w:tcPr>
            <w:tcMar>
              <w:top w:w="100" w:type="dxa"/>
              <w:left w:w="140" w:type="dxa"/>
              <w:bottom w:w="100" w:type="dxa"/>
              <w:right w:w="100" w:type="dxa"/>
            </w:tcMar>
          </w:tcPr>
          <w:p w14:paraId="0000002F">
            <w:r>
              <w:rPr>
                <w:rtl w:val="0"/>
              </w:rPr>
              <w:t>Modern Frameworks for Web APIs / Backend Services</w:t>
            </w:r>
          </w:p>
        </w:tc>
        <w:tc>
          <w:tcPr>
            <w:tcMar>
              <w:top w:w="100" w:type="dxa"/>
              <w:left w:w="140" w:type="dxa"/>
              <w:bottom w:w="100" w:type="dxa"/>
              <w:right w:w="100" w:type="dxa"/>
            </w:tcMar>
          </w:tcPr>
          <w:p w14:paraId="00000030">
            <w:r>
              <w:rPr>
                <w:rtl w:val="0"/>
              </w:rPr>
              <w:t>MIT License</w:t>
            </w:r>
          </w:p>
        </w:tc>
      </w:tr>
      <w:tr w14:paraId="740B02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31">
            <w:r>
              <w:rPr>
                <w:rtl w:val="0"/>
              </w:rPr>
              <w:t>uvicorn</w:t>
            </w:r>
          </w:p>
        </w:tc>
        <w:tc>
          <w:tcPr>
            <w:tcMar>
              <w:top w:w="100" w:type="dxa"/>
              <w:left w:w="140" w:type="dxa"/>
              <w:bottom w:w="100" w:type="dxa"/>
              <w:right w:w="100" w:type="dxa"/>
            </w:tcMar>
          </w:tcPr>
          <w:p w14:paraId="00000032">
            <w:r>
              <w:rPr>
                <w:rtl w:val="0"/>
              </w:rPr>
              <w:t>ASGI server that runs the FastAPI app</w:t>
            </w:r>
          </w:p>
        </w:tc>
        <w:tc>
          <w:tcPr>
            <w:tcMar>
              <w:top w:w="100" w:type="dxa"/>
              <w:left w:w="140" w:type="dxa"/>
              <w:bottom w:w="100" w:type="dxa"/>
              <w:right w:w="100" w:type="dxa"/>
            </w:tcMar>
          </w:tcPr>
          <w:p w14:paraId="00000033">
            <w:r>
              <w:rPr>
                <w:rtl w:val="0"/>
              </w:rPr>
              <w:t>BSD 3‑Clause license</w:t>
            </w:r>
          </w:p>
        </w:tc>
      </w:tr>
      <w:tr w14:paraId="27B2A7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34">
            <w:r>
              <w:rPr>
                <w:rtl w:val="0"/>
              </w:rPr>
              <w:t>pydantic</w:t>
            </w:r>
          </w:p>
        </w:tc>
        <w:tc>
          <w:tcPr>
            <w:tcMar>
              <w:top w:w="100" w:type="dxa"/>
              <w:left w:w="140" w:type="dxa"/>
              <w:bottom w:w="100" w:type="dxa"/>
              <w:right w:w="100" w:type="dxa"/>
            </w:tcMar>
          </w:tcPr>
          <w:p w14:paraId="00000035">
            <w:r>
              <w:rPr>
                <w:rtl w:val="0"/>
              </w:rPr>
              <w:t>Intended as FastAPI's request/response validation layer</w:t>
            </w:r>
          </w:p>
        </w:tc>
        <w:tc>
          <w:tcPr>
            <w:tcMar>
              <w:top w:w="100" w:type="dxa"/>
              <w:left w:w="140" w:type="dxa"/>
              <w:bottom w:w="100" w:type="dxa"/>
              <w:right w:w="100" w:type="dxa"/>
            </w:tcMar>
          </w:tcPr>
          <w:p w14:paraId="00000036">
            <w:r>
              <w:rPr>
                <w:rtl w:val="0"/>
              </w:rPr>
              <w:t>MIT License</w:t>
            </w:r>
          </w:p>
        </w:tc>
      </w:tr>
      <w:tr w14:paraId="156531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37">
            <w:r>
              <w:rPr>
                <w:rtl w:val="0"/>
              </w:rPr>
              <w:t>pandas</w:t>
            </w:r>
          </w:p>
        </w:tc>
        <w:tc>
          <w:tcPr>
            <w:tcMar>
              <w:top w:w="100" w:type="dxa"/>
              <w:left w:w="140" w:type="dxa"/>
              <w:bottom w:w="100" w:type="dxa"/>
              <w:right w:w="100" w:type="dxa"/>
            </w:tcMar>
          </w:tcPr>
          <w:p w14:paraId="00000038">
            <w:r>
              <w:rPr>
                <w:rtl w:val="0"/>
              </w:rPr>
              <w:t>Intended for ingesting the labour-market tables</w:t>
            </w:r>
          </w:p>
        </w:tc>
        <w:tc>
          <w:tcPr>
            <w:tcMar>
              <w:top w:w="100" w:type="dxa"/>
              <w:left w:w="140" w:type="dxa"/>
              <w:bottom w:w="100" w:type="dxa"/>
              <w:right w:w="100" w:type="dxa"/>
            </w:tcMar>
          </w:tcPr>
          <w:p w14:paraId="00000039">
            <w:r>
              <w:rPr>
                <w:rtl w:val="0"/>
              </w:rPr>
              <w:t>BSD 3‑Clause License</w:t>
            </w:r>
          </w:p>
        </w:tc>
      </w:tr>
      <w:tr w14:paraId="4B3B7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3A">
            <w:r>
              <w:rPr>
                <w:rtl w:val="0"/>
              </w:rPr>
              <w:t>openpyxl</w:t>
            </w:r>
          </w:p>
        </w:tc>
        <w:tc>
          <w:tcPr>
            <w:tcMar>
              <w:top w:w="100" w:type="dxa"/>
              <w:left w:w="140" w:type="dxa"/>
              <w:bottom w:w="100" w:type="dxa"/>
              <w:right w:w="100" w:type="dxa"/>
            </w:tcMar>
          </w:tcPr>
          <w:p w14:paraId="0000003B">
            <w:r>
              <w:rPr>
                <w:rtl w:val="0"/>
              </w:rPr>
              <w:t>Excel engine behind pandas.read_excel for malaysia_graduate_labour_market.xlsx.</w:t>
            </w:r>
          </w:p>
        </w:tc>
        <w:tc>
          <w:tcPr>
            <w:tcMar>
              <w:top w:w="100" w:type="dxa"/>
              <w:left w:w="140" w:type="dxa"/>
              <w:bottom w:w="100" w:type="dxa"/>
              <w:right w:w="100" w:type="dxa"/>
            </w:tcMar>
          </w:tcPr>
          <w:p w14:paraId="0000003C">
            <w:r>
              <w:rPr>
                <w:rtl w:val="0"/>
              </w:rPr>
              <w:t>MIT License</w:t>
            </w:r>
          </w:p>
        </w:tc>
      </w:tr>
    </w:tbl>
    <w:p w14:paraId="0000003D">
      <w:pPr>
        <w:pStyle w:val="2"/>
        <w:pageBreakBefore/>
        <w:pBdr>
          <w:bottom w:val="none" w:color="auto" w:sz="0" w:space="0"/>
        </w:pBdr>
        <w:jc w:val="both"/>
      </w:pPr>
      <w:r>
        <w:rPr>
          <w:rFonts w:ascii="Times New Roman" w:hAnsi="Times New Roman" w:eastAsia="Times New Roman" w:cs="Times New Roman"/>
          <w:color w:val="000000"/>
          <w:rtl w:val="0"/>
        </w:rPr>
        <w:t>3. APIs &amp; Cloud Services</w:t>
      </w:r>
    </w:p>
    <w:p w14:paraId="0000003E">
      <w:pPr>
        <w:pStyle w:val="3"/>
        <w:jc w:val="both"/>
      </w:pPr>
      <w:r>
        <w:rPr>
          <w:rFonts w:ascii="Times New Roman" w:hAnsi="Times New Roman" w:eastAsia="Times New Roman" w:cs="Times New Roman"/>
          <w:color w:val="000000"/>
          <w:sz w:val="24"/>
          <w:szCs w:val="24"/>
          <w:rtl w:val="0"/>
        </w:rPr>
        <w:t>3.1 External APIs</w:t>
      </w:r>
    </w:p>
    <w:p w14:paraId="0000003F">
      <w:pPr>
        <w:keepNext/>
        <w:spacing w:after="120"/>
        <w:jc w:val="both"/>
      </w:pPr>
      <w:r>
        <w:rPr>
          <w:rFonts w:ascii="Times New Roman" w:hAnsi="Times New Roman" w:eastAsia="Times New Roman" w:cs="Times New Roman"/>
          <w:i/>
          <w:iCs/>
          <w:sz w:val="24"/>
          <w:szCs w:val="24"/>
          <w:rtl w:val="0"/>
        </w:rPr>
        <w:t>List every external API your solution calls (GenAI, maps, payments, messaging, data feeds, etc.). Do not include API keys or secrets in this document.</w:t>
      </w:r>
    </w:p>
    <w:tbl>
      <w:tblPr>
        <w:tblStyle w:val="1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000"/>
        <w:gridCol w:w="3860"/>
        <w:gridCol w:w="2500"/>
      </w:tblGrid>
      <w:tr w14:paraId="15861E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shd w:val="clear" w:color="auto" w:fill="F2F2F2"/>
            <w:tcMar>
              <w:top w:w="100" w:type="dxa"/>
              <w:left w:w="140" w:type="dxa"/>
              <w:bottom w:w="100" w:type="dxa"/>
              <w:right w:w="100" w:type="dxa"/>
            </w:tcMar>
          </w:tcPr>
          <w:p w14:paraId="00000040">
            <w:r>
              <w:rPr>
                <w:rFonts w:ascii="Times New Roman" w:hAnsi="Times New Roman" w:eastAsia="Times New Roman" w:cs="Times New Roman"/>
                <w:b/>
                <w:bCs/>
                <w:sz w:val="22"/>
                <w:szCs w:val="22"/>
                <w:rtl w:val="0"/>
              </w:rPr>
              <w:t>API &amp; Provider</w:t>
            </w:r>
          </w:p>
        </w:tc>
        <w:tc>
          <w:tcPr>
            <w:shd w:val="clear" w:color="auto" w:fill="F2F2F2"/>
            <w:tcMar>
              <w:top w:w="100" w:type="dxa"/>
              <w:left w:w="140" w:type="dxa"/>
              <w:bottom w:w="100" w:type="dxa"/>
              <w:right w:w="100" w:type="dxa"/>
            </w:tcMar>
          </w:tcPr>
          <w:p w14:paraId="00000041">
            <w:r>
              <w:rPr>
                <w:rFonts w:ascii="Times New Roman" w:hAnsi="Times New Roman" w:eastAsia="Times New Roman" w:cs="Times New Roman"/>
                <w:b/>
                <w:bCs/>
                <w:sz w:val="22"/>
                <w:szCs w:val="22"/>
                <w:rtl w:val="0"/>
              </w:rPr>
              <w:t>Purpose in Project</w:t>
            </w:r>
          </w:p>
        </w:tc>
        <w:tc>
          <w:tcPr>
            <w:shd w:val="clear" w:color="auto" w:fill="F2F2F2"/>
            <w:tcMar>
              <w:top w:w="100" w:type="dxa"/>
              <w:left w:w="140" w:type="dxa"/>
              <w:bottom w:w="100" w:type="dxa"/>
              <w:right w:w="100" w:type="dxa"/>
            </w:tcMar>
          </w:tcPr>
          <w:p w14:paraId="00000042">
            <w:r>
              <w:rPr>
                <w:rFonts w:ascii="Times New Roman" w:hAnsi="Times New Roman" w:eastAsia="Times New Roman" w:cs="Times New Roman"/>
                <w:b/>
                <w:bCs/>
                <w:sz w:val="22"/>
                <w:szCs w:val="22"/>
                <w:rtl w:val="0"/>
              </w:rPr>
              <w:t>Access Tier (free / paid / sponsor-provided)</w:t>
            </w:r>
          </w:p>
        </w:tc>
      </w:tr>
      <w:tr w14:paraId="5E58FD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43">
            <w:r>
              <w:rPr>
                <w:rtl w:val="0"/>
              </w:rPr>
              <w:t>DeepSeek: https://api.deepseek.com</w:t>
            </w:r>
          </w:p>
        </w:tc>
        <w:tc>
          <w:tcPr>
            <w:tcMar>
              <w:top w:w="100" w:type="dxa"/>
              <w:left w:w="140" w:type="dxa"/>
              <w:bottom w:w="100" w:type="dxa"/>
              <w:right w:w="100" w:type="dxa"/>
            </w:tcMar>
          </w:tcPr>
          <w:p w14:paraId="00000044">
            <w:r>
              <w:rPr>
                <w:rtl w:val="0"/>
              </w:rPr>
              <w:t>Analyze user data and generate feedback.</w:t>
            </w:r>
          </w:p>
        </w:tc>
        <w:tc>
          <w:tcPr>
            <w:tcMar>
              <w:top w:w="100" w:type="dxa"/>
              <w:left w:w="140" w:type="dxa"/>
              <w:bottom w:w="100" w:type="dxa"/>
              <w:right w:w="100" w:type="dxa"/>
            </w:tcMar>
          </w:tcPr>
          <w:p w14:paraId="00000045">
            <w:r>
              <w:rPr>
                <w:rtl w:val="0"/>
              </w:rPr>
              <w:t>paid</w:t>
            </w:r>
          </w:p>
        </w:tc>
      </w:tr>
      <w:tr w14:paraId="3FA8F8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46"/>
        </w:tc>
        <w:tc>
          <w:tcPr>
            <w:tcMar>
              <w:top w:w="100" w:type="dxa"/>
              <w:left w:w="140" w:type="dxa"/>
              <w:bottom w:w="100" w:type="dxa"/>
              <w:right w:w="100" w:type="dxa"/>
            </w:tcMar>
          </w:tcPr>
          <w:p w14:paraId="00000047"/>
        </w:tc>
        <w:tc>
          <w:tcPr>
            <w:tcMar>
              <w:top w:w="100" w:type="dxa"/>
              <w:left w:w="140" w:type="dxa"/>
              <w:bottom w:w="100" w:type="dxa"/>
              <w:right w:w="100" w:type="dxa"/>
            </w:tcMar>
          </w:tcPr>
          <w:p w14:paraId="00000048"/>
        </w:tc>
      </w:tr>
      <w:tr w14:paraId="0284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49"/>
        </w:tc>
        <w:tc>
          <w:tcPr>
            <w:tcMar>
              <w:top w:w="100" w:type="dxa"/>
              <w:left w:w="140" w:type="dxa"/>
              <w:bottom w:w="100" w:type="dxa"/>
              <w:right w:w="100" w:type="dxa"/>
            </w:tcMar>
          </w:tcPr>
          <w:p w14:paraId="0000004A"/>
        </w:tc>
        <w:tc>
          <w:tcPr>
            <w:tcMar>
              <w:top w:w="100" w:type="dxa"/>
              <w:left w:w="140" w:type="dxa"/>
              <w:bottom w:w="100" w:type="dxa"/>
              <w:right w:w="100" w:type="dxa"/>
            </w:tcMar>
          </w:tcPr>
          <w:p w14:paraId="0000004B"/>
        </w:tc>
      </w:tr>
      <w:tr w14:paraId="4513BC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4C"/>
        </w:tc>
        <w:tc>
          <w:tcPr>
            <w:tcMar>
              <w:top w:w="100" w:type="dxa"/>
              <w:left w:w="140" w:type="dxa"/>
              <w:bottom w:w="100" w:type="dxa"/>
              <w:right w:w="100" w:type="dxa"/>
            </w:tcMar>
          </w:tcPr>
          <w:p w14:paraId="0000004D"/>
        </w:tc>
        <w:tc>
          <w:tcPr>
            <w:tcMar>
              <w:top w:w="100" w:type="dxa"/>
              <w:left w:w="140" w:type="dxa"/>
              <w:bottom w:w="100" w:type="dxa"/>
              <w:right w:w="100" w:type="dxa"/>
            </w:tcMar>
          </w:tcPr>
          <w:p w14:paraId="0000004E"/>
        </w:tc>
      </w:tr>
      <w:tr w14:paraId="654B48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4F"/>
        </w:tc>
        <w:tc>
          <w:tcPr>
            <w:tcMar>
              <w:top w:w="100" w:type="dxa"/>
              <w:left w:w="140" w:type="dxa"/>
              <w:bottom w:w="100" w:type="dxa"/>
              <w:right w:w="100" w:type="dxa"/>
            </w:tcMar>
          </w:tcPr>
          <w:p w14:paraId="00000050"/>
        </w:tc>
        <w:tc>
          <w:tcPr>
            <w:tcMar>
              <w:top w:w="100" w:type="dxa"/>
              <w:left w:w="140" w:type="dxa"/>
              <w:bottom w:w="100" w:type="dxa"/>
              <w:right w:w="100" w:type="dxa"/>
            </w:tcMar>
          </w:tcPr>
          <w:p w14:paraId="00000051"/>
        </w:tc>
      </w:tr>
    </w:tbl>
    <w:p w14:paraId="00000052">
      <w:pPr>
        <w:spacing w:after="120"/>
        <w:jc w:val="both"/>
      </w:pPr>
    </w:p>
    <w:p w14:paraId="00000053">
      <w:pPr>
        <w:pStyle w:val="3"/>
        <w:jc w:val="both"/>
      </w:pPr>
      <w:r>
        <w:rPr>
          <w:rFonts w:ascii="Times New Roman" w:hAnsi="Times New Roman" w:eastAsia="Times New Roman" w:cs="Times New Roman"/>
          <w:color w:val="000000"/>
          <w:sz w:val="24"/>
          <w:szCs w:val="24"/>
          <w:rtl w:val="0"/>
        </w:rPr>
        <w:t>3.2 Cloud Platforms &amp; Deployment</w:t>
      </w:r>
    </w:p>
    <w:p w14:paraId="00000054">
      <w:pPr>
        <w:keepNext/>
        <w:spacing w:after="120"/>
        <w:jc w:val="both"/>
      </w:pPr>
      <w:r>
        <w:rPr>
          <w:rFonts w:ascii="Times New Roman" w:hAnsi="Times New Roman" w:eastAsia="Times New Roman" w:cs="Times New Roman"/>
          <w:i/>
          <w:iCs/>
          <w:sz w:val="24"/>
          <w:szCs w:val="24"/>
          <w:rtl w:val="0"/>
        </w:rPr>
        <w:t>List every cloud service used for hosting, storage, databases, authentication, or compute, and indicate how the prototype is deployed.</w:t>
      </w:r>
    </w:p>
    <w:tbl>
      <w:tblPr>
        <w:tblStyle w:val="1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000"/>
        <w:gridCol w:w="3860"/>
        <w:gridCol w:w="2500"/>
      </w:tblGrid>
      <w:tr w14:paraId="608FC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shd w:val="clear" w:color="auto" w:fill="F2F2F2"/>
            <w:tcMar>
              <w:top w:w="100" w:type="dxa"/>
              <w:left w:w="140" w:type="dxa"/>
              <w:bottom w:w="100" w:type="dxa"/>
              <w:right w:w="100" w:type="dxa"/>
            </w:tcMar>
          </w:tcPr>
          <w:p w14:paraId="00000055">
            <w:r>
              <w:rPr>
                <w:rFonts w:ascii="Times New Roman" w:hAnsi="Times New Roman" w:eastAsia="Times New Roman" w:cs="Times New Roman"/>
                <w:b/>
                <w:bCs/>
                <w:sz w:val="22"/>
                <w:szCs w:val="22"/>
                <w:rtl w:val="0"/>
              </w:rPr>
              <w:t>Service &amp; Provider</w:t>
            </w:r>
          </w:p>
        </w:tc>
        <w:tc>
          <w:tcPr>
            <w:shd w:val="clear" w:color="auto" w:fill="F2F2F2"/>
            <w:tcMar>
              <w:top w:w="100" w:type="dxa"/>
              <w:left w:w="140" w:type="dxa"/>
              <w:bottom w:w="100" w:type="dxa"/>
              <w:right w:w="100" w:type="dxa"/>
            </w:tcMar>
          </w:tcPr>
          <w:p w14:paraId="00000056">
            <w:r>
              <w:rPr>
                <w:rFonts w:ascii="Times New Roman" w:hAnsi="Times New Roman" w:eastAsia="Times New Roman" w:cs="Times New Roman"/>
                <w:b/>
                <w:bCs/>
                <w:sz w:val="22"/>
                <w:szCs w:val="22"/>
                <w:rtl w:val="0"/>
              </w:rPr>
              <w:t>Purpose in Project</w:t>
            </w:r>
          </w:p>
        </w:tc>
        <w:tc>
          <w:tcPr>
            <w:shd w:val="clear" w:color="auto" w:fill="F2F2F2"/>
            <w:tcMar>
              <w:top w:w="100" w:type="dxa"/>
              <w:left w:w="140" w:type="dxa"/>
              <w:bottom w:w="100" w:type="dxa"/>
              <w:right w:w="100" w:type="dxa"/>
            </w:tcMar>
          </w:tcPr>
          <w:p w14:paraId="00000057">
            <w:r>
              <w:rPr>
                <w:rFonts w:ascii="Times New Roman" w:hAnsi="Times New Roman" w:eastAsia="Times New Roman" w:cs="Times New Roman"/>
                <w:b/>
                <w:bCs/>
                <w:sz w:val="22"/>
                <w:szCs w:val="22"/>
                <w:rtl w:val="0"/>
              </w:rPr>
              <w:t>Plan / Region</w:t>
            </w:r>
          </w:p>
        </w:tc>
      </w:tr>
      <w:tr w14:paraId="2B805D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58">
            <w:r>
              <w:rPr>
                <w:rtl w:val="0"/>
              </w:rPr>
              <w:t>Replit:</w:t>
            </w:r>
          </w:p>
          <w:p w14:paraId="00000059">
            <w:r>
              <w:rPr>
                <w:rtl w:val="0"/>
              </w:rPr>
              <w:t>https://your-project.replit.app/</w:t>
            </w:r>
          </w:p>
        </w:tc>
        <w:tc>
          <w:tcPr>
            <w:tcMar>
              <w:top w:w="100" w:type="dxa"/>
              <w:left w:w="140" w:type="dxa"/>
              <w:bottom w:w="100" w:type="dxa"/>
              <w:right w:w="100" w:type="dxa"/>
            </w:tcMar>
          </w:tcPr>
          <w:p w14:paraId="0000005A">
            <w:r>
              <w:rPr>
                <w:rtl w:val="0"/>
              </w:rPr>
              <w:t>Deploy and host the project</w:t>
            </w:r>
          </w:p>
        </w:tc>
        <w:tc>
          <w:tcPr>
            <w:tcMar>
              <w:top w:w="100" w:type="dxa"/>
              <w:left w:w="140" w:type="dxa"/>
              <w:bottom w:w="100" w:type="dxa"/>
              <w:right w:w="100" w:type="dxa"/>
            </w:tcMar>
          </w:tcPr>
          <w:p w14:paraId="0000005B">
            <w:r>
              <w:rPr>
                <w:rtl w:val="0"/>
              </w:rPr>
              <w:t>sponsor-provided</w:t>
            </w:r>
          </w:p>
        </w:tc>
      </w:tr>
      <w:tr w14:paraId="17DD45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5C"/>
        </w:tc>
        <w:tc>
          <w:tcPr>
            <w:tcMar>
              <w:top w:w="100" w:type="dxa"/>
              <w:left w:w="140" w:type="dxa"/>
              <w:bottom w:w="100" w:type="dxa"/>
              <w:right w:w="100" w:type="dxa"/>
            </w:tcMar>
          </w:tcPr>
          <w:p w14:paraId="0000005D"/>
        </w:tc>
        <w:tc>
          <w:tcPr>
            <w:tcMar>
              <w:top w:w="100" w:type="dxa"/>
              <w:left w:w="140" w:type="dxa"/>
              <w:bottom w:w="100" w:type="dxa"/>
              <w:right w:w="100" w:type="dxa"/>
            </w:tcMar>
          </w:tcPr>
          <w:p w14:paraId="0000005E"/>
        </w:tc>
      </w:tr>
      <w:tr w14:paraId="7F452F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5F"/>
        </w:tc>
        <w:tc>
          <w:tcPr>
            <w:tcMar>
              <w:top w:w="100" w:type="dxa"/>
              <w:left w:w="140" w:type="dxa"/>
              <w:bottom w:w="100" w:type="dxa"/>
              <w:right w:w="100" w:type="dxa"/>
            </w:tcMar>
          </w:tcPr>
          <w:p w14:paraId="00000060"/>
        </w:tc>
        <w:tc>
          <w:tcPr>
            <w:tcMar>
              <w:top w:w="100" w:type="dxa"/>
              <w:left w:w="140" w:type="dxa"/>
              <w:bottom w:w="100" w:type="dxa"/>
              <w:right w:w="100" w:type="dxa"/>
            </w:tcMar>
          </w:tcPr>
          <w:p w14:paraId="00000061"/>
        </w:tc>
      </w:tr>
      <w:tr w14:paraId="73E6E0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62"/>
        </w:tc>
        <w:tc>
          <w:tcPr>
            <w:tcMar>
              <w:top w:w="100" w:type="dxa"/>
              <w:left w:w="140" w:type="dxa"/>
              <w:bottom w:w="100" w:type="dxa"/>
              <w:right w:w="100" w:type="dxa"/>
            </w:tcMar>
          </w:tcPr>
          <w:p w14:paraId="00000063"/>
        </w:tc>
        <w:tc>
          <w:tcPr>
            <w:tcMar>
              <w:top w:w="100" w:type="dxa"/>
              <w:left w:w="140" w:type="dxa"/>
              <w:bottom w:w="100" w:type="dxa"/>
              <w:right w:w="100" w:type="dxa"/>
            </w:tcMar>
          </w:tcPr>
          <w:p w14:paraId="00000064"/>
        </w:tc>
      </w:tr>
      <w:tr w14:paraId="0E6C08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65"/>
        </w:tc>
        <w:tc>
          <w:tcPr>
            <w:tcMar>
              <w:top w:w="100" w:type="dxa"/>
              <w:left w:w="140" w:type="dxa"/>
              <w:bottom w:w="100" w:type="dxa"/>
              <w:right w:w="100" w:type="dxa"/>
            </w:tcMar>
          </w:tcPr>
          <w:p w14:paraId="00000066"/>
        </w:tc>
        <w:tc>
          <w:tcPr>
            <w:tcMar>
              <w:top w:w="100" w:type="dxa"/>
              <w:left w:w="140" w:type="dxa"/>
              <w:bottom w:w="100" w:type="dxa"/>
              <w:right w:w="100" w:type="dxa"/>
            </w:tcMar>
          </w:tcPr>
          <w:p w14:paraId="00000067"/>
        </w:tc>
      </w:tr>
    </w:tbl>
    <w:p w14:paraId="00000068">
      <w:pPr>
        <w:pStyle w:val="2"/>
        <w:pageBreakBefore/>
        <w:pBdr>
          <w:bottom w:val="none" w:color="auto" w:sz="0" w:space="0"/>
        </w:pBdr>
        <w:jc w:val="both"/>
      </w:pPr>
      <w:r>
        <w:rPr>
          <w:rFonts w:ascii="Times New Roman" w:hAnsi="Times New Roman" w:eastAsia="Times New Roman" w:cs="Times New Roman"/>
          <w:color w:val="000000"/>
          <w:rtl w:val="0"/>
        </w:rPr>
        <w:t>4. AI Tools, Models &amp; Datasets</w:t>
      </w:r>
    </w:p>
    <w:p w14:paraId="00000069">
      <w:pPr>
        <w:pStyle w:val="3"/>
        <w:jc w:val="both"/>
      </w:pPr>
      <w:r>
        <w:rPr>
          <w:rFonts w:ascii="Times New Roman" w:hAnsi="Times New Roman" w:eastAsia="Times New Roman" w:cs="Times New Roman"/>
          <w:color w:val="000000"/>
          <w:sz w:val="24"/>
          <w:szCs w:val="24"/>
          <w:rtl w:val="0"/>
        </w:rPr>
        <w:t>4.1 AI Models Used in the Solution</w:t>
      </w:r>
    </w:p>
    <w:p w14:paraId="0000006A">
      <w:pPr>
        <w:keepNext/>
        <w:spacing w:after="120"/>
        <w:jc w:val="both"/>
      </w:pPr>
      <w:r>
        <w:rPr>
          <w:rFonts w:ascii="Times New Roman" w:hAnsi="Times New Roman" w:eastAsia="Times New Roman" w:cs="Times New Roman"/>
          <w:i/>
          <w:iCs/>
          <w:sz w:val="24"/>
          <w:szCs w:val="24"/>
          <w:rtl w:val="0"/>
        </w:rPr>
        <w:t>List every AI model embedded in or called by your application, including pre-trained, fine-tuned, and self-trained models.</w:t>
      </w:r>
    </w:p>
    <w:tbl>
      <w:tblPr>
        <w:tblStyle w:val="1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2400"/>
        <w:gridCol w:w="2200"/>
        <w:gridCol w:w="2700"/>
        <w:gridCol w:w="2060"/>
      </w:tblGrid>
      <w:tr w14:paraId="42DE9D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shd w:val="clear" w:color="auto" w:fill="F2F2F2"/>
            <w:tcMar>
              <w:top w:w="100" w:type="dxa"/>
              <w:left w:w="140" w:type="dxa"/>
              <w:bottom w:w="100" w:type="dxa"/>
              <w:right w:w="100" w:type="dxa"/>
            </w:tcMar>
          </w:tcPr>
          <w:p w14:paraId="0000006B">
            <w:r>
              <w:rPr>
                <w:rFonts w:ascii="Times New Roman" w:hAnsi="Times New Roman" w:eastAsia="Times New Roman" w:cs="Times New Roman"/>
                <w:b/>
                <w:bCs/>
                <w:sz w:val="22"/>
                <w:szCs w:val="22"/>
                <w:rtl w:val="0"/>
              </w:rPr>
              <w:t>Model &amp; Version</w:t>
            </w:r>
          </w:p>
        </w:tc>
        <w:tc>
          <w:tcPr>
            <w:shd w:val="clear" w:color="auto" w:fill="F2F2F2"/>
            <w:tcMar>
              <w:top w:w="100" w:type="dxa"/>
              <w:left w:w="140" w:type="dxa"/>
              <w:bottom w:w="100" w:type="dxa"/>
              <w:right w:w="100" w:type="dxa"/>
            </w:tcMar>
          </w:tcPr>
          <w:p w14:paraId="0000006C">
            <w:r>
              <w:rPr>
                <w:rFonts w:ascii="Times New Roman" w:hAnsi="Times New Roman" w:eastAsia="Times New Roman" w:cs="Times New Roman"/>
                <w:b/>
                <w:bCs/>
                <w:sz w:val="22"/>
                <w:szCs w:val="22"/>
                <w:rtl w:val="0"/>
              </w:rPr>
              <w:t>Source / Provider</w:t>
            </w:r>
          </w:p>
        </w:tc>
        <w:tc>
          <w:tcPr>
            <w:shd w:val="clear" w:color="auto" w:fill="F2F2F2"/>
            <w:tcMar>
              <w:top w:w="100" w:type="dxa"/>
              <w:left w:w="140" w:type="dxa"/>
              <w:bottom w:w="100" w:type="dxa"/>
              <w:right w:w="100" w:type="dxa"/>
            </w:tcMar>
          </w:tcPr>
          <w:p w14:paraId="0000006D">
            <w:r>
              <w:rPr>
                <w:rFonts w:ascii="Times New Roman" w:hAnsi="Times New Roman" w:eastAsia="Times New Roman" w:cs="Times New Roman"/>
                <w:b/>
                <w:bCs/>
                <w:sz w:val="22"/>
                <w:szCs w:val="22"/>
                <w:rtl w:val="0"/>
              </w:rPr>
              <w:t>Usage (pre-trained / fine-tuned / self-trained)</w:t>
            </w:r>
          </w:p>
        </w:tc>
        <w:tc>
          <w:tcPr>
            <w:shd w:val="clear" w:color="auto" w:fill="F2F2F2"/>
            <w:tcMar>
              <w:top w:w="100" w:type="dxa"/>
              <w:left w:w="140" w:type="dxa"/>
              <w:bottom w:w="100" w:type="dxa"/>
              <w:right w:w="100" w:type="dxa"/>
            </w:tcMar>
          </w:tcPr>
          <w:p w14:paraId="0000006E">
            <w:r>
              <w:rPr>
                <w:rFonts w:ascii="Times New Roman" w:hAnsi="Times New Roman" w:eastAsia="Times New Roman" w:cs="Times New Roman"/>
                <w:b/>
                <w:bCs/>
                <w:sz w:val="22"/>
                <w:szCs w:val="22"/>
                <w:rtl w:val="0"/>
              </w:rPr>
              <w:t>License / Terms</w:t>
            </w:r>
          </w:p>
        </w:tc>
      </w:tr>
      <w:tr w14:paraId="6E0DE2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6F">
            <w:r>
              <w:rPr>
                <w:rtl w:val="0"/>
              </w:rPr>
              <w:t>DeepSeek-V4.1-Flash-1017</w:t>
            </w:r>
          </w:p>
        </w:tc>
        <w:tc>
          <w:tcPr>
            <w:tcMar>
              <w:top w:w="100" w:type="dxa"/>
              <w:left w:w="140" w:type="dxa"/>
              <w:bottom w:w="100" w:type="dxa"/>
              <w:right w:w="100" w:type="dxa"/>
            </w:tcMar>
          </w:tcPr>
          <w:p w14:paraId="00000070">
            <w:r>
              <w:rPr>
                <w:rtl w:val="0"/>
              </w:rPr>
              <w:t>Hangzhou Deep Search Artificial Intelligence Basic Technology Research Co., Ltd</w:t>
            </w:r>
          </w:p>
        </w:tc>
        <w:tc>
          <w:tcPr>
            <w:tcMar>
              <w:top w:w="100" w:type="dxa"/>
              <w:left w:w="140" w:type="dxa"/>
              <w:bottom w:w="100" w:type="dxa"/>
              <w:right w:w="100" w:type="dxa"/>
            </w:tcMar>
          </w:tcPr>
          <w:p w14:paraId="00000071">
            <w:pPr>
              <w:jc w:val="both"/>
            </w:pPr>
            <w:r>
              <w:rPr>
                <w:rtl w:val="0"/>
              </w:rPr>
              <w:t>pre-trained</w:t>
            </w:r>
          </w:p>
        </w:tc>
        <w:tc>
          <w:tcPr>
            <w:tcMar>
              <w:top w:w="100" w:type="dxa"/>
              <w:left w:w="140" w:type="dxa"/>
              <w:bottom w:w="100" w:type="dxa"/>
              <w:right w:w="100" w:type="dxa"/>
            </w:tcMar>
          </w:tcPr>
          <w:p w14:paraId="00000072">
            <w:r>
              <w:rPr>
                <w:rtl w:val="0"/>
              </w:rPr>
              <w:t>MIT License</w:t>
            </w:r>
          </w:p>
        </w:tc>
      </w:tr>
      <w:tr w14:paraId="44F516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73"/>
        </w:tc>
        <w:tc>
          <w:tcPr>
            <w:tcMar>
              <w:top w:w="100" w:type="dxa"/>
              <w:left w:w="140" w:type="dxa"/>
              <w:bottom w:w="100" w:type="dxa"/>
              <w:right w:w="100" w:type="dxa"/>
            </w:tcMar>
          </w:tcPr>
          <w:p w14:paraId="00000074"/>
        </w:tc>
        <w:tc>
          <w:tcPr>
            <w:tcMar>
              <w:top w:w="100" w:type="dxa"/>
              <w:left w:w="140" w:type="dxa"/>
              <w:bottom w:w="100" w:type="dxa"/>
              <w:right w:w="100" w:type="dxa"/>
            </w:tcMar>
          </w:tcPr>
          <w:p w14:paraId="00000075"/>
        </w:tc>
        <w:tc>
          <w:tcPr>
            <w:tcMar>
              <w:top w:w="100" w:type="dxa"/>
              <w:left w:w="140" w:type="dxa"/>
              <w:bottom w:w="100" w:type="dxa"/>
              <w:right w:w="100" w:type="dxa"/>
            </w:tcMar>
          </w:tcPr>
          <w:p w14:paraId="00000076"/>
        </w:tc>
      </w:tr>
      <w:tr w14:paraId="6B1651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77"/>
        </w:tc>
        <w:tc>
          <w:tcPr>
            <w:tcMar>
              <w:top w:w="100" w:type="dxa"/>
              <w:left w:w="140" w:type="dxa"/>
              <w:bottom w:w="100" w:type="dxa"/>
              <w:right w:w="100" w:type="dxa"/>
            </w:tcMar>
          </w:tcPr>
          <w:p w14:paraId="00000078"/>
        </w:tc>
        <w:tc>
          <w:tcPr>
            <w:tcMar>
              <w:top w:w="100" w:type="dxa"/>
              <w:left w:w="140" w:type="dxa"/>
              <w:bottom w:w="100" w:type="dxa"/>
              <w:right w:w="100" w:type="dxa"/>
            </w:tcMar>
          </w:tcPr>
          <w:p w14:paraId="00000079"/>
        </w:tc>
        <w:tc>
          <w:tcPr>
            <w:tcMar>
              <w:top w:w="100" w:type="dxa"/>
              <w:left w:w="140" w:type="dxa"/>
              <w:bottom w:w="100" w:type="dxa"/>
              <w:right w:w="100" w:type="dxa"/>
            </w:tcMar>
          </w:tcPr>
          <w:p w14:paraId="0000007A"/>
        </w:tc>
      </w:tr>
      <w:tr w14:paraId="0E7942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7B"/>
        </w:tc>
        <w:tc>
          <w:tcPr>
            <w:tcMar>
              <w:top w:w="100" w:type="dxa"/>
              <w:left w:w="140" w:type="dxa"/>
              <w:bottom w:w="100" w:type="dxa"/>
              <w:right w:w="100" w:type="dxa"/>
            </w:tcMar>
          </w:tcPr>
          <w:p w14:paraId="0000007C"/>
        </w:tc>
        <w:tc>
          <w:tcPr>
            <w:tcMar>
              <w:top w:w="100" w:type="dxa"/>
              <w:left w:w="140" w:type="dxa"/>
              <w:bottom w:w="100" w:type="dxa"/>
              <w:right w:w="100" w:type="dxa"/>
            </w:tcMar>
          </w:tcPr>
          <w:p w14:paraId="0000007D"/>
        </w:tc>
        <w:tc>
          <w:tcPr>
            <w:tcMar>
              <w:top w:w="100" w:type="dxa"/>
              <w:left w:w="140" w:type="dxa"/>
              <w:bottom w:w="100" w:type="dxa"/>
              <w:right w:w="100" w:type="dxa"/>
            </w:tcMar>
          </w:tcPr>
          <w:p w14:paraId="0000007E"/>
        </w:tc>
      </w:tr>
      <w:tr w14:paraId="45FC1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7F"/>
        </w:tc>
        <w:tc>
          <w:tcPr>
            <w:tcMar>
              <w:top w:w="100" w:type="dxa"/>
              <w:left w:w="140" w:type="dxa"/>
              <w:bottom w:w="100" w:type="dxa"/>
              <w:right w:w="100" w:type="dxa"/>
            </w:tcMar>
          </w:tcPr>
          <w:p w14:paraId="00000080"/>
        </w:tc>
        <w:tc>
          <w:tcPr>
            <w:tcMar>
              <w:top w:w="100" w:type="dxa"/>
              <w:left w:w="140" w:type="dxa"/>
              <w:bottom w:w="100" w:type="dxa"/>
              <w:right w:w="100" w:type="dxa"/>
            </w:tcMar>
          </w:tcPr>
          <w:p w14:paraId="00000081"/>
        </w:tc>
        <w:tc>
          <w:tcPr>
            <w:tcMar>
              <w:top w:w="100" w:type="dxa"/>
              <w:left w:w="140" w:type="dxa"/>
              <w:bottom w:w="100" w:type="dxa"/>
              <w:right w:w="100" w:type="dxa"/>
            </w:tcMar>
          </w:tcPr>
          <w:p w14:paraId="00000082"/>
        </w:tc>
      </w:tr>
    </w:tbl>
    <w:p w14:paraId="00000083">
      <w:pPr>
        <w:spacing w:after="120"/>
        <w:jc w:val="both"/>
      </w:pPr>
    </w:p>
    <w:p w14:paraId="00000084">
      <w:pPr>
        <w:pStyle w:val="3"/>
        <w:jc w:val="both"/>
      </w:pPr>
      <w:r>
        <w:rPr>
          <w:rFonts w:ascii="Times New Roman" w:hAnsi="Times New Roman" w:eastAsia="Times New Roman" w:cs="Times New Roman"/>
          <w:color w:val="000000"/>
          <w:sz w:val="24"/>
          <w:szCs w:val="24"/>
          <w:rtl w:val="0"/>
        </w:rPr>
        <w:t>4.2 Datasets</w:t>
      </w:r>
    </w:p>
    <w:p w14:paraId="00000085">
      <w:pPr>
        <w:keepNext/>
        <w:spacing w:after="120"/>
        <w:jc w:val="both"/>
      </w:pPr>
      <w:r>
        <w:rPr>
          <w:rFonts w:ascii="Times New Roman" w:hAnsi="Times New Roman" w:eastAsia="Times New Roman" w:cs="Times New Roman"/>
          <w:i/>
          <w:iCs/>
          <w:sz w:val="24"/>
          <w:szCs w:val="24"/>
          <w:rtl w:val="0"/>
        </w:rPr>
        <w:t>List all datasets used for training, fine-tuning, evaluation, or in the running application. State clearly if a dataset contains personal or sensitive data.</w:t>
      </w:r>
    </w:p>
    <w:tbl>
      <w:tblPr>
        <w:tblStyle w:val="2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2000"/>
        <w:gridCol w:w="2300"/>
        <w:gridCol w:w="2260"/>
        <w:gridCol w:w="1700"/>
        <w:gridCol w:w="1100"/>
      </w:tblGrid>
      <w:tr w14:paraId="66F24A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shd w:val="clear" w:color="auto" w:fill="F2F2F2"/>
            <w:tcMar>
              <w:top w:w="100" w:type="dxa"/>
              <w:left w:w="140" w:type="dxa"/>
              <w:bottom w:w="100" w:type="dxa"/>
              <w:right w:w="100" w:type="dxa"/>
            </w:tcMar>
          </w:tcPr>
          <w:p w14:paraId="00000086">
            <w:r>
              <w:rPr>
                <w:rFonts w:ascii="Times New Roman" w:hAnsi="Times New Roman" w:eastAsia="Times New Roman" w:cs="Times New Roman"/>
                <w:b/>
                <w:bCs/>
                <w:sz w:val="22"/>
                <w:szCs w:val="22"/>
                <w:rtl w:val="0"/>
              </w:rPr>
              <w:t>Dataset Name</w:t>
            </w:r>
          </w:p>
        </w:tc>
        <w:tc>
          <w:tcPr>
            <w:shd w:val="clear" w:color="auto" w:fill="F2F2F2"/>
            <w:tcMar>
              <w:top w:w="100" w:type="dxa"/>
              <w:left w:w="140" w:type="dxa"/>
              <w:bottom w:w="100" w:type="dxa"/>
              <w:right w:w="100" w:type="dxa"/>
            </w:tcMar>
          </w:tcPr>
          <w:p w14:paraId="00000087">
            <w:r>
              <w:rPr>
                <w:rFonts w:ascii="Times New Roman" w:hAnsi="Times New Roman" w:eastAsia="Times New Roman" w:cs="Times New Roman"/>
                <w:b/>
                <w:bCs/>
                <w:sz w:val="22"/>
                <w:szCs w:val="22"/>
                <w:rtl w:val="0"/>
              </w:rPr>
              <w:t>Source / URL</w:t>
            </w:r>
          </w:p>
        </w:tc>
        <w:tc>
          <w:tcPr>
            <w:shd w:val="clear" w:color="auto" w:fill="F2F2F2"/>
            <w:tcMar>
              <w:top w:w="100" w:type="dxa"/>
              <w:left w:w="140" w:type="dxa"/>
              <w:bottom w:w="100" w:type="dxa"/>
              <w:right w:w="100" w:type="dxa"/>
            </w:tcMar>
          </w:tcPr>
          <w:p w14:paraId="00000088">
            <w:r>
              <w:rPr>
                <w:rFonts w:ascii="Times New Roman" w:hAnsi="Times New Roman" w:eastAsia="Times New Roman" w:cs="Times New Roman"/>
                <w:b/>
                <w:bCs/>
                <w:sz w:val="22"/>
                <w:szCs w:val="22"/>
                <w:rtl w:val="0"/>
              </w:rPr>
              <w:t>Type (public / private / self-collected / synthetic)</w:t>
            </w:r>
          </w:p>
        </w:tc>
        <w:tc>
          <w:tcPr>
            <w:shd w:val="clear" w:color="auto" w:fill="F2F2F2"/>
            <w:tcMar>
              <w:top w:w="100" w:type="dxa"/>
              <w:left w:w="140" w:type="dxa"/>
              <w:bottom w:w="100" w:type="dxa"/>
              <w:right w:w="100" w:type="dxa"/>
            </w:tcMar>
          </w:tcPr>
          <w:p w14:paraId="00000089">
            <w:r>
              <w:rPr>
                <w:rFonts w:ascii="Times New Roman" w:hAnsi="Times New Roman" w:eastAsia="Times New Roman" w:cs="Times New Roman"/>
                <w:b/>
                <w:bCs/>
                <w:sz w:val="22"/>
                <w:szCs w:val="22"/>
                <w:rtl w:val="0"/>
              </w:rPr>
              <w:t>License</w:t>
            </w:r>
          </w:p>
        </w:tc>
        <w:tc>
          <w:tcPr>
            <w:shd w:val="clear" w:color="auto" w:fill="F2F2F2"/>
            <w:tcMar>
              <w:top w:w="100" w:type="dxa"/>
              <w:left w:w="140" w:type="dxa"/>
              <w:bottom w:w="100" w:type="dxa"/>
              <w:right w:w="100" w:type="dxa"/>
            </w:tcMar>
          </w:tcPr>
          <w:p w14:paraId="0000008A">
            <w:r>
              <w:rPr>
                <w:rFonts w:ascii="Times New Roman" w:hAnsi="Times New Roman" w:eastAsia="Times New Roman" w:cs="Times New Roman"/>
                <w:b/>
                <w:bCs/>
                <w:sz w:val="22"/>
                <w:szCs w:val="22"/>
                <w:rtl w:val="0"/>
              </w:rPr>
              <w:t>Personal Data? (Y/N)</w:t>
            </w:r>
          </w:p>
        </w:tc>
      </w:tr>
      <w:tr w14:paraId="1D8BEB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8B">
            <w:r>
              <w:rPr>
                <w:rtl w:val="0"/>
              </w:rPr>
              <w:t>Malaysia</w:t>
            </w:r>
            <w:r>
              <w:rPr>
                <w:rtl w:val="0"/>
              </w:rPr>
              <w:tab/>
            </w:r>
            <w:r>
              <w:rPr>
                <w:rtl w:val="0"/>
              </w:rPr>
              <w:t>Graduates Statistics 2024</w:t>
            </w:r>
          </w:p>
        </w:tc>
        <w:tc>
          <w:tcPr>
            <w:tcMar>
              <w:top w:w="100" w:type="dxa"/>
              <w:left w:w="140" w:type="dxa"/>
              <w:bottom w:w="100" w:type="dxa"/>
              <w:right w:w="100" w:type="dxa"/>
            </w:tcMar>
          </w:tcPr>
          <w:p w14:paraId="0000008C">
            <w:r>
              <w:rPr>
                <w:rtl w:val="0"/>
              </w:rPr>
              <w:t>https://www.dosm.gov.my/portal-main/release-content/graduates-statistics-2024</w:t>
            </w:r>
          </w:p>
        </w:tc>
        <w:tc>
          <w:tcPr>
            <w:tcMar>
              <w:top w:w="100" w:type="dxa"/>
              <w:left w:w="140" w:type="dxa"/>
              <w:bottom w:w="100" w:type="dxa"/>
              <w:right w:w="100" w:type="dxa"/>
            </w:tcMar>
          </w:tcPr>
          <w:p w14:paraId="0000008D">
            <w:r>
              <w:rPr>
                <w:rtl w:val="0"/>
              </w:rPr>
              <w:t>public</w:t>
            </w:r>
          </w:p>
        </w:tc>
        <w:tc>
          <w:tcPr>
            <w:tcMar>
              <w:top w:w="100" w:type="dxa"/>
              <w:left w:w="140" w:type="dxa"/>
              <w:bottom w:w="100" w:type="dxa"/>
              <w:right w:w="100" w:type="dxa"/>
            </w:tcMar>
          </w:tcPr>
          <w:p w14:paraId="0000008E">
            <w:r>
              <w:rPr>
                <w:rtl w:val="0"/>
              </w:rPr>
              <w:t>DOSM — Government Open Data Terms of Use 1.0</w:t>
            </w:r>
          </w:p>
        </w:tc>
        <w:tc>
          <w:tcPr>
            <w:tcMar>
              <w:top w:w="100" w:type="dxa"/>
              <w:left w:w="140" w:type="dxa"/>
              <w:bottom w:w="100" w:type="dxa"/>
              <w:right w:w="100" w:type="dxa"/>
            </w:tcMar>
          </w:tcPr>
          <w:p w14:paraId="0000008F">
            <w:r>
              <w:rPr>
                <w:rtl w:val="0"/>
              </w:rPr>
              <w:t>N</w:t>
            </w:r>
          </w:p>
        </w:tc>
      </w:tr>
      <w:tr w14:paraId="065CB9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90">
            <w:r>
              <w:rPr>
                <w:rtl w:val="0"/>
              </w:rPr>
              <w:t>Malaysia</w:t>
            </w:r>
            <w:r>
              <w:rPr>
                <w:rtl w:val="0"/>
              </w:rPr>
              <w:tab/>
            </w:r>
            <w:r>
              <w:rPr>
                <w:rtl w:val="0"/>
              </w:rPr>
              <w:t>Graduates Statistics 2023</w:t>
            </w:r>
          </w:p>
        </w:tc>
        <w:tc>
          <w:tcPr>
            <w:tcMar>
              <w:top w:w="100" w:type="dxa"/>
              <w:left w:w="140" w:type="dxa"/>
              <w:bottom w:w="100" w:type="dxa"/>
              <w:right w:w="100" w:type="dxa"/>
            </w:tcMar>
          </w:tcPr>
          <w:p w14:paraId="00000091">
            <w:r>
              <w:rPr>
                <w:rtl w:val="0"/>
              </w:rPr>
              <w:t>https://www.dosm.gov.my/portal-main/release-content/graduates-statistics-2023</w:t>
            </w:r>
          </w:p>
        </w:tc>
        <w:tc>
          <w:tcPr>
            <w:tcMar>
              <w:top w:w="100" w:type="dxa"/>
              <w:left w:w="140" w:type="dxa"/>
              <w:bottom w:w="100" w:type="dxa"/>
              <w:right w:w="100" w:type="dxa"/>
            </w:tcMar>
          </w:tcPr>
          <w:p w14:paraId="00000092">
            <w:r>
              <w:rPr>
                <w:rtl w:val="0"/>
              </w:rPr>
              <w:t>public</w:t>
            </w:r>
          </w:p>
        </w:tc>
        <w:tc>
          <w:tcPr>
            <w:tcMar>
              <w:top w:w="100" w:type="dxa"/>
              <w:left w:w="140" w:type="dxa"/>
              <w:bottom w:w="100" w:type="dxa"/>
              <w:right w:w="100" w:type="dxa"/>
            </w:tcMar>
          </w:tcPr>
          <w:p w14:paraId="00000093">
            <w:r>
              <w:rPr>
                <w:rtl w:val="0"/>
              </w:rPr>
              <w:t>DOSM — Government Open Data Terms of Use 1.0</w:t>
            </w:r>
          </w:p>
        </w:tc>
        <w:tc>
          <w:tcPr>
            <w:tcMar>
              <w:top w:w="100" w:type="dxa"/>
              <w:left w:w="140" w:type="dxa"/>
              <w:bottom w:w="100" w:type="dxa"/>
              <w:right w:w="100" w:type="dxa"/>
            </w:tcMar>
          </w:tcPr>
          <w:p w14:paraId="00000094">
            <w:r>
              <w:rPr>
                <w:rtl w:val="0"/>
              </w:rPr>
              <w:t>N</w:t>
            </w:r>
          </w:p>
        </w:tc>
      </w:tr>
      <w:tr w14:paraId="21E25E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95">
            <w:r>
              <w:rPr>
                <w:rtl w:val="0"/>
              </w:rPr>
              <w:t>Malaysia</w:t>
            </w:r>
            <w:r>
              <w:rPr>
                <w:rtl w:val="0"/>
              </w:rPr>
              <w:tab/>
            </w:r>
            <w:r>
              <w:rPr>
                <w:rtl w:val="0"/>
              </w:rPr>
              <w:t>Graduates Statistics 2022</w:t>
            </w:r>
          </w:p>
        </w:tc>
        <w:tc>
          <w:tcPr>
            <w:tcMar>
              <w:top w:w="100" w:type="dxa"/>
              <w:left w:w="140" w:type="dxa"/>
              <w:bottom w:w="100" w:type="dxa"/>
              <w:right w:w="100" w:type="dxa"/>
            </w:tcMar>
          </w:tcPr>
          <w:p w14:paraId="00000096">
            <w:r>
              <w:rPr>
                <w:rtl w:val="0"/>
              </w:rPr>
              <w:t>https://www.dosm.gov.my/portal-main/release-content/graduates-statistics-2022</w:t>
            </w:r>
          </w:p>
        </w:tc>
        <w:tc>
          <w:tcPr>
            <w:tcMar>
              <w:top w:w="100" w:type="dxa"/>
              <w:left w:w="140" w:type="dxa"/>
              <w:bottom w:w="100" w:type="dxa"/>
              <w:right w:w="100" w:type="dxa"/>
            </w:tcMar>
          </w:tcPr>
          <w:p w14:paraId="00000097">
            <w:r>
              <w:rPr>
                <w:rtl w:val="0"/>
              </w:rPr>
              <w:t>public</w:t>
            </w:r>
          </w:p>
        </w:tc>
        <w:tc>
          <w:tcPr>
            <w:tcMar>
              <w:top w:w="100" w:type="dxa"/>
              <w:left w:w="140" w:type="dxa"/>
              <w:bottom w:w="100" w:type="dxa"/>
              <w:right w:w="100" w:type="dxa"/>
            </w:tcMar>
          </w:tcPr>
          <w:p w14:paraId="00000098">
            <w:r>
              <w:rPr>
                <w:rtl w:val="0"/>
              </w:rPr>
              <w:t>DOSM — Government Open Data Terms of Use 1.0</w:t>
            </w:r>
          </w:p>
        </w:tc>
        <w:tc>
          <w:tcPr>
            <w:tcMar>
              <w:top w:w="100" w:type="dxa"/>
              <w:left w:w="140" w:type="dxa"/>
              <w:bottom w:w="100" w:type="dxa"/>
              <w:right w:w="100" w:type="dxa"/>
            </w:tcMar>
          </w:tcPr>
          <w:p w14:paraId="00000099">
            <w:r>
              <w:rPr>
                <w:rtl w:val="0"/>
              </w:rPr>
              <w:t>N</w:t>
            </w:r>
          </w:p>
        </w:tc>
      </w:tr>
      <w:tr w14:paraId="4AABE9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9A">
            <w:r>
              <w:rPr>
                <w:rtl w:val="0"/>
              </w:rPr>
              <w:t>Malaysia</w:t>
            </w:r>
            <w:r>
              <w:rPr>
                <w:rtl w:val="0"/>
              </w:rPr>
              <w:tab/>
            </w:r>
            <w:r>
              <w:rPr>
                <w:rtl w:val="0"/>
              </w:rPr>
              <w:t>Graduates Statistics 2021</w:t>
            </w:r>
          </w:p>
        </w:tc>
        <w:tc>
          <w:tcPr>
            <w:tcMar>
              <w:top w:w="100" w:type="dxa"/>
              <w:left w:w="140" w:type="dxa"/>
              <w:bottom w:w="100" w:type="dxa"/>
              <w:right w:w="100" w:type="dxa"/>
            </w:tcMar>
          </w:tcPr>
          <w:p w14:paraId="0000009B">
            <w:r>
              <w:rPr>
                <w:rtl w:val="0"/>
              </w:rPr>
              <w:t>https://www.dosm.gov.my/portal-main/release-content/graduates-statistics-2021</w:t>
            </w:r>
          </w:p>
        </w:tc>
        <w:tc>
          <w:tcPr>
            <w:tcMar>
              <w:top w:w="100" w:type="dxa"/>
              <w:left w:w="140" w:type="dxa"/>
              <w:bottom w:w="100" w:type="dxa"/>
              <w:right w:w="100" w:type="dxa"/>
            </w:tcMar>
          </w:tcPr>
          <w:p w14:paraId="0000009C">
            <w:r>
              <w:rPr>
                <w:rtl w:val="0"/>
              </w:rPr>
              <w:t>public</w:t>
            </w:r>
          </w:p>
        </w:tc>
        <w:tc>
          <w:tcPr>
            <w:tcMar>
              <w:top w:w="100" w:type="dxa"/>
              <w:left w:w="140" w:type="dxa"/>
              <w:bottom w:w="100" w:type="dxa"/>
              <w:right w:w="100" w:type="dxa"/>
            </w:tcMar>
          </w:tcPr>
          <w:p w14:paraId="0000009D">
            <w:r>
              <w:rPr>
                <w:rtl w:val="0"/>
              </w:rPr>
              <w:t>DOSM — Government Open Data Terms of Use 1.0</w:t>
            </w:r>
          </w:p>
        </w:tc>
        <w:tc>
          <w:tcPr>
            <w:tcMar>
              <w:top w:w="100" w:type="dxa"/>
              <w:left w:w="140" w:type="dxa"/>
              <w:bottom w:w="100" w:type="dxa"/>
              <w:right w:w="100" w:type="dxa"/>
            </w:tcMar>
          </w:tcPr>
          <w:p w14:paraId="0000009E">
            <w:r>
              <w:rPr>
                <w:rtl w:val="0"/>
              </w:rPr>
              <w:t>N</w:t>
            </w:r>
          </w:p>
        </w:tc>
      </w:tr>
      <w:tr w14:paraId="1F9591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9F">
            <w:r>
              <w:rPr>
                <w:rtl w:val="0"/>
              </w:rPr>
              <w:t>Malaysia</w:t>
            </w:r>
            <w:r>
              <w:rPr>
                <w:rtl w:val="0"/>
              </w:rPr>
              <w:tab/>
            </w:r>
            <w:r>
              <w:rPr>
                <w:rtl w:val="0"/>
              </w:rPr>
              <w:t>Graduates Statistics 2020</w:t>
            </w:r>
          </w:p>
        </w:tc>
        <w:tc>
          <w:tcPr>
            <w:tcMar>
              <w:top w:w="100" w:type="dxa"/>
              <w:left w:w="140" w:type="dxa"/>
              <w:bottom w:w="100" w:type="dxa"/>
              <w:right w:w="100" w:type="dxa"/>
            </w:tcMar>
          </w:tcPr>
          <w:p w14:paraId="000000A0">
            <w:r>
              <w:rPr>
                <w:rtl w:val="0"/>
              </w:rPr>
              <w:t>https://www.dosm.gov.my/portal-main/release-content/graduates-statistics-2020</w:t>
            </w:r>
          </w:p>
        </w:tc>
        <w:tc>
          <w:tcPr>
            <w:tcMar>
              <w:top w:w="100" w:type="dxa"/>
              <w:left w:w="140" w:type="dxa"/>
              <w:bottom w:w="100" w:type="dxa"/>
              <w:right w:w="100" w:type="dxa"/>
            </w:tcMar>
          </w:tcPr>
          <w:p w14:paraId="000000A1">
            <w:r>
              <w:rPr>
                <w:rtl w:val="0"/>
              </w:rPr>
              <w:t>public</w:t>
            </w:r>
          </w:p>
        </w:tc>
        <w:tc>
          <w:tcPr>
            <w:tcMar>
              <w:top w:w="100" w:type="dxa"/>
              <w:left w:w="140" w:type="dxa"/>
              <w:bottom w:w="100" w:type="dxa"/>
              <w:right w:w="100" w:type="dxa"/>
            </w:tcMar>
          </w:tcPr>
          <w:p w14:paraId="000000A2">
            <w:r>
              <w:rPr>
                <w:rtl w:val="0"/>
              </w:rPr>
              <w:t>DOSM — Government Open Data Terms of Use 1.0</w:t>
            </w:r>
          </w:p>
        </w:tc>
        <w:tc>
          <w:tcPr>
            <w:tcMar>
              <w:top w:w="100" w:type="dxa"/>
              <w:left w:w="140" w:type="dxa"/>
              <w:bottom w:w="100" w:type="dxa"/>
              <w:right w:w="100" w:type="dxa"/>
            </w:tcMar>
          </w:tcPr>
          <w:p w14:paraId="000000A3">
            <w:r>
              <w:rPr>
                <w:rtl w:val="0"/>
              </w:rPr>
              <w:t>N</w:t>
            </w:r>
          </w:p>
        </w:tc>
      </w:tr>
      <w:tr w14:paraId="0BDB3C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A4">
            <w:r>
              <w:rPr>
                <w:rtl w:val="0"/>
              </w:rPr>
              <w:t>Malaysia</w:t>
            </w:r>
            <w:r>
              <w:rPr>
                <w:rtl w:val="0"/>
              </w:rPr>
              <w:tab/>
            </w:r>
            <w:r>
              <w:rPr>
                <w:rtl w:val="0"/>
              </w:rPr>
              <w:t>Graduates Statistics 2019</w:t>
            </w:r>
          </w:p>
        </w:tc>
        <w:tc>
          <w:tcPr>
            <w:tcMar>
              <w:top w:w="100" w:type="dxa"/>
              <w:left w:w="140" w:type="dxa"/>
              <w:bottom w:w="100" w:type="dxa"/>
              <w:right w:w="100" w:type="dxa"/>
            </w:tcMar>
          </w:tcPr>
          <w:p w14:paraId="000000A5">
            <w:r>
              <w:rPr>
                <w:rtl w:val="0"/>
              </w:rPr>
              <w:t>https://www.dosm.gov.my/portal-main/release-content/graduates-statistics-2019</w:t>
            </w:r>
          </w:p>
        </w:tc>
        <w:tc>
          <w:tcPr>
            <w:tcMar>
              <w:top w:w="100" w:type="dxa"/>
              <w:left w:w="140" w:type="dxa"/>
              <w:bottom w:w="100" w:type="dxa"/>
              <w:right w:w="100" w:type="dxa"/>
            </w:tcMar>
          </w:tcPr>
          <w:p w14:paraId="000000A6">
            <w:r>
              <w:rPr>
                <w:rtl w:val="0"/>
              </w:rPr>
              <w:t>public</w:t>
            </w:r>
          </w:p>
        </w:tc>
        <w:tc>
          <w:tcPr>
            <w:tcMar>
              <w:top w:w="100" w:type="dxa"/>
              <w:left w:w="140" w:type="dxa"/>
              <w:bottom w:w="100" w:type="dxa"/>
              <w:right w:w="100" w:type="dxa"/>
            </w:tcMar>
          </w:tcPr>
          <w:p w14:paraId="000000A7">
            <w:r>
              <w:rPr>
                <w:rtl w:val="0"/>
              </w:rPr>
              <w:t>DOSM — Government Open Data Terms of Use 1.0</w:t>
            </w:r>
          </w:p>
        </w:tc>
        <w:tc>
          <w:tcPr>
            <w:tcMar>
              <w:top w:w="100" w:type="dxa"/>
              <w:left w:w="140" w:type="dxa"/>
              <w:bottom w:w="100" w:type="dxa"/>
              <w:right w:w="100" w:type="dxa"/>
            </w:tcMar>
          </w:tcPr>
          <w:p w14:paraId="000000A8">
            <w:r>
              <w:rPr>
                <w:rtl w:val="0"/>
              </w:rPr>
              <w:t>N</w:t>
            </w:r>
          </w:p>
        </w:tc>
      </w:tr>
      <w:tr w14:paraId="7777D7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A9">
            <w:r>
              <w:rPr>
                <w:rtl w:val="0"/>
              </w:rPr>
              <w:t>Malaysia</w:t>
            </w:r>
            <w:r>
              <w:rPr>
                <w:rtl w:val="0"/>
              </w:rPr>
              <w:tab/>
            </w:r>
            <w:r>
              <w:rPr>
                <w:rtl w:val="0"/>
              </w:rPr>
              <w:t>Graduates Statistics 2018</w:t>
            </w:r>
          </w:p>
        </w:tc>
        <w:tc>
          <w:tcPr>
            <w:tcMar>
              <w:top w:w="100" w:type="dxa"/>
              <w:left w:w="140" w:type="dxa"/>
              <w:bottom w:w="100" w:type="dxa"/>
              <w:right w:w="100" w:type="dxa"/>
            </w:tcMar>
          </w:tcPr>
          <w:p w14:paraId="000000AA">
            <w:r>
              <w:rPr>
                <w:rtl w:val="0"/>
              </w:rPr>
              <w:t>https://www.dosm.gov.my/portal-main/release-content/graduates-statistics-2018</w:t>
            </w:r>
          </w:p>
        </w:tc>
        <w:tc>
          <w:tcPr>
            <w:tcMar>
              <w:top w:w="100" w:type="dxa"/>
              <w:left w:w="140" w:type="dxa"/>
              <w:bottom w:w="100" w:type="dxa"/>
              <w:right w:w="100" w:type="dxa"/>
            </w:tcMar>
          </w:tcPr>
          <w:p w14:paraId="000000AB">
            <w:r>
              <w:rPr>
                <w:rtl w:val="0"/>
              </w:rPr>
              <w:t>public</w:t>
            </w:r>
          </w:p>
        </w:tc>
        <w:tc>
          <w:tcPr>
            <w:tcMar>
              <w:top w:w="100" w:type="dxa"/>
              <w:left w:w="140" w:type="dxa"/>
              <w:bottom w:w="100" w:type="dxa"/>
              <w:right w:w="100" w:type="dxa"/>
            </w:tcMar>
          </w:tcPr>
          <w:p w14:paraId="000000AC">
            <w:r>
              <w:rPr>
                <w:rtl w:val="0"/>
              </w:rPr>
              <w:t>DOSM — Government Open Data Terms of Use 1.0</w:t>
            </w:r>
          </w:p>
        </w:tc>
        <w:tc>
          <w:tcPr>
            <w:tcMar>
              <w:top w:w="100" w:type="dxa"/>
              <w:left w:w="140" w:type="dxa"/>
              <w:bottom w:w="100" w:type="dxa"/>
              <w:right w:w="100" w:type="dxa"/>
            </w:tcMar>
          </w:tcPr>
          <w:p w14:paraId="000000AD">
            <w:r>
              <w:rPr>
                <w:rtl w:val="0"/>
              </w:rPr>
              <w:t>N</w:t>
            </w:r>
          </w:p>
        </w:tc>
      </w:tr>
      <w:tr w14:paraId="2635EA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AE">
            <w:r>
              <w:rPr>
                <w:rtl w:val="0"/>
              </w:rPr>
              <w:t>Malaysia</w:t>
            </w:r>
            <w:r>
              <w:rPr>
                <w:rtl w:val="0"/>
              </w:rPr>
              <w:tab/>
            </w:r>
            <w:r>
              <w:rPr>
                <w:rtl w:val="0"/>
              </w:rPr>
              <w:t>Graduates Statistics 2024 infographic PDF</w:t>
            </w:r>
          </w:p>
        </w:tc>
        <w:tc>
          <w:tcPr>
            <w:tcMar>
              <w:top w:w="100" w:type="dxa"/>
              <w:left w:w="140" w:type="dxa"/>
              <w:bottom w:w="100" w:type="dxa"/>
              <w:right w:w="100" w:type="dxa"/>
            </w:tcMar>
          </w:tcPr>
          <w:p w14:paraId="000000AF">
            <w:r>
              <w:rPr>
                <w:rtl w:val="0"/>
              </w:rPr>
              <w:t>https://www.dosm.gov.my/uploads/release-content/file_20260331122058.pdf</w:t>
            </w:r>
          </w:p>
        </w:tc>
        <w:tc>
          <w:tcPr>
            <w:tcMar>
              <w:top w:w="100" w:type="dxa"/>
              <w:left w:w="140" w:type="dxa"/>
              <w:bottom w:w="100" w:type="dxa"/>
              <w:right w:w="100" w:type="dxa"/>
            </w:tcMar>
          </w:tcPr>
          <w:p w14:paraId="000000B0">
            <w:r>
              <w:rPr>
                <w:rtl w:val="0"/>
              </w:rPr>
              <w:t>public</w:t>
            </w:r>
          </w:p>
        </w:tc>
        <w:tc>
          <w:tcPr>
            <w:tcMar>
              <w:top w:w="100" w:type="dxa"/>
              <w:left w:w="140" w:type="dxa"/>
              <w:bottom w:w="100" w:type="dxa"/>
              <w:right w:w="100" w:type="dxa"/>
            </w:tcMar>
          </w:tcPr>
          <w:p w14:paraId="000000B1">
            <w:r>
              <w:rPr>
                <w:rtl w:val="0"/>
              </w:rPr>
              <w:t>DOSM — Government Open Data Terms of Use 1.0</w:t>
            </w:r>
          </w:p>
        </w:tc>
        <w:tc>
          <w:tcPr>
            <w:tcMar>
              <w:top w:w="100" w:type="dxa"/>
              <w:left w:w="140" w:type="dxa"/>
              <w:bottom w:w="100" w:type="dxa"/>
              <w:right w:w="100" w:type="dxa"/>
            </w:tcMar>
          </w:tcPr>
          <w:p w14:paraId="000000B2">
            <w:r>
              <w:rPr>
                <w:rtl w:val="0"/>
              </w:rPr>
              <w:t>N</w:t>
            </w:r>
          </w:p>
        </w:tc>
      </w:tr>
      <w:tr w14:paraId="04527F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B3">
            <w:r>
              <w:rPr>
                <w:rtl w:val="0"/>
              </w:rPr>
              <w:t>Malaysia</w:t>
            </w:r>
            <w:r>
              <w:rPr>
                <w:rtl w:val="0"/>
              </w:rPr>
              <w:tab/>
            </w:r>
            <w:r>
              <w:rPr>
                <w:rtl w:val="0"/>
              </w:rPr>
              <w:t>Graduates Statistics release archive</w:t>
            </w:r>
          </w:p>
        </w:tc>
        <w:tc>
          <w:tcPr>
            <w:tcMar>
              <w:top w:w="100" w:type="dxa"/>
              <w:left w:w="140" w:type="dxa"/>
              <w:bottom w:w="100" w:type="dxa"/>
              <w:right w:w="100" w:type="dxa"/>
            </w:tcMar>
          </w:tcPr>
          <w:p w14:paraId="000000B4">
            <w:r>
              <w:rPr>
                <w:rtl w:val="0"/>
              </w:rPr>
              <w:t>https://www.dosm.gov.my/portal-main/release-archive/graduates-statistics-2019</w:t>
            </w:r>
          </w:p>
        </w:tc>
        <w:tc>
          <w:tcPr>
            <w:tcMar>
              <w:top w:w="100" w:type="dxa"/>
              <w:left w:w="140" w:type="dxa"/>
              <w:bottom w:w="100" w:type="dxa"/>
              <w:right w:w="100" w:type="dxa"/>
            </w:tcMar>
          </w:tcPr>
          <w:p w14:paraId="000000B5">
            <w:r>
              <w:rPr>
                <w:rtl w:val="0"/>
              </w:rPr>
              <w:t>public</w:t>
            </w:r>
          </w:p>
        </w:tc>
        <w:tc>
          <w:tcPr>
            <w:tcMar>
              <w:top w:w="100" w:type="dxa"/>
              <w:left w:w="140" w:type="dxa"/>
              <w:bottom w:w="100" w:type="dxa"/>
              <w:right w:w="100" w:type="dxa"/>
            </w:tcMar>
          </w:tcPr>
          <w:p w14:paraId="000000B6">
            <w:r>
              <w:rPr>
                <w:rtl w:val="0"/>
              </w:rPr>
              <w:t>DOSM — Government Open Data Terms of Use 1.0</w:t>
            </w:r>
          </w:p>
        </w:tc>
        <w:tc>
          <w:tcPr>
            <w:tcMar>
              <w:top w:w="100" w:type="dxa"/>
              <w:left w:w="140" w:type="dxa"/>
              <w:bottom w:w="100" w:type="dxa"/>
              <w:right w:w="100" w:type="dxa"/>
            </w:tcMar>
          </w:tcPr>
          <w:p w14:paraId="000000B7">
            <w:r>
              <w:rPr>
                <w:rtl w:val="0"/>
              </w:rPr>
              <w:t>N</w:t>
            </w:r>
          </w:p>
        </w:tc>
      </w:tr>
      <w:tr w14:paraId="15FAA2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B8">
            <w:r>
              <w:rPr>
                <w:rtl w:val="0"/>
              </w:rPr>
              <w:t>Malaysia</w:t>
            </w:r>
            <w:r>
              <w:rPr>
                <w:rtl w:val="0"/>
              </w:rPr>
              <w:tab/>
            </w:r>
            <w:r>
              <w:rPr>
                <w:rtl w:val="0"/>
              </w:rPr>
              <w:t>Publication / 数据申请入口</w:t>
            </w:r>
          </w:p>
        </w:tc>
        <w:tc>
          <w:tcPr>
            <w:tcMar>
              <w:top w:w="100" w:type="dxa"/>
              <w:left w:w="140" w:type="dxa"/>
              <w:bottom w:w="100" w:type="dxa"/>
              <w:right w:w="100" w:type="dxa"/>
            </w:tcMar>
          </w:tcPr>
          <w:p w14:paraId="000000B9">
            <w:r>
              <w:rPr>
                <w:rtl w:val="0"/>
              </w:rPr>
              <w:t>https://www.dosm.gov.my/portal-main/publication</w:t>
            </w:r>
          </w:p>
        </w:tc>
        <w:tc>
          <w:tcPr>
            <w:tcMar>
              <w:top w:w="100" w:type="dxa"/>
              <w:left w:w="140" w:type="dxa"/>
              <w:bottom w:w="100" w:type="dxa"/>
              <w:right w:w="100" w:type="dxa"/>
            </w:tcMar>
          </w:tcPr>
          <w:p w14:paraId="000000BA">
            <w:r>
              <w:rPr>
                <w:rtl w:val="0"/>
              </w:rPr>
              <w:t>public</w:t>
            </w:r>
          </w:p>
        </w:tc>
        <w:tc>
          <w:tcPr>
            <w:tcMar>
              <w:top w:w="100" w:type="dxa"/>
              <w:left w:w="140" w:type="dxa"/>
              <w:bottom w:w="100" w:type="dxa"/>
              <w:right w:w="100" w:type="dxa"/>
            </w:tcMar>
          </w:tcPr>
          <w:p w14:paraId="000000BB">
            <w:r>
              <w:rPr>
                <w:rtl w:val="0"/>
              </w:rPr>
              <w:t>DOSM — Government Open Data Terms of Use 1.0</w:t>
            </w:r>
          </w:p>
        </w:tc>
        <w:tc>
          <w:tcPr>
            <w:tcMar>
              <w:top w:w="100" w:type="dxa"/>
              <w:left w:w="140" w:type="dxa"/>
              <w:bottom w:w="100" w:type="dxa"/>
              <w:right w:w="100" w:type="dxa"/>
            </w:tcMar>
          </w:tcPr>
          <w:p w14:paraId="000000BC">
            <w:r>
              <w:rPr>
                <w:rtl w:val="0"/>
              </w:rPr>
              <w:t>N</w:t>
            </w:r>
          </w:p>
        </w:tc>
      </w:tr>
      <w:tr w14:paraId="6A6920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BD">
            <w:r>
              <w:rPr>
                <w:rtl w:val="0"/>
              </w:rPr>
              <w:t>Malaysia</w:t>
            </w:r>
            <w:r>
              <w:rPr>
                <w:rtl w:val="0"/>
              </w:rPr>
              <w:tab/>
            </w:r>
            <w:r>
              <w:rPr>
                <w:rtl w:val="0"/>
              </w:rPr>
              <w:t>Graduate Employment Rate portal</w:t>
            </w:r>
          </w:p>
        </w:tc>
        <w:tc>
          <w:tcPr>
            <w:tcMar>
              <w:top w:w="100" w:type="dxa"/>
              <w:left w:w="140" w:type="dxa"/>
              <w:bottom w:w="100" w:type="dxa"/>
              <w:right w:w="100" w:type="dxa"/>
            </w:tcMar>
          </w:tcPr>
          <w:p w14:paraId="000000BE">
            <w:r>
              <w:rPr>
                <w:rtl w:val="0"/>
              </w:rPr>
              <w:t>https://ge.mohe.gov.my/CarianGraduateEmploymentBI.aspx</w:t>
            </w:r>
          </w:p>
        </w:tc>
        <w:tc>
          <w:tcPr>
            <w:tcMar>
              <w:top w:w="100" w:type="dxa"/>
              <w:left w:w="140" w:type="dxa"/>
              <w:bottom w:w="100" w:type="dxa"/>
              <w:right w:w="100" w:type="dxa"/>
            </w:tcMar>
          </w:tcPr>
          <w:p w14:paraId="000000BF">
            <w:r>
              <w:rPr>
                <w:rtl w:val="0"/>
              </w:rPr>
              <w:t>public</w:t>
            </w:r>
          </w:p>
        </w:tc>
        <w:tc>
          <w:tcPr>
            <w:tcMar>
              <w:top w:w="100" w:type="dxa"/>
              <w:left w:w="140" w:type="dxa"/>
              <w:bottom w:w="100" w:type="dxa"/>
              <w:right w:w="100" w:type="dxa"/>
            </w:tcMar>
          </w:tcPr>
          <w:p w14:paraId="000000C0">
            <w:r>
              <w:rPr>
                <w:rtl w:val="0"/>
              </w:rPr>
              <w:t>MoHE/KPT — None</w:t>
            </w:r>
          </w:p>
        </w:tc>
        <w:tc>
          <w:tcPr>
            <w:tcMar>
              <w:top w:w="100" w:type="dxa"/>
              <w:left w:w="140" w:type="dxa"/>
              <w:bottom w:w="100" w:type="dxa"/>
              <w:right w:w="100" w:type="dxa"/>
            </w:tcMar>
          </w:tcPr>
          <w:p w14:paraId="000000C1">
            <w:r>
              <w:rPr>
                <w:rtl w:val="0"/>
              </w:rPr>
              <w:t>N</w:t>
            </w:r>
          </w:p>
        </w:tc>
      </w:tr>
      <w:tr w14:paraId="7AEE47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C2">
            <w:r>
              <w:rPr>
                <w:rtl w:val="0"/>
              </w:rPr>
              <w:t>Malaysia</w:t>
            </w:r>
            <w:r>
              <w:rPr>
                <w:rtl w:val="0"/>
              </w:rPr>
              <w:tab/>
            </w:r>
            <w:r>
              <w:rPr>
                <w:rtl w:val="0"/>
              </w:rPr>
              <w:t>Graduate Employability portal</w:t>
            </w:r>
          </w:p>
        </w:tc>
        <w:tc>
          <w:tcPr>
            <w:tcMar>
              <w:top w:w="100" w:type="dxa"/>
              <w:left w:w="140" w:type="dxa"/>
              <w:bottom w:w="100" w:type="dxa"/>
              <w:right w:w="100" w:type="dxa"/>
            </w:tcMar>
          </w:tcPr>
          <w:p w14:paraId="000000C3">
            <w:r>
              <w:rPr>
                <w:rtl w:val="0"/>
              </w:rPr>
              <w:t>https://ge.mohe.gov.my/CarianGraduateEmployabilityBI.aspx</w:t>
            </w:r>
          </w:p>
        </w:tc>
        <w:tc>
          <w:tcPr>
            <w:tcMar>
              <w:top w:w="100" w:type="dxa"/>
              <w:left w:w="140" w:type="dxa"/>
              <w:bottom w:w="100" w:type="dxa"/>
              <w:right w:w="100" w:type="dxa"/>
            </w:tcMar>
          </w:tcPr>
          <w:p w14:paraId="000000C4">
            <w:r>
              <w:rPr>
                <w:rtl w:val="0"/>
              </w:rPr>
              <w:t>public</w:t>
            </w:r>
          </w:p>
        </w:tc>
        <w:tc>
          <w:tcPr>
            <w:tcMar>
              <w:top w:w="100" w:type="dxa"/>
              <w:left w:w="140" w:type="dxa"/>
              <w:bottom w:w="100" w:type="dxa"/>
              <w:right w:w="100" w:type="dxa"/>
            </w:tcMar>
          </w:tcPr>
          <w:p w14:paraId="000000C5">
            <w:r>
              <w:rPr>
                <w:rtl w:val="0"/>
              </w:rPr>
              <w:t>MoHE/KPT — None</w:t>
            </w:r>
          </w:p>
        </w:tc>
        <w:tc>
          <w:tcPr>
            <w:tcMar>
              <w:top w:w="100" w:type="dxa"/>
              <w:left w:w="140" w:type="dxa"/>
              <w:bottom w:w="100" w:type="dxa"/>
              <w:right w:w="100" w:type="dxa"/>
            </w:tcMar>
          </w:tcPr>
          <w:p w14:paraId="000000C6">
            <w:r>
              <w:rPr>
                <w:rtl w:val="0"/>
              </w:rPr>
              <w:t>N</w:t>
            </w:r>
          </w:p>
        </w:tc>
      </w:tr>
      <w:tr w14:paraId="4BDE5B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C7">
            <w:r>
              <w:rPr>
                <w:rtl w:val="0"/>
              </w:rPr>
              <w:t>United States</w:t>
            </w:r>
            <w:r>
              <w:rPr>
                <w:rtl w:val="0"/>
              </w:rPr>
              <w:tab/>
            </w:r>
            <w:r>
              <w:rPr>
                <w:rtl w:val="0"/>
              </w:rPr>
              <w:t>Winter 2026 Salary Survey Executive Summary</w:t>
            </w:r>
          </w:p>
        </w:tc>
        <w:tc>
          <w:tcPr>
            <w:tcMar>
              <w:top w:w="100" w:type="dxa"/>
              <w:left w:w="140" w:type="dxa"/>
              <w:bottom w:w="100" w:type="dxa"/>
              <w:right w:w="100" w:type="dxa"/>
            </w:tcMar>
          </w:tcPr>
          <w:p w14:paraId="000000C8">
            <w:r>
              <w:rPr>
                <w:rtl w:val="0"/>
              </w:rPr>
              <w:t>https://www.naceweb.org/docs/default-source/default-document-library/2026/publication/executive-summary/nace-winter-2026-salary-survey-executive-summary.pdf</w:t>
            </w:r>
          </w:p>
        </w:tc>
        <w:tc>
          <w:tcPr>
            <w:tcMar>
              <w:top w:w="100" w:type="dxa"/>
              <w:left w:w="140" w:type="dxa"/>
              <w:bottom w:w="100" w:type="dxa"/>
              <w:right w:w="100" w:type="dxa"/>
            </w:tcMar>
          </w:tcPr>
          <w:p w14:paraId="000000C9">
            <w:r>
              <w:rPr>
                <w:rtl w:val="0"/>
              </w:rPr>
              <w:t>public</w:t>
            </w:r>
          </w:p>
        </w:tc>
        <w:tc>
          <w:tcPr>
            <w:tcMar>
              <w:top w:w="100" w:type="dxa"/>
              <w:left w:w="140" w:type="dxa"/>
              <w:bottom w:w="100" w:type="dxa"/>
              <w:right w:w="100" w:type="dxa"/>
            </w:tcMar>
          </w:tcPr>
          <w:p w14:paraId="000000CA">
            <w:r>
              <w:rPr>
                <w:rtl w:val="0"/>
              </w:rPr>
              <w:t>NACE — None</w:t>
            </w:r>
          </w:p>
        </w:tc>
        <w:tc>
          <w:tcPr>
            <w:tcMar>
              <w:top w:w="100" w:type="dxa"/>
              <w:left w:w="140" w:type="dxa"/>
              <w:bottom w:w="100" w:type="dxa"/>
              <w:right w:w="100" w:type="dxa"/>
            </w:tcMar>
          </w:tcPr>
          <w:p w14:paraId="000000CB">
            <w:r>
              <w:rPr>
                <w:rtl w:val="0"/>
              </w:rPr>
              <w:t>N</w:t>
            </w:r>
          </w:p>
        </w:tc>
      </w:tr>
      <w:tr w14:paraId="4E54B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CC">
            <w:r>
              <w:rPr>
                <w:rtl w:val="0"/>
              </w:rPr>
              <w:t>United States</w:t>
            </w:r>
            <w:r>
              <w:rPr>
                <w:rtl w:val="0"/>
              </w:rPr>
              <w:tab/>
            </w:r>
            <w:r>
              <w:rPr>
                <w:rtl w:val="0"/>
              </w:rPr>
              <w:t>2026 Student Survey</w:t>
            </w:r>
          </w:p>
        </w:tc>
        <w:tc>
          <w:tcPr>
            <w:tcMar>
              <w:top w:w="100" w:type="dxa"/>
              <w:left w:w="140" w:type="dxa"/>
              <w:bottom w:w="100" w:type="dxa"/>
              <w:right w:w="100" w:type="dxa"/>
            </w:tcMar>
          </w:tcPr>
          <w:p w14:paraId="000000CD">
            <w:r>
              <w:rPr>
                <w:rtl w:val="0"/>
              </w:rPr>
              <w:t>https://www.naceweb.org/about-us/press/2026/more-than-two-out-of-five-of-college-class-of-2026-had-a-job-offer-in-hand-by-graduation</w:t>
            </w:r>
          </w:p>
        </w:tc>
        <w:tc>
          <w:tcPr>
            <w:tcMar>
              <w:top w:w="100" w:type="dxa"/>
              <w:left w:w="140" w:type="dxa"/>
              <w:bottom w:w="100" w:type="dxa"/>
              <w:right w:w="100" w:type="dxa"/>
            </w:tcMar>
          </w:tcPr>
          <w:p w14:paraId="000000CE">
            <w:r>
              <w:rPr>
                <w:rtl w:val="0"/>
              </w:rPr>
              <w:t>public</w:t>
            </w:r>
          </w:p>
        </w:tc>
        <w:tc>
          <w:tcPr>
            <w:tcMar>
              <w:top w:w="100" w:type="dxa"/>
              <w:left w:w="140" w:type="dxa"/>
              <w:bottom w:w="100" w:type="dxa"/>
              <w:right w:w="100" w:type="dxa"/>
            </w:tcMar>
          </w:tcPr>
          <w:p w14:paraId="000000CF">
            <w:r>
              <w:rPr>
                <w:rtl w:val="0"/>
              </w:rPr>
              <w:t>NACE — None</w:t>
            </w:r>
          </w:p>
        </w:tc>
        <w:tc>
          <w:tcPr>
            <w:tcMar>
              <w:top w:w="100" w:type="dxa"/>
              <w:left w:w="140" w:type="dxa"/>
              <w:bottom w:w="100" w:type="dxa"/>
              <w:right w:w="100" w:type="dxa"/>
            </w:tcMar>
          </w:tcPr>
          <w:p w14:paraId="000000D0">
            <w:r>
              <w:rPr>
                <w:rtl w:val="0"/>
              </w:rPr>
              <w:t>N</w:t>
            </w:r>
          </w:p>
        </w:tc>
      </w:tr>
      <w:tr w14:paraId="0A1193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D1">
            <w:r>
              <w:rPr>
                <w:rtl w:val="0"/>
              </w:rPr>
              <w:t>United States</w:t>
            </w:r>
            <w:r>
              <w:rPr>
                <w:rtl w:val="0"/>
              </w:rPr>
              <w:tab/>
            </w:r>
            <w:r>
              <w:rPr>
                <w:rtl w:val="0"/>
              </w:rPr>
              <w:t>Labor market outcomes by college major 2026</w:t>
            </w:r>
          </w:p>
        </w:tc>
        <w:tc>
          <w:tcPr>
            <w:tcMar>
              <w:top w:w="100" w:type="dxa"/>
              <w:left w:w="140" w:type="dxa"/>
              <w:bottom w:w="100" w:type="dxa"/>
              <w:right w:w="100" w:type="dxa"/>
            </w:tcMar>
          </w:tcPr>
          <w:p w14:paraId="000000D2">
            <w:r>
              <w:rPr>
                <w:rtl w:val="0"/>
              </w:rPr>
              <w:t>https://www.lanacion.com.ar/estados-unidos/las-carreras-con-los-sueldos-mas-altos-y-menos-desempleo-en-2026-en-eeuu-segun-la-fed-nid27022026/</w:t>
            </w:r>
          </w:p>
        </w:tc>
        <w:tc>
          <w:tcPr>
            <w:tcMar>
              <w:top w:w="100" w:type="dxa"/>
              <w:left w:w="140" w:type="dxa"/>
              <w:bottom w:w="100" w:type="dxa"/>
              <w:right w:w="100" w:type="dxa"/>
            </w:tcMar>
          </w:tcPr>
          <w:p w14:paraId="000000D3">
            <w:r>
              <w:rPr>
                <w:rtl w:val="0"/>
              </w:rPr>
              <w:t>public</w:t>
            </w:r>
          </w:p>
        </w:tc>
        <w:tc>
          <w:tcPr>
            <w:tcMar>
              <w:top w:w="100" w:type="dxa"/>
              <w:left w:w="140" w:type="dxa"/>
              <w:bottom w:w="100" w:type="dxa"/>
              <w:right w:w="100" w:type="dxa"/>
            </w:tcMar>
          </w:tcPr>
          <w:p w14:paraId="000000D4">
            <w:r>
              <w:rPr>
                <w:rtl w:val="0"/>
              </w:rPr>
              <w:t>Federal Reserve Bank of New York via CBS/La Nación — None</w:t>
            </w:r>
          </w:p>
        </w:tc>
        <w:tc>
          <w:tcPr>
            <w:tcMar>
              <w:top w:w="100" w:type="dxa"/>
              <w:left w:w="140" w:type="dxa"/>
              <w:bottom w:w="100" w:type="dxa"/>
              <w:right w:w="100" w:type="dxa"/>
            </w:tcMar>
          </w:tcPr>
          <w:p w14:paraId="000000D5">
            <w:r>
              <w:rPr>
                <w:rtl w:val="0"/>
              </w:rPr>
              <w:t>N</w:t>
            </w:r>
          </w:p>
        </w:tc>
      </w:tr>
      <w:tr w14:paraId="339310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D6">
            <w:r>
              <w:rPr>
                <w:rtl w:val="0"/>
              </w:rPr>
              <w:t>United Kingdom</w:t>
            </w:r>
            <w:r>
              <w:rPr>
                <w:rtl w:val="0"/>
              </w:rPr>
              <w:tab/>
            </w:r>
            <w:r>
              <w:rPr>
                <w:rtl w:val="0"/>
              </w:rPr>
              <w:t>Graduate Outcomes 2023/24</w:t>
            </w:r>
          </w:p>
        </w:tc>
        <w:tc>
          <w:tcPr>
            <w:tcMar>
              <w:top w:w="100" w:type="dxa"/>
              <w:left w:w="140" w:type="dxa"/>
              <w:bottom w:w="100" w:type="dxa"/>
              <w:right w:w="100" w:type="dxa"/>
            </w:tcMar>
          </w:tcPr>
          <w:p w14:paraId="000000D7">
            <w:r>
              <w:rPr>
                <w:rtl w:val="0"/>
              </w:rPr>
              <w:t>https://www.hesa.ac.uk/news/04-06-2026/sb275-higher-education-graduate-outcomes-statistics</w:t>
            </w:r>
          </w:p>
        </w:tc>
        <w:tc>
          <w:tcPr>
            <w:tcMar>
              <w:top w:w="100" w:type="dxa"/>
              <w:left w:w="140" w:type="dxa"/>
              <w:bottom w:w="100" w:type="dxa"/>
              <w:right w:w="100" w:type="dxa"/>
            </w:tcMar>
          </w:tcPr>
          <w:p w14:paraId="000000D8">
            <w:r>
              <w:rPr>
                <w:rtl w:val="0"/>
              </w:rPr>
              <w:t>public</w:t>
            </w:r>
          </w:p>
        </w:tc>
        <w:tc>
          <w:tcPr>
            <w:tcMar>
              <w:top w:w="100" w:type="dxa"/>
              <w:left w:w="140" w:type="dxa"/>
              <w:bottom w:w="100" w:type="dxa"/>
              <w:right w:w="100" w:type="dxa"/>
            </w:tcMar>
          </w:tcPr>
          <w:p w14:paraId="000000D9">
            <w:r>
              <w:rPr>
                <w:rtl w:val="0"/>
              </w:rPr>
              <w:t>HESA — Creative Commons 4.0 CC-BY</w:t>
            </w:r>
          </w:p>
        </w:tc>
        <w:tc>
          <w:tcPr>
            <w:tcMar>
              <w:top w:w="100" w:type="dxa"/>
              <w:left w:w="140" w:type="dxa"/>
              <w:bottom w:w="100" w:type="dxa"/>
              <w:right w:w="100" w:type="dxa"/>
            </w:tcMar>
          </w:tcPr>
          <w:p w14:paraId="000000DA">
            <w:r>
              <w:rPr>
                <w:rtl w:val="0"/>
              </w:rPr>
              <w:t>N</w:t>
            </w:r>
          </w:p>
        </w:tc>
      </w:tr>
      <w:tr w14:paraId="6CDC9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DB">
            <w:r>
              <w:rPr>
                <w:rtl w:val="0"/>
              </w:rPr>
              <w:t>United Kingdom</w:t>
            </w:r>
            <w:r>
              <w:rPr>
                <w:rtl w:val="0"/>
              </w:rPr>
              <w:tab/>
            </w:r>
            <w:r>
              <w:rPr>
                <w:rtl w:val="0"/>
              </w:rPr>
              <w:t>Drop in graduate employment ‘a cooling, not a collapse’</w:t>
            </w:r>
          </w:p>
        </w:tc>
        <w:tc>
          <w:tcPr>
            <w:tcMar>
              <w:top w:w="100" w:type="dxa"/>
              <w:left w:w="140" w:type="dxa"/>
              <w:bottom w:w="100" w:type="dxa"/>
              <w:right w:w="100" w:type="dxa"/>
            </w:tcMar>
          </w:tcPr>
          <w:p w14:paraId="000000DC">
            <w:r>
              <w:rPr>
                <w:rtl w:val="0"/>
              </w:rPr>
              <w:t>https://www.timeshighereducation.com/news/drop-graduate-employment-cooling-not-collapse</w:t>
            </w:r>
          </w:p>
        </w:tc>
        <w:tc>
          <w:tcPr>
            <w:tcMar>
              <w:top w:w="100" w:type="dxa"/>
              <w:left w:w="140" w:type="dxa"/>
              <w:bottom w:w="100" w:type="dxa"/>
              <w:right w:w="100" w:type="dxa"/>
            </w:tcMar>
          </w:tcPr>
          <w:p w14:paraId="000000DD">
            <w:r>
              <w:rPr>
                <w:rtl w:val="0"/>
              </w:rPr>
              <w:t>public</w:t>
            </w:r>
          </w:p>
        </w:tc>
        <w:tc>
          <w:tcPr>
            <w:tcMar>
              <w:top w:w="100" w:type="dxa"/>
              <w:left w:w="140" w:type="dxa"/>
              <w:bottom w:w="100" w:type="dxa"/>
              <w:right w:w="100" w:type="dxa"/>
            </w:tcMar>
          </w:tcPr>
          <w:p w14:paraId="000000DE">
            <w:r>
              <w:rPr>
                <w:rtl w:val="0"/>
              </w:rPr>
              <w:t>Times Higher Education — None</w:t>
            </w:r>
          </w:p>
        </w:tc>
        <w:tc>
          <w:tcPr>
            <w:tcMar>
              <w:top w:w="100" w:type="dxa"/>
              <w:left w:w="140" w:type="dxa"/>
              <w:bottom w:w="100" w:type="dxa"/>
              <w:right w:w="100" w:type="dxa"/>
            </w:tcMar>
          </w:tcPr>
          <w:p w14:paraId="000000DF">
            <w:r>
              <w:rPr>
                <w:rtl w:val="0"/>
              </w:rPr>
              <w:t>N</w:t>
            </w:r>
          </w:p>
        </w:tc>
      </w:tr>
      <w:tr w14:paraId="419E6E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E0">
            <w:r>
              <w:rPr>
                <w:rtl w:val="0"/>
              </w:rPr>
              <w:t>Germany</w:t>
            </w:r>
            <w:r>
              <w:rPr>
                <w:rtl w:val="0"/>
              </w:rPr>
              <w:tab/>
            </w:r>
            <w:r>
              <w:rPr>
                <w:rtl w:val="0"/>
              </w:rPr>
              <w:t>Akademikerarbeitslosigkeit 2025</w:t>
            </w:r>
          </w:p>
        </w:tc>
        <w:tc>
          <w:tcPr>
            <w:tcMar>
              <w:top w:w="100" w:type="dxa"/>
              <w:left w:w="140" w:type="dxa"/>
              <w:bottom w:w="100" w:type="dxa"/>
              <w:right w:w="100" w:type="dxa"/>
            </w:tcMar>
          </w:tcPr>
          <w:p w14:paraId="000000E1">
            <w:r>
              <w:rPr>
                <w:rtl w:val="0"/>
              </w:rPr>
              <w:t>https://www.bpb.de/themen/bildung/dossier-bildung/576230/sind-studierte-am-arbeitsmarkt-weniger-gefragt-herr-weber/</w:t>
            </w:r>
          </w:p>
        </w:tc>
        <w:tc>
          <w:tcPr>
            <w:tcMar>
              <w:top w:w="100" w:type="dxa"/>
              <w:left w:w="140" w:type="dxa"/>
              <w:bottom w:w="100" w:type="dxa"/>
              <w:right w:w="100" w:type="dxa"/>
            </w:tcMar>
          </w:tcPr>
          <w:p w14:paraId="000000E2">
            <w:r>
              <w:rPr>
                <w:rtl w:val="0"/>
              </w:rPr>
              <w:t>public</w:t>
            </w:r>
          </w:p>
        </w:tc>
        <w:tc>
          <w:tcPr>
            <w:tcMar>
              <w:top w:w="100" w:type="dxa"/>
              <w:left w:w="140" w:type="dxa"/>
              <w:bottom w:w="100" w:type="dxa"/>
              <w:right w:w="100" w:type="dxa"/>
            </w:tcMar>
          </w:tcPr>
          <w:p w14:paraId="000000E3">
            <w:r>
              <w:rPr>
                <w:rtl w:val="0"/>
              </w:rPr>
              <w:t>CC BY-NC-ND</w:t>
            </w:r>
          </w:p>
        </w:tc>
        <w:tc>
          <w:tcPr>
            <w:tcMar>
              <w:top w:w="100" w:type="dxa"/>
              <w:left w:w="140" w:type="dxa"/>
              <w:bottom w:w="100" w:type="dxa"/>
              <w:right w:w="100" w:type="dxa"/>
            </w:tcMar>
          </w:tcPr>
          <w:p w14:paraId="000000E4">
            <w:r>
              <w:rPr>
                <w:rtl w:val="0"/>
              </w:rPr>
              <w:t>N</w:t>
            </w:r>
          </w:p>
        </w:tc>
      </w:tr>
      <w:tr w14:paraId="2740AB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E5">
            <w:r>
              <w:rPr>
                <w:rtl w:val="0"/>
              </w:rPr>
              <w:t>Germany</w:t>
            </w:r>
            <w:r>
              <w:rPr>
                <w:rtl w:val="0"/>
              </w:rPr>
              <w:tab/>
            </w:r>
            <w:r>
              <w:rPr>
                <w:rtl w:val="0"/>
              </w:rPr>
              <w:t>Handwerk oder Studium</w:t>
            </w:r>
          </w:p>
        </w:tc>
        <w:tc>
          <w:tcPr>
            <w:tcMar>
              <w:top w:w="100" w:type="dxa"/>
              <w:left w:w="140" w:type="dxa"/>
              <w:bottom w:w="100" w:type="dxa"/>
              <w:right w:w="100" w:type="dxa"/>
            </w:tcMar>
          </w:tcPr>
          <w:p w14:paraId="000000E6">
            <w:r>
              <w:rPr>
                <w:rtl w:val="0"/>
              </w:rPr>
              <w:t>https://www.tagesschau.de/</w:t>
            </w:r>
          </w:p>
        </w:tc>
        <w:tc>
          <w:tcPr>
            <w:tcMar>
              <w:top w:w="100" w:type="dxa"/>
              <w:left w:w="140" w:type="dxa"/>
              <w:bottom w:w="100" w:type="dxa"/>
              <w:right w:w="100" w:type="dxa"/>
            </w:tcMar>
          </w:tcPr>
          <w:p w14:paraId="000000E7">
            <w:r>
              <w:rPr>
                <w:rtl w:val="0"/>
              </w:rPr>
              <w:t>public</w:t>
            </w:r>
          </w:p>
        </w:tc>
        <w:tc>
          <w:tcPr>
            <w:tcMar>
              <w:top w:w="100" w:type="dxa"/>
              <w:left w:w="140" w:type="dxa"/>
              <w:bottom w:w="100" w:type="dxa"/>
              <w:right w:w="100" w:type="dxa"/>
            </w:tcMar>
          </w:tcPr>
          <w:p w14:paraId="000000E8">
            <w:r>
              <w:rPr>
                <w:rtl w:val="0"/>
              </w:rPr>
              <w:t>CC BY-SA 4.0;</w:t>
            </w:r>
          </w:p>
          <w:p w14:paraId="000000E9">
            <w:r>
              <w:rPr>
                <w:rtl w:val="0"/>
              </w:rPr>
              <w:t>CC BY-NC-ND 4.0 DE</w:t>
            </w:r>
          </w:p>
        </w:tc>
        <w:tc>
          <w:tcPr>
            <w:tcMar>
              <w:top w:w="100" w:type="dxa"/>
              <w:left w:w="140" w:type="dxa"/>
              <w:bottom w:w="100" w:type="dxa"/>
              <w:right w:w="100" w:type="dxa"/>
            </w:tcMar>
          </w:tcPr>
          <w:p w14:paraId="000000EA">
            <w:r>
              <w:rPr>
                <w:rtl w:val="0"/>
              </w:rPr>
              <w:t>N</w:t>
            </w:r>
          </w:p>
        </w:tc>
      </w:tr>
      <w:tr w14:paraId="12028F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EB">
            <w:r>
              <w:rPr>
                <w:rtl w:val="0"/>
              </w:rPr>
              <w:t>Japan</w:t>
            </w:r>
            <w:r>
              <w:rPr>
                <w:rtl w:val="0"/>
              </w:rPr>
              <w:tab/>
            </w:r>
            <w:r>
              <w:rPr>
                <w:rtl w:val="0"/>
              </w:rPr>
              <w:t>令和7年度大学等卒業者の就職状況調査</w:t>
            </w:r>
          </w:p>
        </w:tc>
        <w:tc>
          <w:tcPr>
            <w:tcMar>
              <w:top w:w="100" w:type="dxa"/>
              <w:left w:w="140" w:type="dxa"/>
              <w:bottom w:w="100" w:type="dxa"/>
              <w:right w:w="100" w:type="dxa"/>
            </w:tcMar>
          </w:tcPr>
          <w:p w14:paraId="000000EC">
            <w:r>
              <w:rPr>
                <w:rtl w:val="0"/>
              </w:rPr>
              <w:t>https://www.mext.go.jp/</w:t>
            </w:r>
          </w:p>
        </w:tc>
        <w:tc>
          <w:tcPr>
            <w:tcMar>
              <w:top w:w="100" w:type="dxa"/>
              <w:left w:w="140" w:type="dxa"/>
              <w:bottom w:w="100" w:type="dxa"/>
              <w:right w:w="100" w:type="dxa"/>
            </w:tcMar>
          </w:tcPr>
          <w:p w14:paraId="000000ED">
            <w:r>
              <w:rPr>
                <w:rtl w:val="0"/>
              </w:rPr>
              <w:t>public</w:t>
            </w:r>
          </w:p>
        </w:tc>
        <w:tc>
          <w:tcPr>
            <w:tcMar>
              <w:top w:w="100" w:type="dxa"/>
              <w:left w:w="140" w:type="dxa"/>
              <w:bottom w:w="100" w:type="dxa"/>
              <w:right w:w="100" w:type="dxa"/>
            </w:tcMar>
          </w:tcPr>
          <w:p w14:paraId="000000EE">
            <w:r>
              <w:rPr>
                <w:rtl w:val="0"/>
              </w:rPr>
              <w:t>CC BY 4.0</w:t>
            </w:r>
          </w:p>
        </w:tc>
        <w:tc>
          <w:tcPr>
            <w:tcMar>
              <w:top w:w="100" w:type="dxa"/>
              <w:left w:w="140" w:type="dxa"/>
              <w:bottom w:w="100" w:type="dxa"/>
              <w:right w:w="100" w:type="dxa"/>
            </w:tcMar>
          </w:tcPr>
          <w:p w14:paraId="000000EF">
            <w:r>
              <w:rPr>
                <w:rtl w:val="0"/>
              </w:rPr>
              <w:t>N</w:t>
            </w:r>
          </w:p>
        </w:tc>
      </w:tr>
      <w:tr w14:paraId="42D88D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F0">
            <w:r>
              <w:rPr>
                <w:rtl w:val="0"/>
              </w:rPr>
              <w:t>Japan</w:t>
            </w:r>
            <w:r>
              <w:rPr>
                <w:rtl w:val="0"/>
              </w:rPr>
              <w:tab/>
            </w:r>
            <w:r>
              <w:rPr>
                <w:rtl w:val="0"/>
              </w:rPr>
              <w:t>2026届应届生起薪25.4228万日元/月</w:t>
            </w:r>
            <w:r>
              <w:rPr>
                <w:rtl w:val="0"/>
              </w:rPr>
              <w:tab/>
            </w:r>
          </w:p>
        </w:tc>
        <w:tc>
          <w:tcPr>
            <w:tcMar>
              <w:top w:w="100" w:type="dxa"/>
              <w:left w:w="140" w:type="dxa"/>
              <w:bottom w:w="100" w:type="dxa"/>
              <w:right w:w="100" w:type="dxa"/>
            </w:tcMar>
          </w:tcPr>
          <w:p w14:paraId="000000F1">
            <w:r>
              <w:rPr>
                <w:rtl w:val="0"/>
              </w:rPr>
              <w:t>https://zhuanlan.zhihu.com/p/2030591329944737236</w:t>
            </w:r>
          </w:p>
        </w:tc>
        <w:tc>
          <w:tcPr>
            <w:tcMar>
              <w:top w:w="100" w:type="dxa"/>
              <w:left w:w="140" w:type="dxa"/>
              <w:bottom w:w="100" w:type="dxa"/>
              <w:right w:w="100" w:type="dxa"/>
            </w:tcMar>
          </w:tcPr>
          <w:p w14:paraId="000000F2">
            <w:r>
              <w:rPr>
                <w:rtl w:val="0"/>
              </w:rPr>
              <w:t>public</w:t>
            </w:r>
          </w:p>
        </w:tc>
        <w:tc>
          <w:tcPr>
            <w:tcMar>
              <w:top w:w="100" w:type="dxa"/>
              <w:left w:w="140" w:type="dxa"/>
              <w:bottom w:w="100" w:type="dxa"/>
              <w:right w:w="100" w:type="dxa"/>
            </w:tcMar>
          </w:tcPr>
          <w:p w14:paraId="000000F3">
            <w:r>
              <w:rPr>
                <w:rtl w:val="0"/>
              </w:rPr>
              <w:t>None</w:t>
            </w:r>
          </w:p>
        </w:tc>
        <w:tc>
          <w:tcPr>
            <w:tcMar>
              <w:top w:w="100" w:type="dxa"/>
              <w:left w:w="140" w:type="dxa"/>
              <w:bottom w:w="100" w:type="dxa"/>
              <w:right w:w="100" w:type="dxa"/>
            </w:tcMar>
          </w:tcPr>
          <w:p w14:paraId="000000F4">
            <w:r>
              <w:rPr>
                <w:rtl w:val="0"/>
              </w:rPr>
              <w:t>N</w:t>
            </w:r>
          </w:p>
        </w:tc>
      </w:tr>
      <w:tr w14:paraId="1DE800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F5">
            <w:r>
              <w:rPr>
                <w:rtl w:val="0"/>
              </w:rPr>
              <w:t>South Korea</w:t>
            </w:r>
            <w:r>
              <w:rPr>
                <w:rtl w:val="0"/>
              </w:rPr>
              <w:tab/>
            </w:r>
            <w:r>
              <w:rPr>
                <w:rtl w:val="0"/>
              </w:rPr>
              <w:t>2024年毕业生就业统计</w:t>
            </w:r>
          </w:p>
        </w:tc>
        <w:tc>
          <w:tcPr>
            <w:tcMar>
              <w:top w:w="100" w:type="dxa"/>
              <w:left w:w="140" w:type="dxa"/>
              <w:bottom w:w="100" w:type="dxa"/>
              <w:right w:w="100" w:type="dxa"/>
            </w:tcMar>
          </w:tcPr>
          <w:p w14:paraId="000000F6">
            <w:r>
              <w:rPr>
                <w:rtl w:val="0"/>
              </w:rPr>
              <w:t>https://www.asiae.co.kr/article/2025122918315539619</w:t>
            </w:r>
          </w:p>
        </w:tc>
        <w:tc>
          <w:tcPr>
            <w:tcMar>
              <w:top w:w="100" w:type="dxa"/>
              <w:left w:w="140" w:type="dxa"/>
              <w:bottom w:w="100" w:type="dxa"/>
              <w:right w:w="100" w:type="dxa"/>
            </w:tcMar>
          </w:tcPr>
          <w:p w14:paraId="000000F7">
            <w:r>
              <w:rPr>
                <w:rtl w:val="0"/>
              </w:rPr>
              <w:t>public</w:t>
            </w:r>
          </w:p>
        </w:tc>
        <w:tc>
          <w:tcPr>
            <w:tcMar>
              <w:top w:w="100" w:type="dxa"/>
              <w:left w:w="140" w:type="dxa"/>
              <w:bottom w:w="100" w:type="dxa"/>
              <w:right w:w="100" w:type="dxa"/>
            </w:tcMar>
          </w:tcPr>
          <w:p w14:paraId="000000F8">
            <w:r>
              <w:rPr>
                <w:rtl w:val="0"/>
              </w:rPr>
              <w:t>None</w:t>
            </w:r>
          </w:p>
        </w:tc>
        <w:tc>
          <w:tcPr>
            <w:tcMar>
              <w:top w:w="100" w:type="dxa"/>
              <w:left w:w="140" w:type="dxa"/>
              <w:bottom w:w="100" w:type="dxa"/>
              <w:right w:w="100" w:type="dxa"/>
            </w:tcMar>
          </w:tcPr>
          <w:p w14:paraId="000000F9">
            <w:r>
              <w:rPr>
                <w:rtl w:val="0"/>
              </w:rPr>
              <w:t>N</w:t>
            </w:r>
          </w:p>
        </w:tc>
      </w:tr>
      <w:tr w14:paraId="0FE573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FA">
            <w:r>
              <w:rPr>
                <w:rtl w:val="0"/>
              </w:rPr>
              <w:t>South Korea</w:t>
            </w:r>
            <w:r>
              <w:rPr>
                <w:rtl w:val="0"/>
              </w:rPr>
              <w:tab/>
            </w:r>
            <w:r>
              <w:rPr>
                <w:rtl w:val="0"/>
              </w:rPr>
              <w:t>OECD Education at a Glance 2026 via UPI：25–64岁大学毕业生就业率80.1%（2025）</w:t>
            </w:r>
          </w:p>
        </w:tc>
        <w:tc>
          <w:tcPr>
            <w:tcMar>
              <w:top w:w="100" w:type="dxa"/>
              <w:left w:w="140" w:type="dxa"/>
              <w:bottom w:w="100" w:type="dxa"/>
              <w:right w:w="100" w:type="dxa"/>
            </w:tcMar>
          </w:tcPr>
          <w:p w14:paraId="000000FB">
            <w:r>
              <w:rPr>
                <w:rtl w:val="0"/>
              </w:rPr>
              <w:t>https://www.upi.com/Top_News/World-News/2026/09/29/oecd-education-employment/3791790724530/</w:t>
            </w:r>
          </w:p>
        </w:tc>
        <w:tc>
          <w:tcPr>
            <w:tcMar>
              <w:top w:w="100" w:type="dxa"/>
              <w:left w:w="140" w:type="dxa"/>
              <w:bottom w:w="100" w:type="dxa"/>
              <w:right w:w="100" w:type="dxa"/>
            </w:tcMar>
          </w:tcPr>
          <w:p w14:paraId="000000FC">
            <w:r>
              <w:rPr>
                <w:rtl w:val="0"/>
              </w:rPr>
              <w:t>public</w:t>
            </w:r>
          </w:p>
        </w:tc>
        <w:tc>
          <w:tcPr>
            <w:tcMar>
              <w:top w:w="100" w:type="dxa"/>
              <w:left w:w="140" w:type="dxa"/>
              <w:bottom w:w="100" w:type="dxa"/>
              <w:right w:w="100" w:type="dxa"/>
            </w:tcMar>
          </w:tcPr>
          <w:p w14:paraId="000000FD">
            <w:r>
              <w:rPr>
                <w:rtl w:val="0"/>
              </w:rPr>
              <w:t>UPI — None</w:t>
            </w:r>
          </w:p>
        </w:tc>
        <w:tc>
          <w:tcPr>
            <w:tcMar>
              <w:top w:w="100" w:type="dxa"/>
              <w:left w:w="140" w:type="dxa"/>
              <w:bottom w:w="100" w:type="dxa"/>
              <w:right w:w="100" w:type="dxa"/>
            </w:tcMar>
          </w:tcPr>
          <w:p w14:paraId="000000FE">
            <w:r>
              <w:rPr>
                <w:rtl w:val="0"/>
              </w:rPr>
              <w:t>N</w:t>
            </w:r>
          </w:p>
        </w:tc>
      </w:tr>
      <w:tr w14:paraId="3BF2E3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0FF">
            <w:r>
              <w:rPr>
                <w:rtl w:val="0"/>
              </w:rPr>
              <w:t>Australia</w:t>
            </w:r>
            <w:r>
              <w:rPr>
                <w:rtl w:val="0"/>
              </w:rPr>
              <w:tab/>
            </w:r>
            <w:r>
              <w:rPr>
                <w:rtl w:val="0"/>
              </w:rPr>
              <w:t>2025 Graduate Outcomes Survey National Report</w:t>
            </w:r>
          </w:p>
        </w:tc>
        <w:tc>
          <w:tcPr>
            <w:tcMar>
              <w:top w:w="100" w:type="dxa"/>
              <w:left w:w="140" w:type="dxa"/>
              <w:bottom w:w="100" w:type="dxa"/>
              <w:right w:w="100" w:type="dxa"/>
            </w:tcMar>
          </w:tcPr>
          <w:p w14:paraId="00000100">
            <w:r>
              <w:rPr>
                <w:rtl w:val="0"/>
              </w:rPr>
              <w:t>https://qilt.edu.au/</w:t>
            </w:r>
          </w:p>
        </w:tc>
        <w:tc>
          <w:tcPr>
            <w:tcMar>
              <w:top w:w="100" w:type="dxa"/>
              <w:left w:w="140" w:type="dxa"/>
              <w:bottom w:w="100" w:type="dxa"/>
              <w:right w:w="100" w:type="dxa"/>
            </w:tcMar>
          </w:tcPr>
          <w:p w14:paraId="00000101">
            <w:r>
              <w:rPr>
                <w:rtl w:val="0"/>
              </w:rPr>
              <w:t>public</w:t>
            </w:r>
          </w:p>
        </w:tc>
        <w:tc>
          <w:tcPr>
            <w:tcMar>
              <w:top w:w="100" w:type="dxa"/>
              <w:left w:w="140" w:type="dxa"/>
              <w:bottom w:w="100" w:type="dxa"/>
              <w:right w:w="100" w:type="dxa"/>
            </w:tcMar>
          </w:tcPr>
          <w:p w14:paraId="00000102">
            <w:r>
              <w:rPr>
                <w:rtl w:val="0"/>
              </w:rPr>
              <w:t>QILT — None</w:t>
            </w:r>
          </w:p>
        </w:tc>
        <w:tc>
          <w:tcPr>
            <w:tcMar>
              <w:top w:w="100" w:type="dxa"/>
              <w:left w:w="140" w:type="dxa"/>
              <w:bottom w:w="100" w:type="dxa"/>
              <w:right w:w="100" w:type="dxa"/>
            </w:tcMar>
          </w:tcPr>
          <w:p w14:paraId="00000103">
            <w:r>
              <w:rPr>
                <w:rtl w:val="0"/>
              </w:rPr>
              <w:t>N</w:t>
            </w:r>
          </w:p>
        </w:tc>
      </w:tr>
      <w:tr w14:paraId="625A84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04">
            <w:r>
              <w:rPr>
                <w:rtl w:val="0"/>
              </w:rPr>
              <w:t>Australia</w:t>
            </w:r>
            <w:r>
              <w:rPr>
                <w:rtl w:val="0"/>
              </w:rPr>
              <w:tab/>
            </w:r>
            <w:r>
              <w:rPr>
                <w:rtl w:val="0"/>
              </w:rPr>
              <w:t>2025 GOS-L（三年后中位薪资A$91,000）</w:t>
            </w:r>
          </w:p>
        </w:tc>
        <w:tc>
          <w:tcPr>
            <w:tcMar>
              <w:top w:w="100" w:type="dxa"/>
              <w:left w:w="140" w:type="dxa"/>
              <w:bottom w:w="100" w:type="dxa"/>
              <w:right w:w="100" w:type="dxa"/>
            </w:tcMar>
          </w:tcPr>
          <w:p w14:paraId="00000105">
            <w:r>
              <w:rPr>
                <w:rtl w:val="0"/>
              </w:rPr>
              <w:t>https://www.qilt.edu.au/surveys/graduate-outcomes-survey---longitudinal-(gos-l)</w:t>
            </w:r>
          </w:p>
        </w:tc>
        <w:tc>
          <w:tcPr>
            <w:tcMar>
              <w:top w:w="100" w:type="dxa"/>
              <w:left w:w="140" w:type="dxa"/>
              <w:bottom w:w="100" w:type="dxa"/>
              <w:right w:w="100" w:type="dxa"/>
            </w:tcMar>
          </w:tcPr>
          <w:p w14:paraId="00000106">
            <w:r>
              <w:rPr>
                <w:rtl w:val="0"/>
              </w:rPr>
              <w:t>public</w:t>
            </w:r>
          </w:p>
        </w:tc>
        <w:tc>
          <w:tcPr>
            <w:tcMar>
              <w:top w:w="100" w:type="dxa"/>
              <w:left w:w="140" w:type="dxa"/>
              <w:bottom w:w="100" w:type="dxa"/>
              <w:right w:w="100" w:type="dxa"/>
            </w:tcMar>
          </w:tcPr>
          <w:p w14:paraId="00000107">
            <w:r>
              <w:rPr>
                <w:rtl w:val="0"/>
              </w:rPr>
              <w:t>QILT — None</w:t>
            </w:r>
          </w:p>
        </w:tc>
        <w:tc>
          <w:tcPr>
            <w:tcMar>
              <w:top w:w="100" w:type="dxa"/>
              <w:left w:w="140" w:type="dxa"/>
              <w:bottom w:w="100" w:type="dxa"/>
              <w:right w:w="100" w:type="dxa"/>
            </w:tcMar>
          </w:tcPr>
          <w:p w14:paraId="00000108">
            <w:r>
              <w:rPr>
                <w:rtl w:val="0"/>
              </w:rPr>
              <w:t>N</w:t>
            </w:r>
          </w:p>
        </w:tc>
      </w:tr>
      <w:tr w14:paraId="17161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09">
            <w:r>
              <w:rPr>
                <w:rtl w:val="0"/>
              </w:rPr>
              <w:t>Canada</w:t>
            </w:r>
            <w:r>
              <w:rPr>
                <w:rtl w:val="0"/>
              </w:rPr>
              <w:tab/>
            </w:r>
            <w:r>
              <w:rPr>
                <w:rtl w:val="0"/>
              </w:rPr>
              <w:t>Labour market outcomes of postsecondary graduates</w:t>
            </w:r>
          </w:p>
        </w:tc>
        <w:tc>
          <w:tcPr>
            <w:tcMar>
              <w:top w:w="100" w:type="dxa"/>
              <w:left w:w="140" w:type="dxa"/>
              <w:bottom w:w="100" w:type="dxa"/>
              <w:right w:w="100" w:type="dxa"/>
            </w:tcMar>
          </w:tcPr>
          <w:p w14:paraId="0000010A">
            <w:r>
              <w:rPr>
                <w:rtl w:val="0"/>
              </w:rPr>
              <w:t>https://www150.statcan.gc.ca/n1/en/surveys/5012</w:t>
            </w:r>
          </w:p>
        </w:tc>
        <w:tc>
          <w:tcPr>
            <w:tcMar>
              <w:top w:w="100" w:type="dxa"/>
              <w:left w:w="140" w:type="dxa"/>
              <w:bottom w:w="100" w:type="dxa"/>
              <w:right w:w="100" w:type="dxa"/>
            </w:tcMar>
          </w:tcPr>
          <w:p w14:paraId="0000010B">
            <w:r>
              <w:rPr>
                <w:rtl w:val="0"/>
              </w:rPr>
              <w:t>public</w:t>
            </w:r>
          </w:p>
        </w:tc>
        <w:tc>
          <w:tcPr>
            <w:tcMar>
              <w:top w:w="100" w:type="dxa"/>
              <w:left w:w="140" w:type="dxa"/>
              <w:bottom w:w="100" w:type="dxa"/>
              <w:right w:w="100" w:type="dxa"/>
            </w:tcMar>
          </w:tcPr>
          <w:p w14:paraId="0000010C">
            <w:r>
              <w:rPr>
                <w:rtl w:val="0"/>
              </w:rPr>
              <w:t>Statistics Canada — Statistics Canada Open Licence</w:t>
            </w:r>
          </w:p>
        </w:tc>
        <w:tc>
          <w:tcPr>
            <w:tcMar>
              <w:top w:w="100" w:type="dxa"/>
              <w:left w:w="140" w:type="dxa"/>
              <w:bottom w:w="100" w:type="dxa"/>
              <w:right w:w="100" w:type="dxa"/>
            </w:tcMar>
          </w:tcPr>
          <w:p w14:paraId="0000010D">
            <w:r>
              <w:rPr>
                <w:rtl w:val="0"/>
              </w:rPr>
              <w:t>N</w:t>
            </w:r>
          </w:p>
        </w:tc>
      </w:tr>
      <w:tr w14:paraId="381734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0E">
            <w:r>
              <w:rPr>
                <w:rtl w:val="0"/>
              </w:rPr>
              <w:t>Canada</w:t>
            </w:r>
            <w:r>
              <w:rPr>
                <w:rtl w:val="0"/>
              </w:rPr>
              <w:tab/>
            </w:r>
            <w:r>
              <w:rPr>
                <w:rtl w:val="0"/>
              </w:rPr>
              <w:t>Characteristics and median employment income by educational qualification and field of study</w:t>
            </w:r>
          </w:p>
        </w:tc>
        <w:tc>
          <w:tcPr>
            <w:tcMar>
              <w:top w:w="100" w:type="dxa"/>
              <w:left w:w="140" w:type="dxa"/>
              <w:bottom w:w="100" w:type="dxa"/>
              <w:right w:w="100" w:type="dxa"/>
            </w:tcMar>
          </w:tcPr>
          <w:p w14:paraId="0000010F">
            <w:r>
              <w:rPr>
                <w:rtl w:val="0"/>
              </w:rPr>
              <w:t>https://open.canada.ca/</w:t>
            </w:r>
          </w:p>
        </w:tc>
        <w:tc>
          <w:tcPr>
            <w:tcMar>
              <w:top w:w="100" w:type="dxa"/>
              <w:left w:w="140" w:type="dxa"/>
              <w:bottom w:w="100" w:type="dxa"/>
              <w:right w:w="100" w:type="dxa"/>
            </w:tcMar>
          </w:tcPr>
          <w:p w14:paraId="00000110">
            <w:r>
              <w:rPr>
                <w:rtl w:val="0"/>
              </w:rPr>
              <w:t>public</w:t>
            </w:r>
          </w:p>
        </w:tc>
        <w:tc>
          <w:tcPr>
            <w:tcMar>
              <w:top w:w="100" w:type="dxa"/>
              <w:left w:w="140" w:type="dxa"/>
              <w:bottom w:w="100" w:type="dxa"/>
              <w:right w:w="100" w:type="dxa"/>
            </w:tcMar>
          </w:tcPr>
          <w:p w14:paraId="00000111">
            <w:r>
              <w:rPr>
                <w:rtl w:val="0"/>
              </w:rPr>
              <w:t>Open Government Portal — Open Government Licence – Canada</w:t>
            </w:r>
          </w:p>
        </w:tc>
        <w:tc>
          <w:tcPr>
            <w:tcMar>
              <w:top w:w="100" w:type="dxa"/>
              <w:left w:w="140" w:type="dxa"/>
              <w:bottom w:w="100" w:type="dxa"/>
              <w:right w:w="100" w:type="dxa"/>
            </w:tcMar>
          </w:tcPr>
          <w:p w14:paraId="00000112">
            <w:r>
              <w:rPr>
                <w:rtl w:val="0"/>
              </w:rPr>
              <w:t>N</w:t>
            </w:r>
          </w:p>
        </w:tc>
      </w:tr>
      <w:tr w14:paraId="7A510C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13"/>
        </w:tc>
        <w:tc>
          <w:tcPr>
            <w:tcMar>
              <w:top w:w="100" w:type="dxa"/>
              <w:left w:w="140" w:type="dxa"/>
              <w:bottom w:w="100" w:type="dxa"/>
              <w:right w:w="100" w:type="dxa"/>
            </w:tcMar>
          </w:tcPr>
          <w:p w14:paraId="00000114"/>
        </w:tc>
        <w:tc>
          <w:tcPr>
            <w:tcMar>
              <w:top w:w="100" w:type="dxa"/>
              <w:left w:w="140" w:type="dxa"/>
              <w:bottom w:w="100" w:type="dxa"/>
              <w:right w:w="100" w:type="dxa"/>
            </w:tcMar>
          </w:tcPr>
          <w:p w14:paraId="00000115"/>
        </w:tc>
        <w:tc>
          <w:tcPr>
            <w:tcMar>
              <w:top w:w="100" w:type="dxa"/>
              <w:left w:w="140" w:type="dxa"/>
              <w:bottom w:w="100" w:type="dxa"/>
              <w:right w:w="100" w:type="dxa"/>
            </w:tcMar>
          </w:tcPr>
          <w:p w14:paraId="00000116"/>
        </w:tc>
        <w:tc>
          <w:tcPr>
            <w:tcMar>
              <w:top w:w="100" w:type="dxa"/>
              <w:left w:w="140" w:type="dxa"/>
              <w:bottom w:w="100" w:type="dxa"/>
              <w:right w:w="100" w:type="dxa"/>
            </w:tcMar>
          </w:tcPr>
          <w:p w14:paraId="00000117"/>
        </w:tc>
      </w:tr>
      <w:tr w14:paraId="579B99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18"/>
        </w:tc>
        <w:tc>
          <w:tcPr>
            <w:tcMar>
              <w:top w:w="100" w:type="dxa"/>
              <w:left w:w="140" w:type="dxa"/>
              <w:bottom w:w="100" w:type="dxa"/>
              <w:right w:w="100" w:type="dxa"/>
            </w:tcMar>
          </w:tcPr>
          <w:p w14:paraId="00000119"/>
        </w:tc>
        <w:tc>
          <w:tcPr>
            <w:tcMar>
              <w:top w:w="100" w:type="dxa"/>
              <w:left w:w="140" w:type="dxa"/>
              <w:bottom w:w="100" w:type="dxa"/>
              <w:right w:w="100" w:type="dxa"/>
            </w:tcMar>
          </w:tcPr>
          <w:p w14:paraId="0000011A"/>
        </w:tc>
        <w:tc>
          <w:tcPr>
            <w:tcMar>
              <w:top w:w="100" w:type="dxa"/>
              <w:left w:w="140" w:type="dxa"/>
              <w:bottom w:w="100" w:type="dxa"/>
              <w:right w:w="100" w:type="dxa"/>
            </w:tcMar>
          </w:tcPr>
          <w:p w14:paraId="0000011B"/>
        </w:tc>
        <w:tc>
          <w:tcPr>
            <w:tcMar>
              <w:top w:w="100" w:type="dxa"/>
              <w:left w:w="140" w:type="dxa"/>
              <w:bottom w:w="100" w:type="dxa"/>
              <w:right w:w="100" w:type="dxa"/>
            </w:tcMar>
          </w:tcPr>
          <w:p w14:paraId="0000011C"/>
        </w:tc>
      </w:tr>
    </w:tbl>
    <w:p w14:paraId="0000011D">
      <w:pPr>
        <w:spacing w:after="120"/>
        <w:jc w:val="both"/>
      </w:pPr>
    </w:p>
    <w:p w14:paraId="0000011E">
      <w:pPr>
        <w:pStyle w:val="3"/>
        <w:pageBreakBefore/>
        <w:jc w:val="both"/>
      </w:pPr>
      <w:r>
        <w:rPr>
          <w:rFonts w:ascii="Times New Roman" w:hAnsi="Times New Roman" w:eastAsia="Times New Roman" w:cs="Times New Roman"/>
          <w:color w:val="000000"/>
          <w:sz w:val="24"/>
          <w:szCs w:val="24"/>
          <w:rtl w:val="0"/>
        </w:rPr>
        <w:t>4.3 AI-Assisted Development Tools</w:t>
      </w:r>
    </w:p>
    <w:p w14:paraId="0000011F">
      <w:pPr>
        <w:keepNext/>
        <w:spacing w:after="120"/>
        <w:jc w:val="both"/>
      </w:pPr>
      <w:r>
        <w:rPr>
          <w:rFonts w:ascii="Times New Roman" w:hAnsi="Times New Roman" w:eastAsia="Times New Roman" w:cs="Times New Roman"/>
          <w:i/>
          <w:iCs/>
          <w:sz w:val="24"/>
          <w:szCs w:val="24"/>
          <w:rtl w:val="0"/>
        </w:rPr>
        <w:t>Tools used to help write code, design, content, or documentation (e.g., chat assistants, code completion tools, image generators). Declaring these tools does not reduce your score; undeclared use may.</w:t>
      </w:r>
    </w:p>
    <w:p w14:paraId="00000120">
      <w:pPr>
        <w:keepNext/>
        <w:spacing w:after="120"/>
        <w:jc w:val="both"/>
      </w:pPr>
      <w:r>
        <w:rPr>
          <w:rFonts w:ascii="Times New Roman" w:hAnsi="Times New Roman" w:eastAsia="Times New Roman" w:cs="Times New Roman"/>
          <w:sz w:val="24"/>
          <w:szCs w:val="24"/>
          <w:rtl w:val="0"/>
        </w:rPr>
        <w:t>Did your team use any generative-AI tool to help create code, design, text, or other project material?</w:t>
      </w:r>
    </w:p>
    <w:p w14:paraId="00000121">
      <w:pPr>
        <w:keepNext/>
        <w:spacing w:after="120"/>
        <w:jc w:val="both"/>
      </w:pPr>
      <w:r>
        <w:rPr>
          <w:rFonts w:ascii="Arial Unicode MS" w:hAnsi="Arial Unicode MS" w:eastAsia="Arial Unicode MS" w:cs="Arial Unicode MS"/>
          <w:sz w:val="30"/>
          <w:szCs w:val="30"/>
          <w:rtl w:val="0"/>
        </w:rPr>
        <w:t>√</w:t>
      </w:r>
      <w:r>
        <w:rPr>
          <w:rFonts w:ascii="Times New Roman" w:hAnsi="Times New Roman" w:eastAsia="Times New Roman" w:cs="Times New Roman"/>
          <w:sz w:val="24"/>
          <w:szCs w:val="24"/>
          <w:rtl w:val="0"/>
        </w:rPr>
        <w:t xml:space="preserve"> Yes   </w:t>
      </w:r>
      <w:r>
        <w:rPr>
          <w:rFonts w:ascii="Times New Roman" w:hAnsi="Times New Roman" w:eastAsia="Times New Roman" w:cs="Times New Roman"/>
          <w:sz w:val="30"/>
          <w:szCs w:val="30"/>
          <w:rtl w:val="0"/>
        </w:rPr>
        <w:t>☐</w:t>
      </w:r>
      <w:r>
        <w:rPr>
          <w:rFonts w:ascii="Times New Roman" w:hAnsi="Times New Roman" w:eastAsia="Times New Roman" w:cs="Times New Roman"/>
          <w:sz w:val="24"/>
          <w:szCs w:val="24"/>
          <w:rtl w:val="0"/>
        </w:rPr>
        <w:t xml:space="preserve"> No</w:t>
      </w:r>
    </w:p>
    <w:p w14:paraId="00000122">
      <w:pPr>
        <w:spacing w:after="120"/>
        <w:jc w:val="both"/>
      </w:pPr>
      <w:r>
        <w:rPr>
          <w:rFonts w:ascii="Times New Roman" w:hAnsi="Times New Roman" w:eastAsia="Times New Roman" w:cs="Times New Roman"/>
          <w:sz w:val="24"/>
          <w:szCs w:val="24"/>
          <w:rtl w:val="0"/>
        </w:rPr>
        <w:t>If yes, list them below:</w:t>
      </w:r>
    </w:p>
    <w:tbl>
      <w:tblPr>
        <w:tblStyle w:val="2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000"/>
        <w:gridCol w:w="3860"/>
        <w:gridCol w:w="2500"/>
      </w:tblGrid>
      <w:tr w14:paraId="5C1E17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blHeader/>
        </w:trPr>
        <w:tc>
          <w:tcPr>
            <w:shd w:val="clear" w:color="auto" w:fill="F2F2F2"/>
            <w:tcMar>
              <w:top w:w="100" w:type="dxa"/>
              <w:left w:w="140" w:type="dxa"/>
              <w:bottom w:w="100" w:type="dxa"/>
              <w:right w:w="100" w:type="dxa"/>
            </w:tcMar>
          </w:tcPr>
          <w:p w14:paraId="00000123">
            <w:r>
              <w:rPr>
                <w:rFonts w:ascii="Times New Roman" w:hAnsi="Times New Roman" w:eastAsia="Times New Roman" w:cs="Times New Roman"/>
                <w:b/>
                <w:bCs/>
                <w:sz w:val="22"/>
                <w:szCs w:val="22"/>
                <w:rtl w:val="0"/>
              </w:rPr>
              <w:t>Tool &amp; Version</w:t>
            </w:r>
          </w:p>
        </w:tc>
        <w:tc>
          <w:tcPr>
            <w:shd w:val="clear" w:color="auto" w:fill="F2F2F2"/>
            <w:tcMar>
              <w:top w:w="100" w:type="dxa"/>
              <w:left w:w="140" w:type="dxa"/>
              <w:bottom w:w="100" w:type="dxa"/>
              <w:right w:w="100" w:type="dxa"/>
            </w:tcMar>
          </w:tcPr>
          <w:p w14:paraId="00000124">
            <w:r>
              <w:rPr>
                <w:rFonts w:ascii="Times New Roman" w:hAnsi="Times New Roman" w:eastAsia="Times New Roman" w:cs="Times New Roman"/>
                <w:b/>
                <w:bCs/>
                <w:sz w:val="22"/>
                <w:szCs w:val="22"/>
                <w:rtl w:val="0"/>
              </w:rPr>
              <w:t>Used For</w:t>
            </w:r>
          </w:p>
        </w:tc>
        <w:tc>
          <w:tcPr>
            <w:shd w:val="clear" w:color="auto" w:fill="F2F2F2"/>
            <w:tcMar>
              <w:top w:w="100" w:type="dxa"/>
              <w:left w:w="140" w:type="dxa"/>
              <w:bottom w:w="100" w:type="dxa"/>
              <w:right w:w="100" w:type="dxa"/>
            </w:tcMar>
          </w:tcPr>
          <w:p w14:paraId="00000125">
            <w:r>
              <w:rPr>
                <w:rFonts w:ascii="Times New Roman" w:hAnsi="Times New Roman" w:eastAsia="Times New Roman" w:cs="Times New Roman"/>
                <w:b/>
                <w:bCs/>
                <w:sz w:val="22"/>
                <w:szCs w:val="22"/>
                <w:rtl w:val="0"/>
              </w:rPr>
              <w:t>Extent of Use (minor / moderate / major)</w:t>
            </w:r>
          </w:p>
        </w:tc>
      </w:tr>
      <w:tr w14:paraId="3C14AE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26">
            <w:r>
              <w:rPr>
                <w:rtl w:val="0"/>
              </w:rPr>
              <w:t>Replit</w:t>
            </w:r>
          </w:p>
        </w:tc>
        <w:tc>
          <w:tcPr>
            <w:tcMar>
              <w:top w:w="100" w:type="dxa"/>
              <w:left w:w="140" w:type="dxa"/>
              <w:bottom w:w="100" w:type="dxa"/>
              <w:right w:w="100" w:type="dxa"/>
            </w:tcMar>
          </w:tcPr>
          <w:p w14:paraId="00000127">
            <w:r>
              <w:rPr>
                <w:rtl w:val="0"/>
              </w:rPr>
              <w:t>Deploy and host the project</w:t>
            </w:r>
          </w:p>
        </w:tc>
        <w:tc>
          <w:tcPr>
            <w:tcMar>
              <w:top w:w="100" w:type="dxa"/>
              <w:left w:w="140" w:type="dxa"/>
              <w:bottom w:w="100" w:type="dxa"/>
              <w:right w:w="100" w:type="dxa"/>
            </w:tcMar>
          </w:tcPr>
          <w:p w14:paraId="00000128">
            <w:r>
              <w:rPr>
                <w:rtl w:val="0"/>
              </w:rPr>
              <w:t>minor</w:t>
            </w:r>
          </w:p>
        </w:tc>
      </w:tr>
      <w:tr w14:paraId="6A76DC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29">
            <w:r>
              <w:rPr>
                <w:rtl w:val="0"/>
              </w:rPr>
              <w:t>DeepSeek Harness DeepSeek-V4.1-Flash-1017</w:t>
            </w:r>
          </w:p>
        </w:tc>
        <w:tc>
          <w:tcPr>
            <w:tcMar>
              <w:top w:w="100" w:type="dxa"/>
              <w:left w:w="140" w:type="dxa"/>
              <w:bottom w:w="100" w:type="dxa"/>
              <w:right w:w="100" w:type="dxa"/>
            </w:tcMar>
          </w:tcPr>
          <w:p w14:paraId="0000012A">
            <w:r>
              <w:rPr>
                <w:rtl w:val="0"/>
              </w:rPr>
              <w:t>Develop the frontend and backend of the project</w:t>
            </w:r>
          </w:p>
        </w:tc>
        <w:tc>
          <w:tcPr>
            <w:tcMar>
              <w:top w:w="100" w:type="dxa"/>
              <w:left w:w="140" w:type="dxa"/>
              <w:bottom w:w="100" w:type="dxa"/>
              <w:right w:w="100" w:type="dxa"/>
            </w:tcMar>
          </w:tcPr>
          <w:p w14:paraId="0000012B">
            <w:r>
              <w:rPr>
                <w:rtl w:val="0"/>
              </w:rPr>
              <w:t>major</w:t>
            </w:r>
          </w:p>
        </w:tc>
      </w:tr>
      <w:tr w14:paraId="1D809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2C">
            <w:r>
              <w:rPr>
                <w:rtl w:val="0"/>
              </w:rPr>
              <w:t>OpenAI Codex</w:t>
            </w:r>
          </w:p>
        </w:tc>
        <w:tc>
          <w:tcPr>
            <w:tcMar>
              <w:top w:w="100" w:type="dxa"/>
              <w:left w:w="140" w:type="dxa"/>
              <w:bottom w:w="100" w:type="dxa"/>
              <w:right w:w="100" w:type="dxa"/>
            </w:tcMar>
          </w:tcPr>
          <w:p w14:paraId="0000012D">
            <w:r>
              <w:rPr>
                <w:rtl w:val="0"/>
              </w:rPr>
              <w:t>Assisted with the UI design and implementation</w:t>
            </w:r>
          </w:p>
        </w:tc>
        <w:tc>
          <w:tcPr>
            <w:tcMar>
              <w:top w:w="100" w:type="dxa"/>
              <w:left w:w="140" w:type="dxa"/>
              <w:bottom w:w="100" w:type="dxa"/>
              <w:right w:w="100" w:type="dxa"/>
            </w:tcMar>
          </w:tcPr>
          <w:p w14:paraId="0000012E">
            <w:pPr>
              <w:rPr>
                <w:rFonts w:hint="default" w:eastAsia="宋体"/>
                <w:lang w:val="en-US" w:eastAsia="zh-CN"/>
              </w:rPr>
            </w:pPr>
            <w:r>
              <w:rPr>
                <w:rFonts w:hint="eastAsia" w:eastAsia="宋体"/>
                <w:lang w:val="en-US" w:eastAsia="zh-CN"/>
              </w:rPr>
              <w:t>major</w:t>
            </w:r>
          </w:p>
        </w:tc>
      </w:tr>
      <w:tr w14:paraId="230CD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2F"/>
        </w:tc>
        <w:tc>
          <w:tcPr>
            <w:tcMar>
              <w:top w:w="100" w:type="dxa"/>
              <w:left w:w="140" w:type="dxa"/>
              <w:bottom w:w="100" w:type="dxa"/>
              <w:right w:w="100" w:type="dxa"/>
            </w:tcMar>
          </w:tcPr>
          <w:p w14:paraId="00000130"/>
        </w:tc>
        <w:tc>
          <w:tcPr>
            <w:tcMar>
              <w:top w:w="100" w:type="dxa"/>
              <w:left w:w="140" w:type="dxa"/>
              <w:bottom w:w="100" w:type="dxa"/>
              <w:right w:w="100" w:type="dxa"/>
            </w:tcMar>
          </w:tcPr>
          <w:p w14:paraId="00000131"/>
        </w:tc>
      </w:tr>
      <w:tr w14:paraId="3A1258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32"/>
        </w:tc>
        <w:tc>
          <w:tcPr>
            <w:tcMar>
              <w:top w:w="100" w:type="dxa"/>
              <w:left w:w="140" w:type="dxa"/>
              <w:bottom w:w="100" w:type="dxa"/>
              <w:right w:w="100" w:type="dxa"/>
            </w:tcMar>
          </w:tcPr>
          <w:p w14:paraId="00000133"/>
        </w:tc>
        <w:tc>
          <w:tcPr>
            <w:tcMar>
              <w:top w:w="100" w:type="dxa"/>
              <w:left w:w="140" w:type="dxa"/>
              <w:bottom w:w="100" w:type="dxa"/>
              <w:right w:w="100" w:type="dxa"/>
            </w:tcMar>
          </w:tcPr>
          <w:p w14:paraId="00000134"/>
        </w:tc>
      </w:tr>
    </w:tbl>
    <w:p w14:paraId="00000135">
      <w:pPr>
        <w:spacing w:after="80"/>
        <w:jc w:val="both"/>
      </w:pPr>
    </w:p>
    <w:p w14:paraId="00000136">
      <w:pPr>
        <w:spacing w:after="120"/>
        <w:jc w:val="both"/>
      </w:pPr>
      <w:r>
        <w:rPr>
          <w:rFonts w:ascii="Times New Roman" w:hAnsi="Times New Roman" w:eastAsia="Times New Roman" w:cs="Times New Roman"/>
          <w:sz w:val="24"/>
          <w:szCs w:val="24"/>
          <w:rtl w:val="0"/>
        </w:rPr>
        <w:t>Briefly describe how your team reviewed, tested, and took responsibility for AI-generated output:</w:t>
      </w:r>
    </w:p>
    <w:p w14:paraId="00000137">
      <w:pPr>
        <w:spacing w:after="120"/>
        <w:jc w:val="both"/>
      </w:pPr>
      <w:r>
        <w:rPr>
          <w:rFonts w:ascii="Times New Roman" w:hAnsi="Times New Roman" w:eastAsia="Times New Roman" w:cs="Times New Roman"/>
          <w:b/>
          <w:bCs/>
          <w:i/>
          <w:iCs/>
          <w:sz w:val="24"/>
          <w:szCs w:val="24"/>
          <w:rtl w:val="0"/>
        </w:rPr>
        <w:t>[Maximum 100 words]</w:t>
      </w:r>
    </w:p>
    <w:tbl>
      <w:tblPr>
        <w:tblStyle w:val="2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0D2310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1800" w:hRule="atLeast"/>
        </w:trPr>
        <w:tc>
          <w:tcPr>
            <w:tcMar>
              <w:top w:w="140" w:type="dxa"/>
              <w:left w:w="160" w:type="dxa"/>
              <w:bottom w:w="140" w:type="dxa"/>
              <w:right w:w="160" w:type="dxa"/>
            </w:tcMar>
          </w:tcPr>
          <w:p w14:paraId="00000138"/>
        </w:tc>
      </w:tr>
    </w:tbl>
    <w:p w14:paraId="00000139">
      <w:pPr>
        <w:pStyle w:val="2"/>
        <w:pageBreakBefore/>
        <w:pBdr>
          <w:bottom w:val="none" w:color="auto" w:sz="0" w:space="0"/>
        </w:pBdr>
        <w:jc w:val="both"/>
      </w:pPr>
      <w:r>
        <w:rPr>
          <w:rFonts w:ascii="Times New Roman" w:hAnsi="Times New Roman" w:eastAsia="Times New Roman" w:cs="Times New Roman"/>
          <w:color w:val="000000"/>
          <w:rtl w:val="0"/>
        </w:rPr>
        <w:t>5. Sponsor-Provided Resources</w:t>
      </w:r>
    </w:p>
    <w:p w14:paraId="0000013A">
      <w:pPr>
        <w:keepNext/>
        <w:spacing w:after="120"/>
        <w:jc w:val="both"/>
      </w:pPr>
      <w:r>
        <w:rPr>
          <w:rFonts w:ascii="Times New Roman" w:hAnsi="Times New Roman" w:eastAsia="Times New Roman" w:cs="Times New Roman"/>
          <w:i/>
          <w:iCs/>
          <w:sz w:val="24"/>
          <w:szCs w:val="24"/>
          <w:rtl w:val="0"/>
        </w:rPr>
        <w:t>Declare any official SDC sponsor-provided GenAI API, cloud credits, tools, mentoring, or data that your team used.</w:t>
      </w:r>
    </w:p>
    <w:p w14:paraId="0000013B">
      <w:pPr>
        <w:keepNext/>
        <w:spacing w:after="120"/>
        <w:jc w:val="both"/>
      </w:pPr>
      <w:r>
        <w:rPr>
          <w:rFonts w:ascii="Times New Roman" w:hAnsi="Times New Roman" w:eastAsia="Times New Roman" w:cs="Times New Roman"/>
          <w:sz w:val="24"/>
          <w:szCs w:val="24"/>
          <w:rtl w:val="0"/>
        </w:rPr>
        <w:t>Did your project use any official SDC sponsor-provided resource?</w:t>
      </w:r>
    </w:p>
    <w:p w14:paraId="0000013C">
      <w:pPr>
        <w:keepNext/>
        <w:spacing w:after="120"/>
        <w:jc w:val="both"/>
      </w:pPr>
      <w:r>
        <w:rPr>
          <w:rFonts w:ascii="Gungsuh" w:hAnsi="Gungsuh" w:eastAsia="Gungsuh" w:cs="Gungsuh"/>
          <w:sz w:val="30"/>
          <w:szCs w:val="30"/>
          <w:rtl w:val="0"/>
        </w:rPr>
        <w:t>√</w:t>
      </w:r>
      <w:r>
        <w:rPr>
          <w:rFonts w:ascii="Times New Roman" w:hAnsi="Times New Roman" w:eastAsia="Times New Roman" w:cs="Times New Roman"/>
          <w:sz w:val="24"/>
          <w:szCs w:val="24"/>
          <w:rtl w:val="0"/>
        </w:rPr>
        <w:t xml:space="preserve"> Yes   </w:t>
      </w:r>
      <w:r>
        <w:rPr>
          <w:rFonts w:ascii="Times New Roman" w:hAnsi="Times New Roman" w:eastAsia="Times New Roman" w:cs="Times New Roman"/>
          <w:sz w:val="30"/>
          <w:szCs w:val="30"/>
          <w:rtl w:val="0"/>
        </w:rPr>
        <w:t>☐</w:t>
      </w:r>
      <w:r>
        <w:rPr>
          <w:rFonts w:ascii="Times New Roman" w:hAnsi="Times New Roman" w:eastAsia="Times New Roman" w:cs="Times New Roman"/>
          <w:sz w:val="24"/>
          <w:szCs w:val="24"/>
          <w:rtl w:val="0"/>
        </w:rPr>
        <w:t xml:space="preserve"> No</w:t>
      </w:r>
    </w:p>
    <w:p w14:paraId="0000013D">
      <w:pPr>
        <w:spacing w:after="120"/>
        <w:jc w:val="both"/>
      </w:pPr>
      <w:r>
        <w:rPr>
          <w:rFonts w:ascii="Times New Roman" w:hAnsi="Times New Roman" w:eastAsia="Times New Roman" w:cs="Times New Roman"/>
          <w:sz w:val="24"/>
          <w:szCs w:val="24"/>
          <w:rtl w:val="0"/>
        </w:rPr>
        <w:t>If yes, list them below:</w:t>
      </w:r>
    </w:p>
    <w:tbl>
      <w:tblPr>
        <w:tblStyle w:val="2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2200"/>
        <w:gridCol w:w="3200"/>
        <w:gridCol w:w="3960"/>
      </w:tblGrid>
      <w:tr w14:paraId="2443CC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shd w:val="clear" w:color="auto" w:fill="F2F2F2"/>
            <w:tcMar>
              <w:top w:w="100" w:type="dxa"/>
              <w:left w:w="140" w:type="dxa"/>
              <w:bottom w:w="100" w:type="dxa"/>
              <w:right w:w="100" w:type="dxa"/>
            </w:tcMar>
          </w:tcPr>
          <w:p w14:paraId="0000013E">
            <w:r>
              <w:rPr>
                <w:rFonts w:ascii="Times New Roman" w:hAnsi="Times New Roman" w:eastAsia="Times New Roman" w:cs="Times New Roman"/>
                <w:b/>
                <w:bCs/>
                <w:sz w:val="22"/>
                <w:szCs w:val="22"/>
                <w:rtl w:val="0"/>
              </w:rPr>
              <w:t>Sponsor</w:t>
            </w:r>
          </w:p>
        </w:tc>
        <w:tc>
          <w:tcPr>
            <w:shd w:val="clear" w:color="auto" w:fill="F2F2F2"/>
            <w:tcMar>
              <w:top w:w="100" w:type="dxa"/>
              <w:left w:w="140" w:type="dxa"/>
              <w:bottom w:w="100" w:type="dxa"/>
              <w:right w:w="100" w:type="dxa"/>
            </w:tcMar>
          </w:tcPr>
          <w:p w14:paraId="0000013F">
            <w:r>
              <w:rPr>
                <w:rFonts w:ascii="Times New Roman" w:hAnsi="Times New Roman" w:eastAsia="Times New Roman" w:cs="Times New Roman"/>
                <w:b/>
                <w:bCs/>
                <w:sz w:val="22"/>
                <w:szCs w:val="22"/>
                <w:rtl w:val="0"/>
              </w:rPr>
              <w:t>Resource (API / credits / platform / data)</w:t>
            </w:r>
          </w:p>
        </w:tc>
        <w:tc>
          <w:tcPr>
            <w:shd w:val="clear" w:color="auto" w:fill="F2F2F2"/>
            <w:tcMar>
              <w:top w:w="100" w:type="dxa"/>
              <w:left w:w="140" w:type="dxa"/>
              <w:bottom w:w="100" w:type="dxa"/>
              <w:right w:w="100" w:type="dxa"/>
            </w:tcMar>
          </w:tcPr>
          <w:p w14:paraId="00000140">
            <w:r>
              <w:rPr>
                <w:rFonts w:ascii="Times New Roman" w:hAnsi="Times New Roman" w:eastAsia="Times New Roman" w:cs="Times New Roman"/>
                <w:b/>
                <w:bCs/>
                <w:sz w:val="22"/>
                <w:szCs w:val="22"/>
                <w:rtl w:val="0"/>
              </w:rPr>
              <w:t>How It Was Used in the Project</w:t>
            </w:r>
          </w:p>
        </w:tc>
      </w:tr>
      <w:tr w14:paraId="59BBFC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41">
            <w:r>
              <w:rPr>
                <w:rtl w:val="0"/>
              </w:rPr>
              <w:t>Replit</w:t>
            </w:r>
          </w:p>
        </w:tc>
        <w:tc>
          <w:tcPr>
            <w:tcMar>
              <w:top w:w="100" w:type="dxa"/>
              <w:left w:w="140" w:type="dxa"/>
              <w:bottom w:w="100" w:type="dxa"/>
              <w:right w:w="100" w:type="dxa"/>
            </w:tcMar>
          </w:tcPr>
          <w:p w14:paraId="00000142">
            <w:r>
              <w:rPr>
                <w:rtl w:val="0"/>
              </w:rPr>
              <w:t>$25</w:t>
            </w:r>
          </w:p>
        </w:tc>
        <w:tc>
          <w:tcPr>
            <w:tcMar>
              <w:top w:w="100" w:type="dxa"/>
              <w:left w:w="140" w:type="dxa"/>
              <w:bottom w:w="100" w:type="dxa"/>
              <w:right w:w="100" w:type="dxa"/>
            </w:tcMar>
          </w:tcPr>
          <w:p w14:paraId="00000143">
            <w:r>
              <w:rPr>
                <w:rtl w:val="0"/>
              </w:rPr>
              <w:t>Deploy and host the project</w:t>
            </w:r>
          </w:p>
        </w:tc>
      </w:tr>
      <w:tr w14:paraId="1EECD7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44"/>
        </w:tc>
        <w:tc>
          <w:tcPr>
            <w:tcMar>
              <w:top w:w="100" w:type="dxa"/>
              <w:left w:w="140" w:type="dxa"/>
              <w:bottom w:w="100" w:type="dxa"/>
              <w:right w:w="100" w:type="dxa"/>
            </w:tcMar>
          </w:tcPr>
          <w:p w14:paraId="00000145"/>
        </w:tc>
        <w:tc>
          <w:tcPr>
            <w:tcMar>
              <w:top w:w="100" w:type="dxa"/>
              <w:left w:w="140" w:type="dxa"/>
              <w:bottom w:w="100" w:type="dxa"/>
              <w:right w:w="100" w:type="dxa"/>
            </w:tcMar>
          </w:tcPr>
          <w:p w14:paraId="00000146"/>
        </w:tc>
      </w:tr>
      <w:tr w14:paraId="5244B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47"/>
        </w:tc>
        <w:tc>
          <w:tcPr>
            <w:tcMar>
              <w:top w:w="100" w:type="dxa"/>
              <w:left w:w="140" w:type="dxa"/>
              <w:bottom w:w="100" w:type="dxa"/>
              <w:right w:w="100" w:type="dxa"/>
            </w:tcMar>
          </w:tcPr>
          <w:p w14:paraId="00000148"/>
        </w:tc>
        <w:tc>
          <w:tcPr>
            <w:tcMar>
              <w:top w:w="100" w:type="dxa"/>
              <w:left w:w="140" w:type="dxa"/>
              <w:bottom w:w="100" w:type="dxa"/>
              <w:right w:w="100" w:type="dxa"/>
            </w:tcMar>
          </w:tcPr>
          <w:p w14:paraId="00000149"/>
        </w:tc>
      </w:tr>
      <w:tr w14:paraId="43579A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Height w:val="520" w:hRule="atLeast"/>
        </w:trPr>
        <w:tc>
          <w:tcPr>
            <w:tcMar>
              <w:top w:w="100" w:type="dxa"/>
              <w:left w:w="140" w:type="dxa"/>
              <w:bottom w:w="100" w:type="dxa"/>
              <w:right w:w="100" w:type="dxa"/>
            </w:tcMar>
          </w:tcPr>
          <w:p w14:paraId="0000014A"/>
        </w:tc>
        <w:tc>
          <w:tcPr>
            <w:tcMar>
              <w:top w:w="100" w:type="dxa"/>
              <w:left w:w="140" w:type="dxa"/>
              <w:bottom w:w="100" w:type="dxa"/>
              <w:right w:w="100" w:type="dxa"/>
            </w:tcMar>
          </w:tcPr>
          <w:p w14:paraId="0000014B"/>
        </w:tc>
        <w:tc>
          <w:tcPr>
            <w:tcMar>
              <w:top w:w="100" w:type="dxa"/>
              <w:left w:w="140" w:type="dxa"/>
              <w:bottom w:w="100" w:type="dxa"/>
              <w:right w:w="100" w:type="dxa"/>
            </w:tcMar>
          </w:tcPr>
          <w:p w14:paraId="0000014C"/>
        </w:tc>
      </w:tr>
    </w:tbl>
    <w:p w14:paraId="0000014D">
      <w:pPr>
        <w:spacing w:after="80"/>
        <w:jc w:val="both"/>
      </w:pPr>
    </w:p>
    <w:p w14:paraId="0000014E">
      <w:pPr>
        <w:spacing w:after="120"/>
        <w:jc w:val="both"/>
      </w:pPr>
      <w:r>
        <w:rPr>
          <w:rFonts w:ascii="Times New Roman" w:hAnsi="Times New Roman" w:eastAsia="Times New Roman" w:cs="Times New Roman"/>
          <w:sz w:val="24"/>
          <w:szCs w:val="24"/>
          <w:rtl w:val="0"/>
        </w:rPr>
        <w:t>Was the sponsor resource essential to the core functionality of the prototype, or could it be replaced? Explain briefly:</w:t>
      </w:r>
    </w:p>
    <w:p w14:paraId="0000014F">
      <w:pPr>
        <w:spacing w:after="120"/>
        <w:jc w:val="both"/>
      </w:pPr>
      <w:r>
        <w:rPr>
          <w:rFonts w:ascii="Times New Roman" w:hAnsi="Times New Roman" w:eastAsia="Times New Roman" w:cs="Times New Roman"/>
          <w:b/>
          <w:bCs/>
          <w:i/>
          <w:iCs/>
          <w:sz w:val="24"/>
          <w:szCs w:val="24"/>
          <w:rtl w:val="0"/>
        </w:rPr>
        <w:t>[Maximum 100 words]</w:t>
      </w:r>
    </w:p>
    <w:tbl>
      <w:tblPr>
        <w:tblStyle w:val="2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C6601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1800" w:hRule="atLeast"/>
        </w:trPr>
        <w:tc>
          <w:tcPr>
            <w:tcMar>
              <w:top w:w="140" w:type="dxa"/>
              <w:left w:w="160" w:type="dxa"/>
              <w:bottom w:w="140" w:type="dxa"/>
              <w:right w:w="160" w:type="dxa"/>
            </w:tcMar>
          </w:tcPr>
          <w:p w14:paraId="00000150"/>
        </w:tc>
      </w:tr>
    </w:tbl>
    <w:p w14:paraId="00000151">
      <w:pPr>
        <w:pStyle w:val="2"/>
        <w:pageBreakBefore/>
        <w:pBdr>
          <w:bottom w:val="none" w:color="auto" w:sz="0" w:space="0"/>
        </w:pBdr>
        <w:jc w:val="both"/>
      </w:pPr>
      <w:r>
        <w:rPr>
          <w:rFonts w:ascii="Times New Roman" w:hAnsi="Times New Roman" w:eastAsia="Times New Roman" w:cs="Times New Roman"/>
          <w:color w:val="000000"/>
          <w:rtl w:val="0"/>
        </w:rPr>
        <w:t>6. Security, Privacy &amp; Responsible Use</w:t>
      </w:r>
    </w:p>
    <w:p w14:paraId="00000152">
      <w:pPr>
        <w:pStyle w:val="3"/>
        <w:jc w:val="both"/>
      </w:pPr>
      <w:r>
        <w:rPr>
          <w:rFonts w:ascii="Times New Roman" w:hAnsi="Times New Roman" w:eastAsia="Times New Roman" w:cs="Times New Roman"/>
          <w:color w:val="000000"/>
          <w:sz w:val="24"/>
          <w:szCs w:val="24"/>
          <w:rtl w:val="0"/>
        </w:rPr>
        <w:t>6.1 Data Handling &amp; Privacy</w:t>
      </w:r>
    </w:p>
    <w:p w14:paraId="00000153">
      <w:pPr>
        <w:keepNext/>
        <w:spacing w:after="120"/>
        <w:jc w:val="both"/>
      </w:pPr>
      <w:r>
        <w:rPr>
          <w:rFonts w:ascii="Times New Roman" w:hAnsi="Times New Roman" w:eastAsia="Times New Roman" w:cs="Times New Roman"/>
          <w:i/>
          <w:iCs/>
          <w:sz w:val="24"/>
          <w:szCs w:val="24"/>
          <w:rtl w:val="0"/>
        </w:rPr>
        <w:t>What user or personal data does your application collect, store, or send to third-party services (including AI APIs)? How is it protected, and how long is it kept? State “No user data is collected” if applicable.</w:t>
      </w:r>
    </w:p>
    <w:p w14:paraId="00000154">
      <w:pPr>
        <w:spacing w:after="120"/>
        <w:jc w:val="both"/>
      </w:pPr>
      <w:r>
        <w:rPr>
          <w:rFonts w:ascii="Times New Roman" w:hAnsi="Times New Roman" w:eastAsia="Times New Roman" w:cs="Times New Roman"/>
          <w:b/>
          <w:bCs/>
          <w:i/>
          <w:iCs/>
          <w:sz w:val="24"/>
          <w:szCs w:val="24"/>
          <w:rtl w:val="0"/>
        </w:rPr>
        <w:t>[Maximum 150 words]</w:t>
      </w:r>
    </w:p>
    <w:tbl>
      <w:tblPr>
        <w:tblStyle w:val="2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0AECA3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200" w:hRule="atLeast"/>
        </w:trPr>
        <w:tc>
          <w:tcPr>
            <w:tcMar>
              <w:top w:w="140" w:type="dxa"/>
              <w:left w:w="160" w:type="dxa"/>
              <w:bottom w:w="140" w:type="dxa"/>
              <w:right w:w="160" w:type="dxa"/>
            </w:tcMar>
          </w:tcPr>
          <w:p w14:paraId="00000155">
            <w:pPr>
              <w:rPr>
                <w:rFonts w:hint="default" w:eastAsia="宋体"/>
                <w:lang w:val="en-US" w:eastAsia="zh-CN"/>
              </w:rPr>
            </w:pPr>
            <w:r>
              <w:rPr>
                <w:rFonts w:hint="eastAsia" w:eastAsia="宋体"/>
                <w:lang w:val="en-US" w:eastAsia="zh-CN"/>
              </w:rPr>
              <w:t xml:space="preserve">No user data is </w:t>
            </w:r>
            <w:r>
              <w:rPr>
                <w:rFonts w:hint="eastAsia"/>
                <w:rtl w:val="0"/>
                <w:lang w:val="en-US" w:eastAsia="zh-CN"/>
              </w:rPr>
              <w:t>collected</w:t>
            </w:r>
            <w:r>
              <w:rPr>
                <w:rFonts w:hint="eastAsia" w:eastAsia="宋体"/>
                <w:lang w:val="en-US" w:eastAsia="zh-CN"/>
              </w:rPr>
              <w:t>.</w:t>
            </w:r>
          </w:p>
        </w:tc>
      </w:tr>
    </w:tbl>
    <w:p w14:paraId="00000156">
      <w:pPr>
        <w:spacing w:after="120"/>
        <w:jc w:val="both"/>
      </w:pPr>
    </w:p>
    <w:p w14:paraId="00000157">
      <w:pPr>
        <w:pStyle w:val="3"/>
        <w:jc w:val="both"/>
      </w:pPr>
      <w:r>
        <w:rPr>
          <w:rFonts w:ascii="Times New Roman" w:hAnsi="Times New Roman" w:eastAsia="Times New Roman" w:cs="Times New Roman"/>
          <w:color w:val="000000"/>
          <w:sz w:val="24"/>
          <w:szCs w:val="24"/>
          <w:rtl w:val="0"/>
        </w:rPr>
        <w:t>6.2 Known Limitations &amp; Risks</w:t>
      </w:r>
    </w:p>
    <w:p w14:paraId="00000158">
      <w:pPr>
        <w:keepNext/>
        <w:spacing w:after="120"/>
        <w:jc w:val="both"/>
      </w:pPr>
      <w:r>
        <w:rPr>
          <w:rFonts w:ascii="Times New Roman" w:hAnsi="Times New Roman" w:eastAsia="Times New Roman" w:cs="Times New Roman"/>
          <w:i/>
          <w:iCs/>
          <w:sz w:val="24"/>
          <w:szCs w:val="24"/>
          <w:rtl w:val="0"/>
        </w:rPr>
        <w:t>Identify the main technical limitations of your AI components (e.g., hallucination, bias, rate limits, dependency on a single provider) and any mitigation you have implemented.</w:t>
      </w:r>
    </w:p>
    <w:p w14:paraId="00000159">
      <w:pPr>
        <w:spacing w:after="120"/>
        <w:jc w:val="both"/>
      </w:pPr>
      <w:r>
        <w:rPr>
          <w:rFonts w:ascii="Times New Roman" w:hAnsi="Times New Roman" w:eastAsia="Times New Roman" w:cs="Times New Roman"/>
          <w:b/>
          <w:bCs/>
          <w:i/>
          <w:iCs/>
          <w:sz w:val="24"/>
          <w:szCs w:val="24"/>
          <w:rtl w:val="0"/>
        </w:rPr>
        <w:t>[Maximum 150 words]</w:t>
      </w:r>
    </w:p>
    <w:tbl>
      <w:tblPr>
        <w:tblStyle w:val="2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9EFFB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200" w:hRule="atLeast"/>
        </w:trPr>
        <w:tc>
          <w:tcPr>
            <w:tcMar>
              <w:top w:w="140" w:type="dxa"/>
              <w:left w:w="160" w:type="dxa"/>
              <w:bottom w:w="140" w:type="dxa"/>
              <w:right w:w="160" w:type="dxa"/>
            </w:tcMar>
          </w:tcPr>
          <w:p w14:paraId="0000015A"/>
        </w:tc>
      </w:tr>
    </w:tbl>
    <w:p w14:paraId="0000015B">
      <w:pPr>
        <w:pStyle w:val="2"/>
        <w:pageBreakBefore/>
        <w:pBdr>
          <w:bottom w:val="none" w:color="auto" w:sz="0" w:space="0"/>
        </w:pBdr>
        <w:jc w:val="both"/>
      </w:pPr>
      <w:r>
        <w:rPr>
          <w:rFonts w:ascii="Times New Roman" w:hAnsi="Times New Roman" w:eastAsia="Times New Roman" w:cs="Times New Roman"/>
          <w:color w:val="000000"/>
          <w:rtl w:val="0"/>
        </w:rPr>
        <w:t>7. Compliance &amp; Readiness Checklist</w:t>
      </w:r>
    </w:p>
    <w:p w14:paraId="0000015C">
      <w:pPr>
        <w:spacing w:after="120"/>
        <w:jc w:val="both"/>
      </w:pPr>
      <w:r>
        <w:rPr>
          <w:rFonts w:ascii="Times New Roman" w:hAnsi="Times New Roman" w:eastAsia="Times New Roman" w:cs="Times New Roman"/>
          <w:i/>
          <w:iCs/>
          <w:sz w:val="24"/>
          <w:szCs w:val="24"/>
          <w:rtl w:val="0"/>
        </w:rPr>
        <w:t>Tick all boxes that apply before submitting.</w:t>
      </w:r>
    </w:p>
    <w:tbl>
      <w:tblPr>
        <w:tblStyle w:val="27"/>
        <w:tblW w:w="9360" w:type="dxa"/>
        <w:tblInd w:w="0" w:type="dxa"/>
        <w:tblLayout w:type="fixed"/>
        <w:tblCellMar>
          <w:top w:w="0" w:type="dxa"/>
          <w:left w:w="115" w:type="dxa"/>
          <w:bottom w:w="0" w:type="dxa"/>
          <w:right w:w="115" w:type="dxa"/>
        </w:tblCellMar>
      </w:tblPr>
      <w:tblGrid>
        <w:gridCol w:w="500"/>
        <w:gridCol w:w="8860"/>
      </w:tblGrid>
      <w:tr w14:paraId="073F58DC">
        <w:tblPrEx>
          <w:tblCellMar>
            <w:top w:w="0" w:type="dxa"/>
            <w:left w:w="115" w:type="dxa"/>
            <w:bottom w:w="0" w:type="dxa"/>
            <w:right w:w="115" w:type="dxa"/>
          </w:tblCellMar>
        </w:tblPrEx>
        <w:tc>
          <w:tcPr>
            <w:tcW w:w="500" w:type="dxa"/>
            <w:tcBorders>
              <w:top w:val="nil"/>
              <w:left w:val="nil"/>
              <w:bottom w:val="nil"/>
              <w:right w:val="nil"/>
            </w:tcBorders>
            <w:tcMar>
              <w:top w:w="60" w:type="dxa"/>
              <w:left w:w="0" w:type="dxa"/>
              <w:bottom w:w="60" w:type="dxa"/>
              <w:right w:w="60" w:type="dxa"/>
            </w:tcMar>
          </w:tcPr>
          <w:p w14:paraId="0000015D">
            <w:r>
              <w:rPr>
                <w:rFonts w:ascii="Times New Roman" w:hAnsi="Times New Roman" w:eastAsia="Times New Roman" w:cs="Times New Roman"/>
                <w:sz w:val="32"/>
                <w:szCs w:val="32"/>
                <w:rtl w:val="0"/>
              </w:rPr>
              <w:sym w:font="Wingdings 2" w:char="0052"/>
            </w:r>
          </w:p>
        </w:tc>
        <w:tc>
          <w:tcPr>
            <w:tcW w:w="8860" w:type="dxa"/>
            <w:tcBorders>
              <w:top w:val="nil"/>
              <w:left w:val="nil"/>
              <w:bottom w:val="nil"/>
              <w:right w:val="nil"/>
            </w:tcBorders>
            <w:tcMar>
              <w:top w:w="60" w:type="dxa"/>
              <w:left w:w="60" w:type="dxa"/>
              <w:bottom w:w="60" w:type="dxa"/>
              <w:right w:w="0" w:type="dxa"/>
            </w:tcMar>
          </w:tcPr>
          <w:p w14:paraId="0000015E">
            <w:r>
              <w:rPr>
                <w:rFonts w:ascii="Times New Roman" w:hAnsi="Times New Roman" w:eastAsia="Times New Roman" w:cs="Times New Roman"/>
                <w:sz w:val="24"/>
                <w:szCs w:val="24"/>
                <w:rtl w:val="0"/>
              </w:rPr>
              <w:t>All APIs, cloud services, AI tools, models, and datasets used in the project are declared in this document.</w:t>
            </w:r>
          </w:p>
        </w:tc>
      </w:tr>
      <w:tr w14:paraId="1AFA1D25">
        <w:tblPrEx>
          <w:tblCellMar>
            <w:top w:w="0" w:type="dxa"/>
            <w:left w:w="115" w:type="dxa"/>
            <w:bottom w:w="0" w:type="dxa"/>
            <w:right w:w="115" w:type="dxa"/>
          </w:tblCellMar>
        </w:tblPrEx>
        <w:tc>
          <w:tcPr>
            <w:tcW w:w="500" w:type="dxa"/>
            <w:tcBorders>
              <w:top w:val="nil"/>
              <w:left w:val="nil"/>
              <w:bottom w:val="nil"/>
              <w:right w:val="nil"/>
            </w:tcBorders>
            <w:tcMar>
              <w:top w:w="60" w:type="dxa"/>
              <w:left w:w="0" w:type="dxa"/>
              <w:bottom w:w="60" w:type="dxa"/>
              <w:right w:w="60" w:type="dxa"/>
            </w:tcMar>
          </w:tcPr>
          <w:p w14:paraId="0000015F">
            <w:r>
              <w:rPr>
                <w:rFonts w:ascii="Times New Roman" w:hAnsi="Times New Roman" w:eastAsia="Times New Roman" w:cs="Times New Roman"/>
                <w:sz w:val="32"/>
                <w:szCs w:val="32"/>
                <w:rtl w:val="0"/>
              </w:rPr>
              <w:sym w:font="Wingdings 2" w:char="0052"/>
            </w:r>
          </w:p>
        </w:tc>
        <w:tc>
          <w:tcPr>
            <w:tcW w:w="8860" w:type="dxa"/>
            <w:tcBorders>
              <w:top w:val="nil"/>
              <w:left w:val="nil"/>
              <w:bottom w:val="nil"/>
              <w:right w:val="nil"/>
            </w:tcBorders>
            <w:tcMar>
              <w:top w:w="60" w:type="dxa"/>
              <w:left w:w="60" w:type="dxa"/>
              <w:bottom w:w="60" w:type="dxa"/>
              <w:right w:w="0" w:type="dxa"/>
            </w:tcMar>
          </w:tcPr>
          <w:p w14:paraId="00000160">
            <w:r>
              <w:rPr>
                <w:rFonts w:ascii="Times New Roman" w:hAnsi="Times New Roman" w:eastAsia="Times New Roman" w:cs="Times New Roman"/>
                <w:sz w:val="24"/>
                <w:szCs w:val="24"/>
                <w:rtl w:val="0"/>
              </w:rPr>
              <w:t>All third-party code, datasets, and models are used in accordance with their licenses, and attribution is provided where required.</w:t>
            </w:r>
          </w:p>
        </w:tc>
      </w:tr>
      <w:tr w14:paraId="53BBCE9B">
        <w:tblPrEx>
          <w:tblCellMar>
            <w:top w:w="0" w:type="dxa"/>
            <w:left w:w="115" w:type="dxa"/>
            <w:bottom w:w="0" w:type="dxa"/>
            <w:right w:w="115" w:type="dxa"/>
          </w:tblCellMar>
        </w:tblPrEx>
        <w:tc>
          <w:tcPr>
            <w:tcW w:w="500" w:type="dxa"/>
            <w:tcBorders>
              <w:top w:val="nil"/>
              <w:left w:val="nil"/>
              <w:bottom w:val="nil"/>
              <w:right w:val="nil"/>
            </w:tcBorders>
            <w:tcMar>
              <w:top w:w="60" w:type="dxa"/>
              <w:left w:w="0" w:type="dxa"/>
              <w:bottom w:w="60" w:type="dxa"/>
              <w:right w:w="60" w:type="dxa"/>
            </w:tcMar>
          </w:tcPr>
          <w:p w14:paraId="00000161">
            <w:r>
              <w:rPr>
                <w:rFonts w:ascii="Times New Roman" w:hAnsi="Times New Roman" w:eastAsia="Times New Roman" w:cs="Times New Roman"/>
                <w:sz w:val="32"/>
                <w:szCs w:val="32"/>
                <w:rtl w:val="0"/>
              </w:rPr>
              <w:sym w:font="Wingdings 2" w:char="0052"/>
            </w:r>
          </w:p>
        </w:tc>
        <w:tc>
          <w:tcPr>
            <w:tcW w:w="8860" w:type="dxa"/>
            <w:tcBorders>
              <w:top w:val="nil"/>
              <w:left w:val="nil"/>
              <w:bottom w:val="nil"/>
              <w:right w:val="nil"/>
            </w:tcBorders>
            <w:tcMar>
              <w:top w:w="60" w:type="dxa"/>
              <w:left w:w="60" w:type="dxa"/>
              <w:bottom w:w="60" w:type="dxa"/>
              <w:right w:w="0" w:type="dxa"/>
            </w:tcMar>
          </w:tcPr>
          <w:p w14:paraId="00000162">
            <w:r>
              <w:rPr>
                <w:rFonts w:ascii="Times New Roman" w:hAnsi="Times New Roman" w:eastAsia="Times New Roman" w:cs="Times New Roman"/>
                <w:sz w:val="24"/>
                <w:szCs w:val="24"/>
                <w:rtl w:val="0"/>
              </w:rPr>
              <w:t>No API keys, passwords, or other credentials are exposed in the code repository, prototype, or this document.</w:t>
            </w:r>
          </w:p>
        </w:tc>
      </w:tr>
      <w:tr w14:paraId="3F5225E6">
        <w:tblPrEx>
          <w:tblCellMar>
            <w:top w:w="0" w:type="dxa"/>
            <w:left w:w="115" w:type="dxa"/>
            <w:bottom w:w="0" w:type="dxa"/>
            <w:right w:w="115" w:type="dxa"/>
          </w:tblCellMar>
        </w:tblPrEx>
        <w:tc>
          <w:tcPr>
            <w:tcW w:w="500" w:type="dxa"/>
            <w:tcBorders>
              <w:top w:val="nil"/>
              <w:left w:val="nil"/>
              <w:bottom w:val="nil"/>
              <w:right w:val="nil"/>
            </w:tcBorders>
            <w:tcMar>
              <w:top w:w="60" w:type="dxa"/>
              <w:left w:w="0" w:type="dxa"/>
              <w:bottom w:w="60" w:type="dxa"/>
              <w:right w:w="60" w:type="dxa"/>
            </w:tcMar>
          </w:tcPr>
          <w:p w14:paraId="00000163">
            <w:r>
              <w:rPr>
                <w:rFonts w:ascii="Times New Roman" w:hAnsi="Times New Roman" w:eastAsia="Times New Roman" w:cs="Times New Roman"/>
                <w:sz w:val="32"/>
                <w:szCs w:val="32"/>
                <w:rtl w:val="0"/>
              </w:rPr>
              <w:sym w:font="Wingdings 2" w:char="0052"/>
            </w:r>
          </w:p>
        </w:tc>
        <w:tc>
          <w:tcPr>
            <w:tcW w:w="8860" w:type="dxa"/>
            <w:tcBorders>
              <w:top w:val="nil"/>
              <w:left w:val="nil"/>
              <w:bottom w:val="nil"/>
              <w:right w:val="nil"/>
            </w:tcBorders>
            <w:tcMar>
              <w:top w:w="60" w:type="dxa"/>
              <w:left w:w="60" w:type="dxa"/>
              <w:bottom w:w="60" w:type="dxa"/>
              <w:right w:w="0" w:type="dxa"/>
            </w:tcMar>
          </w:tcPr>
          <w:p w14:paraId="00000164">
            <w:r>
              <w:rPr>
                <w:rFonts w:ascii="Times New Roman" w:hAnsi="Times New Roman" w:eastAsia="Times New Roman" w:cs="Times New Roman"/>
                <w:sz w:val="24"/>
                <w:szCs w:val="24"/>
                <w:rtl w:val="0"/>
              </w:rPr>
              <w:t>Any use of generative-AI tools for development has been disclosed and reviewed by the team.</w:t>
            </w:r>
          </w:p>
        </w:tc>
      </w:tr>
      <w:tr w14:paraId="3482502B">
        <w:tblPrEx>
          <w:tblCellMar>
            <w:top w:w="0" w:type="dxa"/>
            <w:left w:w="115" w:type="dxa"/>
            <w:bottom w:w="0" w:type="dxa"/>
            <w:right w:w="115" w:type="dxa"/>
          </w:tblCellMar>
        </w:tblPrEx>
        <w:tc>
          <w:tcPr>
            <w:tcW w:w="500" w:type="dxa"/>
            <w:tcBorders>
              <w:top w:val="nil"/>
              <w:left w:val="nil"/>
              <w:bottom w:val="nil"/>
              <w:right w:val="nil"/>
            </w:tcBorders>
            <w:tcMar>
              <w:top w:w="60" w:type="dxa"/>
              <w:left w:w="0" w:type="dxa"/>
              <w:bottom w:w="60" w:type="dxa"/>
              <w:right w:w="60" w:type="dxa"/>
            </w:tcMar>
          </w:tcPr>
          <w:p w14:paraId="00000165">
            <w:r>
              <w:rPr>
                <w:rFonts w:ascii="Times New Roman" w:hAnsi="Times New Roman" w:eastAsia="Times New Roman" w:cs="Times New Roman"/>
                <w:sz w:val="32"/>
                <w:szCs w:val="32"/>
                <w:rtl w:val="0"/>
              </w:rPr>
              <w:sym w:font="Wingdings 2" w:char="0052"/>
            </w:r>
          </w:p>
        </w:tc>
        <w:tc>
          <w:tcPr>
            <w:tcW w:w="8860" w:type="dxa"/>
            <w:tcBorders>
              <w:top w:val="nil"/>
              <w:left w:val="nil"/>
              <w:bottom w:val="nil"/>
              <w:right w:val="nil"/>
            </w:tcBorders>
            <w:tcMar>
              <w:top w:w="60" w:type="dxa"/>
              <w:left w:w="60" w:type="dxa"/>
              <w:bottom w:w="60" w:type="dxa"/>
              <w:right w:w="0" w:type="dxa"/>
            </w:tcMar>
          </w:tcPr>
          <w:p w14:paraId="00000166">
            <w:r>
              <w:rPr>
                <w:rFonts w:ascii="Times New Roman" w:hAnsi="Times New Roman" w:eastAsia="Times New Roman" w:cs="Times New Roman"/>
                <w:sz w:val="24"/>
                <w:szCs w:val="24"/>
                <w:rtl w:val="0"/>
              </w:rPr>
              <w:t>Any use of official SDC sponsor resources has been declared in Section 5.</w:t>
            </w:r>
          </w:p>
        </w:tc>
      </w:tr>
      <w:tr w14:paraId="6C9A19E8">
        <w:tblPrEx>
          <w:tblCellMar>
            <w:top w:w="0" w:type="dxa"/>
            <w:left w:w="115" w:type="dxa"/>
            <w:bottom w:w="0" w:type="dxa"/>
            <w:right w:w="115" w:type="dxa"/>
          </w:tblCellMar>
        </w:tblPrEx>
        <w:tc>
          <w:tcPr>
            <w:tcW w:w="500" w:type="dxa"/>
            <w:tcBorders>
              <w:top w:val="nil"/>
              <w:left w:val="nil"/>
              <w:bottom w:val="nil"/>
              <w:right w:val="nil"/>
            </w:tcBorders>
            <w:tcMar>
              <w:top w:w="60" w:type="dxa"/>
              <w:left w:w="0" w:type="dxa"/>
              <w:bottom w:w="60" w:type="dxa"/>
              <w:right w:w="60" w:type="dxa"/>
            </w:tcMar>
          </w:tcPr>
          <w:p w14:paraId="00000167">
            <w:r>
              <w:rPr>
                <w:rFonts w:ascii="Times New Roman" w:hAnsi="Times New Roman" w:eastAsia="Times New Roman" w:cs="Times New Roman"/>
                <w:sz w:val="32"/>
                <w:szCs w:val="32"/>
                <w:rtl w:val="0"/>
              </w:rPr>
              <w:sym w:font="Wingdings 2" w:char="0052"/>
            </w:r>
          </w:p>
        </w:tc>
        <w:tc>
          <w:tcPr>
            <w:tcW w:w="8860" w:type="dxa"/>
            <w:tcBorders>
              <w:top w:val="nil"/>
              <w:left w:val="nil"/>
              <w:bottom w:val="nil"/>
              <w:right w:val="nil"/>
            </w:tcBorders>
            <w:tcMar>
              <w:top w:w="60" w:type="dxa"/>
              <w:left w:w="60" w:type="dxa"/>
              <w:bottom w:w="60" w:type="dxa"/>
              <w:right w:w="0" w:type="dxa"/>
            </w:tcMar>
          </w:tcPr>
          <w:p w14:paraId="00000168">
            <w:r>
              <w:rPr>
                <w:rFonts w:ascii="Times New Roman" w:hAnsi="Times New Roman" w:eastAsia="Times New Roman" w:cs="Times New Roman"/>
                <w:sz w:val="24"/>
                <w:szCs w:val="24"/>
                <w:rtl w:val="0"/>
              </w:rPr>
              <w:t>The prototype described here is accessible to judges through the links provided in Section 1.</w:t>
            </w:r>
          </w:p>
        </w:tc>
      </w:tr>
      <w:tr w14:paraId="024E6A34">
        <w:tblPrEx>
          <w:tblCellMar>
            <w:top w:w="0" w:type="dxa"/>
            <w:left w:w="115" w:type="dxa"/>
            <w:bottom w:w="0" w:type="dxa"/>
            <w:right w:w="115" w:type="dxa"/>
          </w:tblCellMar>
        </w:tblPrEx>
        <w:tc>
          <w:tcPr>
            <w:tcW w:w="500" w:type="dxa"/>
            <w:tcBorders>
              <w:top w:val="nil"/>
              <w:left w:val="nil"/>
              <w:bottom w:val="nil"/>
              <w:right w:val="nil"/>
            </w:tcBorders>
            <w:tcMar>
              <w:top w:w="60" w:type="dxa"/>
              <w:left w:w="0" w:type="dxa"/>
              <w:bottom w:w="60" w:type="dxa"/>
              <w:right w:w="60" w:type="dxa"/>
            </w:tcMar>
          </w:tcPr>
          <w:p w14:paraId="00000169">
            <w:r>
              <w:rPr>
                <w:rFonts w:ascii="Times New Roman" w:hAnsi="Times New Roman" w:eastAsia="Times New Roman" w:cs="Times New Roman"/>
                <w:sz w:val="32"/>
                <w:szCs w:val="32"/>
                <w:rtl w:val="0"/>
              </w:rPr>
              <w:sym w:font="Wingdings 2" w:char="0052"/>
            </w:r>
            <w:bookmarkStart w:id="0" w:name="_GoBack"/>
            <w:bookmarkEnd w:id="0"/>
          </w:p>
        </w:tc>
        <w:tc>
          <w:tcPr>
            <w:tcW w:w="8860" w:type="dxa"/>
            <w:tcBorders>
              <w:top w:val="nil"/>
              <w:left w:val="nil"/>
              <w:bottom w:val="nil"/>
              <w:right w:val="nil"/>
            </w:tcBorders>
            <w:tcMar>
              <w:top w:w="60" w:type="dxa"/>
              <w:left w:w="60" w:type="dxa"/>
              <w:bottom w:w="60" w:type="dxa"/>
              <w:right w:w="0" w:type="dxa"/>
            </w:tcMar>
          </w:tcPr>
          <w:p w14:paraId="0000016A">
            <w:r>
              <w:rPr>
                <w:rFonts w:ascii="Times New Roman" w:hAnsi="Times New Roman" w:eastAsia="Times New Roman" w:cs="Times New Roman"/>
                <w:sz w:val="24"/>
                <w:szCs w:val="24"/>
                <w:rtl w:val="0"/>
              </w:rPr>
              <w:t>All fields in this template have been completed within the word limits stated.</w:t>
            </w:r>
          </w:p>
        </w:tc>
      </w:tr>
    </w:tbl>
    <w:p w14:paraId="0000016B">
      <w:pPr>
        <w:spacing w:after="200"/>
        <w:jc w:val="both"/>
      </w:pPr>
    </w:p>
    <w:p w14:paraId="0000016C">
      <w:pPr>
        <w:pStyle w:val="2"/>
        <w:pBdr>
          <w:bottom w:val="none" w:color="auto" w:sz="0" w:space="0"/>
        </w:pBdr>
        <w:jc w:val="both"/>
        <w:rPr>
          <w:rFonts w:ascii="Times New Roman" w:hAnsi="Times New Roman" w:eastAsia="Times New Roman" w:cs="Times New Roman"/>
          <w:color w:val="000000"/>
        </w:rPr>
      </w:pPr>
      <w:r>
        <w:br w:type="page"/>
      </w:r>
    </w:p>
    <w:p w14:paraId="0000016D">
      <w:pPr>
        <w:pStyle w:val="2"/>
        <w:pBdr>
          <w:bottom w:val="none" w:color="auto" w:sz="0" w:space="0"/>
        </w:pBdr>
        <w:jc w:val="both"/>
      </w:pPr>
      <w:r>
        <w:rPr>
          <w:rFonts w:ascii="Times New Roman" w:hAnsi="Times New Roman" w:eastAsia="Times New Roman" w:cs="Times New Roman"/>
          <w:color w:val="000000"/>
          <w:rtl w:val="0"/>
        </w:rPr>
        <w:t>8. Declaration</w:t>
      </w:r>
    </w:p>
    <w:p w14:paraId="0000016E">
      <w:pPr>
        <w:spacing w:after="280"/>
        <w:jc w:val="both"/>
      </w:pPr>
      <w:r>
        <w:rPr>
          <w:rFonts w:ascii="Times New Roman" w:hAnsi="Times New Roman" w:eastAsia="Times New Roman" w:cs="Times New Roman"/>
          <w:sz w:val="24"/>
          <w:szCs w:val="24"/>
          <w:rtl w:val="0"/>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0000016F">
      <w:pPr>
        <w:spacing w:after="120"/>
        <w:jc w:val="both"/>
      </w:pPr>
      <w:r>
        <w:rPr>
          <w:rFonts w:ascii="Times New Roman" w:hAnsi="Times New Roman" w:eastAsia="Times New Roman" w:cs="Times New Roman"/>
          <w:sz w:val="24"/>
          <w:szCs w:val="24"/>
          <w:rtl w:val="0"/>
        </w:rPr>
        <w:t>[Signature]</w:t>
      </w:r>
    </w:p>
    <w:p w14:paraId="00000170">
      <w:pPr>
        <w:jc w:val="both"/>
      </w:pPr>
      <w:r>
        <w:rPr>
          <w:rFonts w:ascii="Times New Roman" w:hAnsi="Times New Roman" w:eastAsia="Times New Roman" w:cs="Times New Roman"/>
          <w:sz w:val="24"/>
          <w:szCs w:val="24"/>
          <w:rtl w:val="0"/>
        </w:rPr>
        <w:t>[Date]</w:t>
      </w:r>
    </w:p>
    <w:sectPr>
      <w:headerReference r:id="rId5" w:type="default"/>
      <w:footerReference r:id="rId6" w:type="default"/>
      <w:pgSz w:w="12240" w:h="15840"/>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ECEDA502-BCD3-448D-9067-B48959CBE14D}"/>
  </w:font>
  <w:font w:name="Arial">
    <w:panose1 w:val="020B0604020202020204"/>
    <w:charset w:val="01"/>
    <w:family w:val="swiss"/>
    <w:pitch w:val="default"/>
    <w:sig w:usb0="E0002EFF" w:usb1="C000785B" w:usb2="00000009" w:usb3="00000000" w:csb0="400001FF" w:csb1="FFFF0000"/>
    <w:embedRegular r:id="rId2" w:fontKey="{A1F81EF3-3BD9-4C92-B6C9-6AB6C81AF464}"/>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embedRegular r:id="rId3" w:fontKey="{F152BBA4-6875-4C11-B203-4AFD9D1D055F}"/>
  </w:font>
  <w:font w:name="Symbol">
    <w:panose1 w:val="05050102010706020507"/>
    <w:charset w:val="02"/>
    <w:family w:val="roman"/>
    <w:pitch w:val="default"/>
    <w:sig w:usb0="00000000" w:usb1="00000000" w:usb2="00000000" w:usb3="00000000" w:csb0="80000000" w:csb1="00000000"/>
    <w:embedRegular r:id="rId4" w:fontKey="{9CCF465C-10CF-4A40-8E26-1A083A83F7DE}"/>
  </w:font>
  <w:font w:name="Calibri">
    <w:panose1 w:val="020F0502020204030204"/>
    <w:charset w:val="86"/>
    <w:family w:val="swiss"/>
    <w:pitch w:val="default"/>
    <w:sig w:usb0="E4002EFF" w:usb1="C200247B" w:usb2="00000009" w:usb3="00000000" w:csb0="200001FF" w:csb1="00000000"/>
    <w:embedRegular r:id="rId5" w:fontKey="{7858A99E-EAA3-4555-BBA0-2CC60D4E4346}"/>
  </w:font>
  <w:font w:name="Georgia">
    <w:panose1 w:val="02040502050405020303"/>
    <w:charset w:val="00"/>
    <w:family w:val="auto"/>
    <w:pitch w:val="default"/>
    <w:sig w:usb0="00000287" w:usb1="00000000" w:usb2="00000000" w:usb3="00000000" w:csb0="2000009F" w:csb1="00000000"/>
    <w:embedRegular r:id="rId6" w:fontKey="{2D398683-39EB-460F-B3FD-58DCAB006894}"/>
  </w:font>
  <w:font w:name="Cardo">
    <w:altName w:val="FFont-Family"/>
    <w:panose1 w:val="00000000000000000000"/>
    <w:charset w:val="00"/>
    <w:family w:val="auto"/>
    <w:pitch w:val="default"/>
    <w:sig w:usb0="00000000" w:usb1="00000000" w:usb2="00000000" w:usb3="00000000" w:csb0="00000000" w:csb1="00000000"/>
    <w:embedRegular r:id="rId7" w:fontKey="{F9859B2B-D89C-49DC-8BD9-7E52C9E952A2}"/>
  </w:font>
  <w:font w:name="Arial Unicode MS">
    <w:altName w:val="Arial"/>
    <w:panose1 w:val="00000000000000000000"/>
    <w:charset w:val="00"/>
    <w:family w:val="auto"/>
    <w:pitch w:val="default"/>
    <w:sig w:usb0="00000000" w:usb1="00000000" w:usb2="00000000" w:usb3="00000000" w:csb0="00000000" w:csb1="00000000"/>
    <w:embedRegular r:id="rId8" w:fontKey="{512516DF-D50B-411A-97D8-A739ED35EA73}"/>
  </w:font>
  <w:font w:name="Gungsuh">
    <w:altName w:val="FFont-Family"/>
    <w:panose1 w:val="00000000000000000000"/>
    <w:charset w:val="00"/>
    <w:family w:val="auto"/>
    <w:pitch w:val="default"/>
    <w:sig w:usb0="00000000" w:usb1="00000000" w:usb2="00000000" w:usb3="00000000" w:csb0="00000000" w:csb1="00000000"/>
    <w:embedRegular r:id="rId9" w:fontKey="{11B83C1D-FE1F-450C-8566-A1FE42C8FB1D}"/>
  </w:font>
  <w:font w:name="FFont-Family">
    <w:panose1 w:val="02000509000000000000"/>
    <w:charset w:val="00"/>
    <w:family w:val="auto"/>
    <w:pitch w:val="default"/>
    <w:sig w:usb0="00000001" w:usb1="00000000" w:usb2="00000000" w:usb3="00000000" w:csb0="00000001" w:csb1="00000000"/>
    <w:embedRegular r:id="rId10" w:fontKey="{688F6081-5FD1-4C56-845D-8F5AFE9B9772}"/>
  </w:font>
  <w:font w:name="Arial">
    <w:panose1 w:val="020B0604020202020204"/>
    <w:charset w:val="00"/>
    <w:family w:val="auto"/>
    <w:pitch w:val="default"/>
    <w:sig w:usb0="E0002EFF" w:usb1="C000785B" w:usb2="00000009" w:usb3="00000000" w:csb0="400001FF" w:csb1="FFFF0000"/>
    <w:embedRegular r:id="rId11" w:fontKey="{D27AB1B0-F52B-40FE-B348-085E23F51865}"/>
  </w:font>
  <w:font w:name="Wingdings 2">
    <w:panose1 w:val="05020102010507070707"/>
    <w:charset w:val="00"/>
    <w:family w:val="auto"/>
    <w:pitch w:val="default"/>
    <w:sig w:usb0="00000000" w:usb1="00000000" w:usb2="00000000" w:usb3="00000000" w:csb0="80000000" w:csb1="00000000"/>
    <w:embedRegular r:id="rId12" w:fontKey="{AC79E208-E7BB-49FE-AD81-25A7102E846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72">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71">
    <w:pPr>
      <w:pBdr>
        <w:bottom w:val="none" w:color="auto" w:sz="0" w:space="0"/>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
  <w:rsids>
    <w:rsidRoot w:val="00000000"/>
    <w:rsid w:val="29CF1324"/>
    <w:rsid w:val="65095250"/>
    <w:rsid w:val="65981D4A"/>
    <w:rsid w:val="74303CED"/>
    <w:rsid w:val="764364A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Calibri" w:hAnsi="Calibri" w:eastAsia="Calibri" w:cs="Calibri"/>
      <w:sz w:val="21"/>
      <w:szCs w:val="21"/>
      <w:lang w:val="en"/>
    </w:rPr>
  </w:style>
  <w:style w:type="paragraph" w:styleId="2">
    <w:name w:val="heading 1"/>
    <w:basedOn w:val="1"/>
    <w:next w:val="1"/>
    <w:qFormat/>
    <w:uiPriority w:val="0"/>
    <w:pPr>
      <w:pBdr>
        <w:top w:val="none" w:color="auto" w:sz="0" w:space="0"/>
        <w:left w:val="none" w:color="auto" w:sz="0" w:space="0"/>
        <w:bottom w:val="single" w:color="0E6E55" w:sz="6" w:space="4"/>
        <w:right w:val="none" w:color="auto" w:sz="0" w:space="0"/>
        <w:between w:val="none" w:color="auto" w:sz="0" w:space="0"/>
      </w:pBdr>
      <w:spacing w:before="360" w:after="160"/>
    </w:pPr>
    <w:rPr>
      <w:b/>
      <w:bCs/>
      <w:color w:val="0A4F3D"/>
      <w:sz w:val="28"/>
      <w:szCs w:val="2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pacing w:before="240" w:after="120"/>
    </w:pPr>
    <w:rPr>
      <w:b/>
      <w:bCs/>
      <w:color w:val="0A4F3D"/>
      <w:sz w:val="23"/>
      <w:szCs w:val="23"/>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pPr>
    <w:rPr>
      <w:color w:val="1F4D78"/>
      <w:sz w:val="24"/>
      <w:szCs w:val="24"/>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pPr>
    <w:rPr>
      <w:i/>
      <w:iCs/>
      <w:color w:val="2E74B5"/>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pPr>
    <w:rPr>
      <w:color w:val="2E74B5"/>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pPr>
    <w:rPr>
      <w:color w:val="1F4D78"/>
    </w:rPr>
  </w:style>
  <w:style w:type="character" w:default="1" w:styleId="11">
    <w:name w:val="Default Paragraph Font"/>
    <w:semiHidden/>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8">
    <w:name w:val="Subtitle"/>
    <w:basedOn w:val="1"/>
    <w:next w:val="1"/>
    <w:qFormat/>
    <w:uiPriority w:val="0"/>
    <w:pPr>
      <w:keepNext/>
      <w:keepLines/>
      <w:spacing w:before="360" w:after="80"/>
    </w:pPr>
    <w:rPr>
      <w:rFonts w:ascii="Georgia" w:hAnsi="Georgia" w:eastAsia="Georgia" w:cs="Georgia"/>
      <w:i/>
      <w:iCs/>
      <w:color w:val="666666"/>
      <w:sz w:val="48"/>
      <w:szCs w:val="48"/>
    </w:rPr>
  </w:style>
  <w:style w:type="paragraph" w:styleId="9">
    <w:name w:val="Title"/>
    <w:basedOn w:val="1"/>
    <w:next w:val="1"/>
    <w:qFormat/>
    <w:uiPriority w:val="0"/>
    <w:pPr>
      <w:pBdr>
        <w:top w:val="none" w:color="auto" w:sz="0" w:space="0"/>
        <w:left w:val="none" w:color="auto" w:sz="0" w:space="0"/>
        <w:bottom w:val="none" w:color="auto" w:sz="0" w:space="0"/>
        <w:right w:val="none" w:color="auto" w:sz="0" w:space="0"/>
        <w:between w:val="none" w:color="auto" w:sz="0" w:space="0"/>
      </w:pBdr>
    </w:pPr>
    <w:rPr>
      <w:color w:val="000000"/>
      <w:sz w:val="56"/>
      <w:szCs w:val="56"/>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tblPr>
      <w:tblCellMar>
        <w:top w:w="0" w:type="dxa"/>
        <w:left w:w="115" w:type="dxa"/>
        <w:bottom w:w="0" w:type="dxa"/>
        <w:right w:w="115" w:type="dxa"/>
      </w:tblCellMar>
    </w:tblPr>
  </w:style>
  <w:style w:type="table" w:customStyle="1" w:styleId="14">
    <w:name w:val="_Style 11"/>
    <w:basedOn w:val="12"/>
    <w:qFormat/>
    <w:uiPriority w:val="0"/>
    <w:tblPr>
      <w:tblCellMar>
        <w:top w:w="0" w:type="dxa"/>
        <w:left w:w="115" w:type="dxa"/>
        <w:bottom w:w="0" w:type="dxa"/>
        <w:right w:w="115" w:type="dxa"/>
      </w:tblCellMar>
    </w:tblPr>
  </w:style>
  <w:style w:type="table" w:customStyle="1" w:styleId="15">
    <w:name w:val="_Style 12"/>
    <w:basedOn w:val="12"/>
    <w:qFormat/>
    <w:uiPriority w:val="0"/>
    <w:tblPr>
      <w:tblCellMar>
        <w:top w:w="0" w:type="dxa"/>
        <w:left w:w="115" w:type="dxa"/>
        <w:bottom w:w="0" w:type="dxa"/>
        <w:right w:w="115" w:type="dxa"/>
      </w:tblCellMar>
    </w:tblPr>
  </w:style>
  <w:style w:type="table" w:customStyle="1" w:styleId="16">
    <w:name w:val="_Style 13"/>
    <w:basedOn w:val="12"/>
    <w:qFormat/>
    <w:uiPriority w:val="0"/>
    <w:tblPr>
      <w:tblCellMar>
        <w:top w:w="0" w:type="dxa"/>
        <w:left w:w="115" w:type="dxa"/>
        <w:bottom w:w="0" w:type="dxa"/>
        <w:right w:w="115" w:type="dxa"/>
      </w:tblCellMar>
    </w:tblPr>
  </w:style>
  <w:style w:type="table" w:customStyle="1" w:styleId="17">
    <w:name w:val="_Style 14"/>
    <w:basedOn w:val="12"/>
    <w:uiPriority w:val="0"/>
    <w:tblPr>
      <w:tblCellMar>
        <w:top w:w="0" w:type="dxa"/>
        <w:left w:w="115" w:type="dxa"/>
        <w:bottom w:w="0" w:type="dxa"/>
        <w:right w:w="115" w:type="dxa"/>
      </w:tblCellMar>
    </w:tblPr>
  </w:style>
  <w:style w:type="table" w:customStyle="1" w:styleId="18">
    <w:name w:val="_Style 15"/>
    <w:basedOn w:val="12"/>
    <w:uiPriority w:val="0"/>
    <w:tblPr>
      <w:tblCellMar>
        <w:top w:w="0" w:type="dxa"/>
        <w:left w:w="115" w:type="dxa"/>
        <w:bottom w:w="0" w:type="dxa"/>
        <w:right w:w="115" w:type="dxa"/>
      </w:tblCellMar>
    </w:tblPr>
  </w:style>
  <w:style w:type="table" w:customStyle="1" w:styleId="19">
    <w:name w:val="_Style 16"/>
    <w:basedOn w:val="12"/>
    <w:uiPriority w:val="0"/>
    <w:tblPr>
      <w:tblCellMar>
        <w:top w:w="0" w:type="dxa"/>
        <w:left w:w="115" w:type="dxa"/>
        <w:bottom w:w="0" w:type="dxa"/>
        <w:right w:w="115" w:type="dxa"/>
      </w:tblCellMar>
    </w:tblPr>
  </w:style>
  <w:style w:type="table" w:customStyle="1" w:styleId="20">
    <w:name w:val="_Style 17"/>
    <w:basedOn w:val="12"/>
    <w:uiPriority w:val="0"/>
    <w:tblPr>
      <w:tblCellMar>
        <w:top w:w="0" w:type="dxa"/>
        <w:left w:w="115" w:type="dxa"/>
        <w:bottom w:w="0" w:type="dxa"/>
        <w:right w:w="115" w:type="dxa"/>
      </w:tblCellMar>
    </w:tblPr>
  </w:style>
  <w:style w:type="table" w:customStyle="1" w:styleId="21">
    <w:name w:val="_Style 18"/>
    <w:basedOn w:val="12"/>
    <w:uiPriority w:val="0"/>
    <w:tblPr>
      <w:tblCellMar>
        <w:top w:w="0" w:type="dxa"/>
        <w:left w:w="115" w:type="dxa"/>
        <w:bottom w:w="0" w:type="dxa"/>
        <w:right w:w="115" w:type="dxa"/>
      </w:tblCellMar>
    </w:tblPr>
  </w:style>
  <w:style w:type="table" w:customStyle="1" w:styleId="22">
    <w:name w:val="_Style 19"/>
    <w:basedOn w:val="12"/>
    <w:uiPriority w:val="0"/>
    <w:tblPr>
      <w:tblCellMar>
        <w:top w:w="0" w:type="dxa"/>
        <w:left w:w="115" w:type="dxa"/>
        <w:bottom w:w="0" w:type="dxa"/>
        <w:right w:w="115" w:type="dxa"/>
      </w:tblCellMar>
    </w:tblPr>
  </w:style>
  <w:style w:type="table" w:customStyle="1" w:styleId="23">
    <w:name w:val="_Style 20"/>
    <w:basedOn w:val="12"/>
    <w:uiPriority w:val="0"/>
    <w:tblPr>
      <w:tblCellMar>
        <w:top w:w="0" w:type="dxa"/>
        <w:left w:w="115" w:type="dxa"/>
        <w:bottom w:w="0" w:type="dxa"/>
        <w:right w:w="115" w:type="dxa"/>
      </w:tblCellMar>
    </w:tblPr>
  </w:style>
  <w:style w:type="table" w:customStyle="1" w:styleId="24">
    <w:name w:val="_Style 21"/>
    <w:basedOn w:val="12"/>
    <w:uiPriority w:val="0"/>
    <w:tblPr>
      <w:tblCellMar>
        <w:top w:w="0" w:type="dxa"/>
        <w:left w:w="115" w:type="dxa"/>
        <w:bottom w:w="0" w:type="dxa"/>
        <w:right w:w="115" w:type="dxa"/>
      </w:tblCellMar>
    </w:tblPr>
  </w:style>
  <w:style w:type="table" w:customStyle="1" w:styleId="25">
    <w:name w:val="_Style 22"/>
    <w:basedOn w:val="12"/>
    <w:uiPriority w:val="0"/>
    <w:tblPr>
      <w:tblCellMar>
        <w:top w:w="0" w:type="dxa"/>
        <w:left w:w="115" w:type="dxa"/>
        <w:bottom w:w="0" w:type="dxa"/>
        <w:right w:w="115" w:type="dxa"/>
      </w:tblCellMar>
    </w:tblPr>
  </w:style>
  <w:style w:type="table" w:customStyle="1" w:styleId="26">
    <w:name w:val="_Style 23"/>
    <w:basedOn w:val="12"/>
    <w:uiPriority w:val="0"/>
    <w:tblPr>
      <w:tblCellMar>
        <w:top w:w="0" w:type="dxa"/>
        <w:left w:w="115" w:type="dxa"/>
        <w:bottom w:w="0" w:type="dxa"/>
        <w:right w:w="115" w:type="dxa"/>
      </w:tblCellMar>
    </w:tblPr>
  </w:style>
  <w:style w:type="table" w:customStyle="1" w:styleId="27">
    <w:name w:val="_Style 24"/>
    <w:basedOn w:val="12"/>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16</Pages>
  <Words>172</Words>
  <Characters>1074</Characters>
  <TotalTime>0</TotalTime>
  <ScaleCrop>false</ScaleCrop>
  <LinksUpToDate>false</LinksUpToDate>
  <CharactersWithSpaces>1224</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2026-10-24T02:55:39Z</dcterms:created>
  <cp:lastModifiedBy>流麦_</cp:lastModifiedBy>
  <dcterms:modified xsi:type="dcterms:W3CDTF">2026-10-24T03:05:45Z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eyJoZGlkIjoiN2Q1OTdkOTZmYjhjMTkwYTRkMjg3MDc4MWMzYTNhODQiLCJ1c2VySWQiOiIxODc4NDMxNzI3In0=</vt:lpwstr>
  </property>
  <property fmtid="{D5CDD505-2E9C-101B-9397-08002B2CF9AE}" pid="3" name="KSOProductBuildVer">
    <vt:lpwstr>2052-12.1.0.29161</vt:lpwstr>
  </property>
  <property fmtid="{D5CDD505-2E9C-101B-9397-08002B2CF9AE}" pid="4" name="ICV">
    <vt:lpwstr>421EB8B91B4B43D791CE5B3347224CD6_12</vt:lpwstr>
  </property>
</Properties>
</file>