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游ゴシック" w:cs="游ゴシック" w:eastAsia="游ゴシック" w:hAnsi="游ゴシック"/>
          <w:b/>
          <w:bCs/>
          <w:i w:val="false"/>
          <w:iCs w:val="false"/>
          <w:sz w:val="30"/>
          <w:szCs w:val="30"/>
        </w:rPr>
        <w:t xml:space="preserve">利用者情報の取扱いと請求管理に関する改善提案</w:t>
      </w:r>
    </w:p>
    <w:p>
      <w:pPr>
        <w:spacing w:after="30"/>
      </w:pPr>
      <w:r>
        <w:rPr>
          <w:rFonts w:ascii="游明朝" w:cs="游明朝" w:eastAsia="游明朝" w:hAnsi="游明朝"/>
          <w:b/>
          <w:bCs/>
          <w:i w:val="false"/>
          <w:iCs w:val="false"/>
          <w:sz w:val="21"/>
          <w:szCs w:val="21"/>
        </w:rPr>
        <w:t xml:space="preserve">宛先: </w:t>
      </w:r>
      <w:r>
        <w:rPr>
          <w:rFonts w:ascii="游明朝" w:cs="游明朝" w:eastAsia="游明朝" w:hAnsi="游明朝"/>
          <w:b w:val="false"/>
          <w:bCs w:val="false"/>
          <w:i w:val="false"/>
          <w:iCs w:val="false"/>
          <w:sz w:val="21"/>
          <w:szCs w:val="21"/>
        </w:rPr>
        <w:t xml:space="preserve">事務局長・管理者</w:t>
      </w:r>
    </w:p>
    <w:p>
      <w:pPr>
        <w:spacing w:after="30"/>
      </w:pPr>
      <w:r>
        <w:rPr>
          <w:rFonts w:ascii="游明朝" w:cs="游明朝" w:eastAsia="游明朝" w:hAnsi="游明朝"/>
          <w:b/>
          <w:bCs/>
          <w:i w:val="false"/>
          <w:iCs w:val="false"/>
          <w:sz w:val="21"/>
          <w:szCs w:val="21"/>
        </w:rPr>
        <w:t xml:space="preserve">提出日: </w:t>
      </w:r>
      <w:r>
        <w:rPr>
          <w:rFonts w:ascii="游明朝" w:cs="游明朝" w:eastAsia="游明朝" w:hAnsi="游明朝"/>
          <w:b w:val="false"/>
          <w:bCs w:val="false"/>
          <w:i w:val="false"/>
          <w:iCs w:val="false"/>
          <w:sz w:val="21"/>
          <w:szCs w:val="21"/>
        </w:rPr>
        <w:t xml:space="preserve">2026年　月　日</w:t>
      </w:r>
    </w:p>
    <w:p>
      <w:pPr>
        <w:spacing w:after="80"/>
      </w:pPr>
      <w:r>
        <w:rPr>
          <w:rFonts w:ascii="游明朝" w:cs="游明朝" w:eastAsia="游明朝" w:hAnsi="游明朝"/>
          <w:b/>
          <w:bCs/>
          <w:i w:val="false"/>
          <w:iCs w:val="false"/>
          <w:sz w:val="21"/>
          <w:szCs w:val="21"/>
        </w:rPr>
        <w:t xml:space="preserve">提出者: </w:t>
      </w:r>
      <w:r>
        <w:rPr>
          <w:rFonts w:ascii="游明朝" w:cs="游明朝" w:eastAsia="游明朝" w:hAnsi="游明朝"/>
          <w:b w:val="false"/>
          <w:bCs w:val="false"/>
          <w:i w:val="false"/>
          <w:iCs w:val="false"/>
          <w:sz w:val="21"/>
          <w:szCs w:val="21"/>
        </w:rPr>
        <w:t xml:space="preserve">　　　　　　　　</w:t>
      </w:r>
    </w:p>
    <w:p>
      <w:pPr>
        <w:pBdr>
          <w:bottom w:val="single" w:color="AAAAAA" w:sz="6" w:space="1"/>
        </w:pBdr>
        <w:spacing w:after="120" w:before="60"/>
      </w:pPr>
    </w:p>
    <w:p>
      <w:pPr>
        <w:pStyle w:val="Heading1"/>
      </w:pPr>
      <w:r>
        <w:rPr>
          <w:rFonts w:ascii="游ゴシック" w:cs="游ゴシック" w:eastAsia="游ゴシック" w:hAnsi="游ゴシック"/>
          <w:b/>
          <w:bCs/>
          <w:i w:val="false"/>
          <w:iCs w:val="false"/>
          <w:sz w:val="21"/>
          <w:szCs w:val="21"/>
        </w:rPr>
        <w:t xml:space="preserve">1. この提案の趣旨(30秒でわかる要約)</w:t>
      </w:r>
    </w:p>
    <w:p>
      <w:pPr>
        <w:pStyle w:val="ListParagraph"/>
        <w:numPr>
          <w:ilvl w:val="0"/>
          <w:numId w:val="2"/>
        </w:numPr>
        <w:spacing w:after="70" w:line="260"/>
      </w:pPr>
      <w:r>
        <w:rPr>
          <w:rFonts w:ascii="游明朝" w:cs="游明朝" w:eastAsia="游明朝" w:hAnsi="游明朝"/>
          <w:b w:val="false"/>
          <w:bCs w:val="false"/>
          <w:i w:val="false"/>
          <w:iCs w:val="false"/>
          <w:sz w:val="21"/>
          <w:szCs w:val="21"/>
        </w:rPr>
        <w:t xml:space="preserve">目的は、</w:t>
      </w:r>
      <w:r>
        <w:rPr>
          <w:rFonts w:ascii="游明朝" w:cs="游明朝" w:eastAsia="游明朝" w:hAnsi="游明朝"/>
          <w:b/>
          <w:bCs/>
          <w:i w:val="false"/>
          <w:iCs w:val="false"/>
          <w:sz w:val="21"/>
          <w:szCs w:val="21"/>
        </w:rPr>
        <w:t xml:space="preserve">事業所を行政処分・賠償・報酬返還のリスクから守る</w:t>
      </w:r>
      <w:r>
        <w:rPr>
          <w:rFonts w:ascii="游明朝" w:cs="游明朝" w:eastAsia="游明朝" w:hAnsi="游明朝"/>
          <w:b w:val="false"/>
          <w:bCs w:val="false"/>
          <w:i w:val="false"/>
          <w:iCs w:val="false"/>
          <w:sz w:val="21"/>
          <w:szCs w:val="21"/>
        </w:rPr>
        <w:t xml:space="preserve">ことです。過去の運用を責める趣旨ではありません。</w:t>
      </w:r>
    </w:p>
    <w:p>
      <w:pPr>
        <w:pStyle w:val="ListParagraph"/>
        <w:numPr>
          <w:ilvl w:val="0"/>
          <w:numId w:val="2"/>
        </w:numPr>
        <w:spacing w:after="70" w:line="260"/>
      </w:pPr>
      <w:r>
        <w:rPr>
          <w:rFonts w:ascii="游明朝" w:cs="游明朝" w:eastAsia="游明朝" w:hAnsi="游明朝"/>
          <w:b w:val="false"/>
          <w:bCs w:val="false"/>
          <w:i w:val="false"/>
          <w:iCs w:val="false"/>
          <w:sz w:val="21"/>
          <w:szCs w:val="21"/>
        </w:rPr>
        <w:t xml:space="preserve">提案の中心は </w:t>
      </w:r>
      <w:r>
        <w:rPr>
          <w:rFonts w:ascii="游明朝" w:cs="游明朝" w:eastAsia="游明朝" w:hAnsi="游明朝"/>
          <w:b/>
          <w:bCs/>
          <w:i w:val="false"/>
          <w:iCs w:val="false"/>
          <w:sz w:val="21"/>
          <w:szCs w:val="21"/>
        </w:rPr>
        <w:t xml:space="preserve">費用0円</w:t>
      </w:r>
      <w:r>
        <w:rPr>
          <w:rFonts w:ascii="游明朝" w:cs="游明朝" w:eastAsia="游明朝" w:hAnsi="游明朝"/>
          <w:b w:val="false"/>
          <w:bCs w:val="false"/>
          <w:i w:val="false"/>
          <w:iCs w:val="false"/>
          <w:sz w:val="21"/>
          <w:szCs w:val="21"/>
        </w:rPr>
        <w:t xml:space="preserve"> の2つの対策です(今月から可能)。有料の選択肢は将来の検討事項にすぎません。</w:t>
      </w:r>
    </w:p>
    <w:p>
      <w:pPr>
        <w:pStyle w:val="ListParagraph"/>
        <w:numPr>
          <w:ilvl w:val="0"/>
          <w:numId w:val="2"/>
        </w:numPr>
        <w:spacing w:after="70" w:line="260"/>
      </w:pPr>
      <w:r>
        <w:rPr>
          <w:rFonts w:ascii="游明朝" w:cs="游明朝" w:eastAsia="游明朝" w:hAnsi="游明朝"/>
          <w:b w:val="false"/>
          <w:bCs w:val="false"/>
          <w:i w:val="false"/>
          <w:iCs w:val="false"/>
          <w:sz w:val="21"/>
          <w:szCs w:val="21"/>
        </w:rPr>
        <w:t xml:space="preserve">放置した場合に想定されるリスクは</w:t>
      </w:r>
      <w:r>
        <w:rPr>
          <w:rFonts w:ascii="游明朝" w:cs="游明朝" w:eastAsia="游明朝" w:hAnsi="游明朝"/>
          <w:b/>
          <w:bCs/>
          <w:i w:val="false"/>
          <w:iCs w:val="false"/>
          <w:sz w:val="21"/>
          <w:szCs w:val="21"/>
        </w:rPr>
        <w:t xml:space="preserve">最大で事業継続そのもの</w:t>
      </w:r>
      <w:r>
        <w:rPr>
          <w:rFonts w:ascii="游明朝" w:cs="游明朝" w:eastAsia="游明朝" w:hAnsi="游明朝"/>
          <w:b w:val="false"/>
          <w:bCs w:val="false"/>
          <w:i w:val="false"/>
          <w:iCs w:val="false"/>
          <w:sz w:val="21"/>
          <w:szCs w:val="21"/>
        </w:rPr>
        <w:t xml:space="preserve">(指定取消)に及びます。対策費用(月0円〜)とは桁が違います。</w:t>
      </w:r>
    </w:p>
    <w:p>
      <w:pPr>
        <w:pBdr>
          <w:bottom w:val="single" w:color="AAAAAA" w:sz="6" w:space="1"/>
        </w:pBdr>
        <w:spacing w:after="120" w:before="60"/>
      </w:pPr>
    </w:p>
    <w:p>
      <w:pPr>
        <w:pStyle w:val="Heading1"/>
      </w:pPr>
      <w:r>
        <w:rPr>
          <w:rFonts w:ascii="游ゴシック" w:cs="游ゴシック" w:eastAsia="游ゴシック" w:hAnsi="游ゴシック"/>
          <w:b/>
          <w:bCs/>
          <w:i w:val="false"/>
          <w:iCs w:val="false"/>
          <w:sz w:val="21"/>
          <w:szCs w:val="21"/>
        </w:rPr>
        <w:t xml:space="preserve">2. 前提: 2022年以降、制度環境が変わりました</w:t>
      </w:r>
    </w:p>
    <w:p>
      <w:pPr>
        <w:spacing w:after="100" w:before="0" w:line="240"/>
      </w:pPr>
      <w:r>
        <w:rPr>
          <w:rFonts w:ascii="游明朝" w:cs="游明朝" w:eastAsia="游明朝" w:hAnsi="游明朝"/>
          <w:b w:val="false"/>
          <w:bCs w:val="false"/>
          <w:i w:val="false"/>
          <w:iCs w:val="false"/>
          <w:sz w:val="21"/>
          <w:szCs w:val="21"/>
        </w:rPr>
        <w:t xml:space="preserve">「今まで問題が起きなかった」は、以下の制度変更の</w:t>
      </w:r>
      <w:r>
        <w:rPr>
          <w:rFonts w:ascii="游明朝" w:cs="游明朝" w:eastAsia="游明朝" w:hAnsi="游明朝"/>
          <w:b/>
          <w:bCs/>
          <w:i w:val="false"/>
          <w:iCs w:val="false"/>
          <w:sz w:val="21"/>
          <w:szCs w:val="21"/>
        </w:rPr>
        <w:t xml:space="preserve">前</w:t>
      </w:r>
      <w:r>
        <w:rPr>
          <w:rFonts w:ascii="游明朝" w:cs="游明朝" w:eastAsia="游明朝" w:hAnsi="游明朝"/>
          <w:b w:val="false"/>
          <w:bCs w:val="false"/>
          <w:i w:val="false"/>
          <w:iCs w:val="false"/>
          <w:sz w:val="21"/>
          <w:szCs w:val="21"/>
        </w:rPr>
        <w:t xml:space="preserve">の経験則です。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26"/>
      </w:tblGrid>
      <w:tr>
        <w:trPr>
          <w:tblHeader/>
        </w:trPr>
        <w:tc>
          <w:tcPr>
            <w:tcW w:type="dxa" w:w="15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9"/>
                <w:szCs w:val="19"/>
              </w:rPr>
              <w:t xml:space="preserve">時期</w:t>
            </w:r>
          </w:p>
        </w:tc>
        <w:tc>
          <w:tcPr>
            <w:tcW w:type="dxa" w:w="38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9"/>
                <w:szCs w:val="19"/>
              </w:rPr>
              <w:t xml:space="preserve">変更</w:t>
            </w:r>
          </w:p>
        </w:tc>
        <w:tc>
          <w:tcPr>
            <w:tcW w:type="dxa" w:w="3726"/>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9"/>
                <w:szCs w:val="19"/>
              </w:rPr>
              <w:t xml:space="preserve">意味</w:t>
            </w:r>
          </w:p>
        </w:tc>
      </w:tr>
      <w:tr>
        <w:tc>
          <w:tcPr>
            <w:tcW w:type="dxa" w:w="15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2022年4月</w:t>
            </w:r>
          </w:p>
        </w:tc>
        <w:tc>
          <w:tcPr>
            <w:tcW w:type="dxa" w:w="38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個人情報の漏えい報告・本人通知が</w:t>
            </w:r>
            <w:r>
              <w:rPr>
                <w:rFonts w:ascii="游明朝" w:cs="游明朝" w:eastAsia="游明朝" w:hAnsi="游明朝"/>
                <w:b/>
                <w:bCs/>
                <w:i w:val="false"/>
                <w:iCs w:val="false"/>
                <w:sz w:val="19"/>
                <w:szCs w:val="19"/>
              </w:rPr>
              <w:t xml:space="preserve">法的義務</w:t>
            </w:r>
            <w:r>
              <w:rPr>
                <w:rFonts w:ascii="游明朝" w:cs="游明朝" w:eastAsia="游明朝" w:hAnsi="游明朝"/>
                <w:b w:val="false"/>
                <w:bCs w:val="false"/>
                <w:i w:val="false"/>
                <w:iCs w:val="false"/>
                <w:sz w:val="19"/>
                <w:szCs w:val="19"/>
              </w:rPr>
              <w:t xml:space="preserve">化。病歴等の要配慮個人情報は</w:t>
            </w:r>
            <w:r>
              <w:rPr>
                <w:rFonts w:ascii="游明朝" w:cs="游明朝" w:eastAsia="游明朝" w:hAnsi="游明朝"/>
                <w:b/>
                <w:bCs/>
                <w:i w:val="false"/>
                <w:iCs w:val="false"/>
                <w:sz w:val="19"/>
                <w:szCs w:val="19"/>
              </w:rPr>
              <w:t xml:space="preserve">1件でも</w:t>
            </w:r>
            <w:r>
              <w:rPr>
                <w:rFonts w:ascii="游明朝" w:cs="游明朝" w:eastAsia="游明朝" w:hAnsi="游明朝"/>
                <w:b w:val="false"/>
                <w:bCs w:val="false"/>
                <w:i w:val="false"/>
                <w:iCs w:val="false"/>
                <w:sz w:val="19"/>
                <w:szCs w:val="19"/>
              </w:rPr>
              <w:t xml:space="preserve">個人情報保護委員会への報告対象(個情法26条・規則7条1号)</w:t>
            </w:r>
          </w:p>
        </w:tc>
        <w:tc>
          <w:tcPr>
            <w:tcW w:type="dxa" w:w="37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「内々で処理」が法律上できなくなった</w:t>
            </w:r>
          </w:p>
        </w:tc>
      </w:tr>
      <w:tr>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2025年6月</w:t>
            </w:r>
          </w:p>
        </w:tc>
        <w:tc>
          <w:tcPr>
            <w:tcW w:type="dxa" w:w="38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罰則が拘禁刑に一本化(刑事罰の現行化)</w:t>
            </w:r>
          </w:p>
        </w:tc>
        <w:tc>
          <w:tcPr>
            <w:tcW w:type="dxa" w:w="37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罰則体系が現役で運用されている</w:t>
            </w:r>
          </w:p>
        </w:tc>
      </w:tr>
      <w:tr>
        <w:tc>
          <w:tcPr>
            <w:tcW w:type="dxa" w:w="15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2026年6月29日</w:t>
            </w:r>
          </w:p>
        </w:tc>
        <w:tc>
          <w:tcPr>
            <w:tcW w:type="dxa" w:w="38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厚労省「医療情報システムの安全管理に関するガイドライン」</w:t>
            </w:r>
            <w:r>
              <w:rPr>
                <w:rFonts w:ascii="游明朝" w:cs="游明朝" w:eastAsia="游明朝" w:hAnsi="游明朝"/>
                <w:b/>
                <w:bCs/>
                <w:i w:val="false"/>
                <w:iCs w:val="false"/>
                <w:sz w:val="19"/>
                <w:szCs w:val="19"/>
              </w:rPr>
              <w:t xml:space="preserve">第7.0版</w:t>
            </w:r>
            <w:r>
              <w:rPr>
                <w:rFonts w:ascii="游明朝" w:cs="游明朝" w:eastAsia="游明朝" w:hAnsi="游明朝"/>
                <w:b w:val="false"/>
                <w:bCs w:val="false"/>
                <w:i w:val="false"/>
                <w:iCs w:val="false"/>
                <w:sz w:val="19"/>
                <w:szCs w:val="19"/>
              </w:rPr>
              <w:t xml:space="preserve">通知。「</w:t>
            </w:r>
            <w:r>
              <w:rPr>
                <w:rFonts w:ascii="游明朝" w:cs="游明朝" w:eastAsia="游明朝" w:hAnsi="游明朝"/>
                <w:b/>
                <w:bCs/>
                <w:i w:val="false"/>
                <w:iCs w:val="false"/>
                <w:sz w:val="19"/>
                <w:szCs w:val="19"/>
              </w:rPr>
              <w:t xml:space="preserve">管理されていない端末でのBYODは許可してはならない</w:t>
            </w:r>
            <w:r>
              <w:rPr>
                <w:rFonts w:ascii="游明朝" w:cs="游明朝" w:eastAsia="游明朝" w:hAnsi="游明朝"/>
                <w:b w:val="false"/>
                <w:bCs w:val="false"/>
                <w:i w:val="false"/>
                <w:iCs w:val="false"/>
                <w:sz w:val="19"/>
                <w:szCs w:val="19"/>
              </w:rPr>
              <w:t xml:space="preserve">」(私物端末の無管理利用の明文禁止)。訪問看護も適用対象と明記</w:t>
            </w:r>
          </w:p>
        </w:tc>
        <w:tc>
          <w:tcPr>
            <w:tcW w:type="dxa" w:w="37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私物スマホ運用は、公式基準への不適合が明文で指摘できる状態</w:t>
            </w:r>
          </w:p>
        </w:tc>
      </w:tr>
      <w:tr>
        <w:tc>
          <w:tcPr>
            <w:tcW w:type="dxa" w:w="15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2026年12月(予定)</w:t>
            </w:r>
          </w:p>
        </w:tc>
        <w:tc>
          <w:tcPr>
            <w:tcW w:type="dxa" w:w="38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改正公益通報者保護法施行。通報者への不利益取扱いに刑事罰導入</w:t>
            </w:r>
          </w:p>
        </w:tc>
        <w:tc>
          <w:tcPr>
            <w:tcW w:type="dxa" w:w="37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9"/>
                <w:szCs w:val="19"/>
              </w:rPr>
              <w:t xml:space="preserve">内部からの指摘を抑える選択肢は制度上なくなっていく</w:t>
            </w:r>
          </w:p>
        </w:tc>
      </w:tr>
    </w:tbl>
    <w:p>
      <w:pPr>
        <w:spacing w:after="100" w:before="60" w:line="240"/>
      </w:pPr>
      <w:r>
        <w:rPr>
          <w:rFonts w:ascii="游明朝" w:cs="游明朝" w:eastAsia="游明朝" w:hAnsi="游明朝"/>
          <w:b w:val="false"/>
          <w:bCs w:val="false"/>
          <w:i w:val="false"/>
          <w:iCs w:val="false"/>
          <w:sz w:val="21"/>
          <w:szCs w:val="21"/>
        </w:rPr>
        <w:t xml:space="preserve">実際、個人情報保護委員会への漏えい等報告は</w:t>
      </w:r>
      <w:r>
        <w:rPr>
          <w:rFonts w:ascii="游明朝" w:cs="游明朝" w:eastAsia="游明朝" w:hAnsi="游明朝"/>
          <w:b/>
          <w:bCs/>
          <w:i w:val="false"/>
          <w:iCs w:val="false"/>
          <w:sz w:val="21"/>
          <w:szCs w:val="21"/>
        </w:rPr>
        <w:t xml:space="preserve">令和6年度 19,056件(前年度比+57%、過去最多)</w:t>
      </w:r>
      <w:r>
        <w:rPr>
          <w:rFonts w:ascii="游明朝" w:cs="游明朝" w:eastAsia="游明朝" w:hAnsi="游明朝"/>
          <w:b w:val="false"/>
          <w:bCs w:val="false"/>
          <w:i w:val="false"/>
          <w:iCs w:val="false"/>
          <w:sz w:val="21"/>
          <w:szCs w:val="21"/>
        </w:rPr>
        <w:t xml:space="preserve">。「発覚しにくい時代」は終わっています。</w:t>
      </w:r>
    </w:p>
    <w:p>
      <w:pPr>
        <w:pBdr>
          <w:bottom w:val="single" w:color="AAAAAA" w:sz="6" w:space="1"/>
        </w:pBdr>
        <w:spacing w:after="120" w:before="60"/>
      </w:pPr>
    </w:p>
    <w:p>
      <w:pPr>
        <w:pStyle w:val="Heading1"/>
      </w:pPr>
      <w:r>
        <w:rPr>
          <w:rFonts w:ascii="游ゴシック" w:cs="游ゴシック" w:eastAsia="游ゴシック" w:hAnsi="游ゴシック"/>
          <w:b/>
          <w:bCs/>
          <w:i w:val="false"/>
          <w:iCs w:val="false"/>
          <w:sz w:val="21"/>
          <w:szCs w:val="21"/>
        </w:rPr>
        <w:t xml:space="preserve">3. 現状を放置した場合に事業所が負いうるもの</w:t>
      </w:r>
    </w:p>
    <w:p>
      <w:pPr>
        <w:pStyle w:val="Heading2"/>
      </w:pPr>
      <w:r>
        <w:rPr>
          <w:rFonts w:ascii="游ゴシック" w:cs="游ゴシック" w:eastAsia="游ゴシック" w:hAnsi="游ゴシック"/>
          <w:b/>
          <w:bCs/>
          <w:i w:val="false"/>
          <w:iCs w:val="false"/>
          <w:sz w:val="21"/>
          <w:szCs w:val="21"/>
        </w:rPr>
        <w:t xml:space="preserve">A. 利用者情報の管理(個人スマホのLINEでの氏名・電話番号・患部写真・自己負担上限額管理表のやりとり)</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何が起きるか</w:t>
            </w:r>
          </w:p>
        </w:tc>
        <w:tc>
          <w:tcPr>
            <w:tcW w:type="dxa" w:w="5826"/>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規模感(出典つき)</w:t>
            </w:r>
          </w:p>
        </w:tc>
      </w:tr>
      <w:tr>
        <w:tc>
          <w:tcPr>
            <w:tcW w:type="dxa" w:w="32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個人情報保護委員会への報告・本人(利用者・家族)への通知義務</w:t>
            </w:r>
          </w:p>
        </w:tc>
        <w:tc>
          <w:tcPr>
            <w:tcW w:type="dxa" w:w="5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要配慮個人情報は</w:t>
            </w:r>
            <w:r>
              <w:rPr>
                <w:rFonts w:ascii="游明朝" w:cs="游明朝" w:eastAsia="游明朝" w:hAnsi="游明朝"/>
                <w:b/>
                <w:bCs/>
                <w:i w:val="false"/>
                <w:iCs w:val="false"/>
                <w:sz w:val="18"/>
                <w:szCs w:val="18"/>
              </w:rPr>
              <w:t xml:space="preserve">1件でも</w:t>
            </w:r>
            <w:r>
              <w:rPr>
                <w:rFonts w:ascii="游明朝" w:cs="游明朝" w:eastAsia="游明朝" w:hAnsi="游明朝"/>
                <w:b w:val="false"/>
                <w:bCs w:val="false"/>
                <w:i w:val="false"/>
                <w:iCs w:val="false"/>
                <w:sz w:val="18"/>
                <w:szCs w:val="18"/>
              </w:rPr>
              <w:t xml:space="preserve">対象 [1]</w:t>
            </w:r>
          </w:p>
        </w:tc>
      </w:tr>
      <w:tr>
        <w:tc>
          <w:tcPr>
            <w:tcW w:type="dxa" w:w="3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委員会の指導→命令→命令違反で刑事罰</w:t>
            </w:r>
          </w:p>
        </w:tc>
        <w:tc>
          <w:tcPr>
            <w:tcW w:type="dxa" w:w="5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個人: 1年以下の拘禁刑/100万円以下罰金、</w:t>
            </w:r>
            <w:r>
              <w:rPr>
                <w:rFonts w:ascii="游明朝" w:cs="游明朝" w:eastAsia="游明朝" w:hAnsi="游明朝"/>
                <w:b/>
                <w:bCs/>
                <w:i w:val="false"/>
                <w:iCs w:val="false"/>
                <w:sz w:val="18"/>
                <w:szCs w:val="18"/>
              </w:rPr>
              <w:t xml:space="preserve">法人: 1億円以下の罰金</w:t>
            </w:r>
            <w:r>
              <w:rPr>
                <w:rFonts w:ascii="游明朝" w:cs="游明朝" w:eastAsia="游明朝" w:hAnsi="游明朝"/>
                <w:b w:val="false"/>
                <w:bCs w:val="false"/>
                <w:i w:val="false"/>
                <w:iCs w:val="false"/>
                <w:sz w:val="18"/>
                <w:szCs w:val="18"/>
              </w:rPr>
              <w:t xml:space="preserve">(個情法178条・184条、e-Gov原文確認済み) [2]</w:t>
            </w:r>
          </w:p>
        </w:tc>
      </w:tr>
      <w:tr>
        <w:tc>
          <w:tcPr>
            <w:tcW w:type="dxa" w:w="32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利用者からの損害賠償</w:t>
            </w:r>
          </w:p>
        </w:tc>
        <w:tc>
          <w:tcPr>
            <w:tcW w:type="dxa" w:w="5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病歴・患部写真を含む事案の判例水準: 乳がん患者の臨床写真入りPCが盗難(拡散の証明なし)で</w:t>
            </w:r>
            <w:r>
              <w:rPr>
                <w:rFonts w:ascii="游明朝" w:cs="游明朝" w:eastAsia="游明朝" w:hAnsi="游明朝"/>
                <w:b/>
                <w:bCs/>
                <w:i w:val="false"/>
                <w:iCs w:val="false"/>
                <w:sz w:val="18"/>
                <w:szCs w:val="18"/>
              </w:rPr>
              <w:t xml:space="preserve">1人あたり30万円</w:t>
            </w:r>
            <w:r>
              <w:rPr>
                <w:rFonts w:ascii="游明朝" w:cs="游明朝" w:eastAsia="游明朝" w:hAnsi="游明朝"/>
                <w:b w:val="false"/>
                <w:bCs w:val="false"/>
                <w:i w:val="false"/>
                <w:iCs w:val="false"/>
                <w:sz w:val="18"/>
                <w:szCs w:val="18"/>
              </w:rPr>
              <w:t xml:space="preserve">。看護師が患者の病状を口外した事案で</w:t>
            </w:r>
            <w:r>
              <w:rPr>
                <w:rFonts w:ascii="游明朝" w:cs="游明朝" w:eastAsia="游明朝" w:hAnsi="游明朝"/>
                <w:b/>
                <w:bCs/>
                <w:i w:val="false"/>
                <w:iCs w:val="false"/>
                <w:sz w:val="18"/>
                <w:szCs w:val="18"/>
              </w:rPr>
              <w:t xml:space="preserve">110万円</w:t>
            </w:r>
            <w:r>
              <w:rPr>
                <w:rFonts w:ascii="游明朝" w:cs="游明朝" w:eastAsia="游明朝" w:hAnsi="游明朝"/>
                <w:b w:val="false"/>
                <w:bCs w:val="false"/>
                <w:i w:val="false"/>
                <w:iCs w:val="false"/>
                <w:sz w:val="18"/>
                <w:szCs w:val="18"/>
              </w:rPr>
              <w:t xml:space="preserve">(病院の使用者責任) [3]</w:t>
            </w:r>
          </w:p>
        </w:tc>
      </w:tr>
      <w:tr>
        <w:tc>
          <w:tcPr>
            <w:tcW w:type="dxa" w:w="3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事故対応の実費</w:t>
            </w:r>
          </w:p>
        </w:tc>
        <w:tc>
          <w:tcPr>
            <w:tcW w:type="dxa" w:w="5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初動・調査 300〜400万円、お詫び窓口(3ヶ月) 700〜1,000万円(JNSA調査) [4]</w:t>
            </w:r>
          </w:p>
        </w:tc>
      </w:tr>
      <w:tr>
        <w:tc>
          <w:tcPr>
            <w:tcW w:type="dxa" w:w="32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職員個人の刑事責任</w:t>
            </w:r>
          </w:p>
        </w:tc>
        <w:tc>
          <w:tcPr>
            <w:tcW w:type="dxa" w:w="5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看護師の守秘義務違反は</w:t>
            </w:r>
            <w:r>
              <w:rPr>
                <w:rFonts w:ascii="游明朝" w:cs="游明朝" w:eastAsia="游明朝" w:hAnsi="游明朝"/>
                <w:b/>
                <w:bCs/>
                <w:i w:val="false"/>
                <w:iCs w:val="false"/>
                <w:sz w:val="18"/>
                <w:szCs w:val="18"/>
              </w:rPr>
              <w:t xml:space="preserve">6月以下の拘禁刑又は10万円以下の罰金</w:t>
            </w:r>
            <w:r>
              <w:rPr>
                <w:rFonts w:ascii="游明朝" w:cs="游明朝" w:eastAsia="游明朝" w:hAnsi="游明朝"/>
                <w:b w:val="false"/>
                <w:bCs w:val="false"/>
                <w:i w:val="false"/>
                <w:iCs w:val="false"/>
                <w:sz w:val="18"/>
                <w:szCs w:val="18"/>
              </w:rPr>
              <w:t xml:space="preserve">(保助看法42条の2・44条の4) — 職員を法的リスクに晒したまま働かせている状態 [5]</w:t>
            </w:r>
          </w:p>
        </w:tc>
      </w:tr>
      <w:tr>
        <w:tc>
          <w:tcPr>
            <w:tcW w:type="dxa" w:w="3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信用の毀損</w:t>
            </w:r>
          </w:p>
        </w:tc>
        <w:tc>
          <w:tcPr>
            <w:tcW w:type="dxa" w:w="5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ケアマネ・医療機関からの紹介停止。直近例: 2026年3月、福岡の病院で看護師が私物スマホで記録を撮影しSNSに「限定公開」→ 転送されて拡散、院長謝罪・全国報道 [6]</w:t>
            </w:r>
          </w:p>
        </w:tc>
      </w:tr>
    </w:tbl>
    <w:p>
      <w:pPr>
        <w:pStyle w:val="Heading2"/>
      </w:pPr>
      <w:r>
        <w:rPr>
          <w:rFonts w:ascii="游ゴシック" w:cs="游ゴシック" w:eastAsia="游ゴシック" w:hAnsi="游ゴシック"/>
          <w:b/>
          <w:bCs/>
          <w:i w:val="false"/>
          <w:iCs w:val="false"/>
          <w:sz w:val="21"/>
          <w:szCs w:val="21"/>
        </w:rPr>
        <w:t xml:space="preserve">B. 請求管理(利用者ごとの保険種別・訪問時間区分が未管理)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何が起きるか</w:t>
            </w:r>
          </w:p>
        </w:tc>
        <w:tc>
          <w:tcPr>
            <w:tcW w:type="dxa" w:w="5826"/>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規模感(出典つき)</w:t>
            </w:r>
          </w:p>
        </w:tc>
      </w:tr>
      <w:tr>
        <w:tc>
          <w:tcPr>
            <w:tcW w:type="dxa" w:w="32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運営指導→監査→報酬返還</w:t>
            </w:r>
          </w:p>
        </w:tc>
        <w:tc>
          <w:tcPr>
            <w:tcW w:type="dxa" w:w="5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返還額に</w:t>
            </w:r>
            <w:r>
              <w:rPr>
                <w:rFonts w:ascii="游明朝" w:cs="游明朝" w:eastAsia="游明朝" w:hAnsi="游明朝"/>
                <w:b/>
                <w:bCs/>
                <w:i w:val="false"/>
                <w:iCs w:val="false"/>
                <w:sz w:val="18"/>
                <w:szCs w:val="18"/>
              </w:rPr>
              <w:t xml:space="preserve">+40%の加算金</w:t>
            </w:r>
            <w:r>
              <w:rPr>
                <w:rFonts w:ascii="游明朝" w:cs="游明朝" w:eastAsia="游明朝" w:hAnsi="游明朝"/>
                <w:b w:val="false"/>
                <w:bCs w:val="false"/>
                <w:i w:val="false"/>
                <w:iCs w:val="false"/>
                <w:sz w:val="18"/>
                <w:szCs w:val="18"/>
              </w:rPr>
              <w:t xml:space="preserve">(介護保険法22条3項/健康保険法58条3項、いずれもe-Gov原文確認済み) [7]</w:t>
            </w:r>
          </w:p>
        </w:tc>
      </w:tr>
      <w:tr>
        <w:tc>
          <w:tcPr>
            <w:tcW w:type="dxa" w:w="3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指定取消</w:t>
            </w:r>
          </w:p>
        </w:tc>
        <w:tc>
          <w:tcPr>
            <w:tcW w:type="dxa" w:w="5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不正請求は取消事由の明文(介護保険法77条1項6号/健保法95条3号)。</w:t>
            </w:r>
            <w:r>
              <w:rPr>
                <w:rFonts w:ascii="游明朝" w:cs="游明朝" w:eastAsia="游明朝" w:hAnsi="游明朝"/>
                <w:b/>
                <w:bCs/>
                <w:i w:val="false"/>
                <w:iCs w:val="false"/>
                <w:sz w:val="18"/>
                <w:szCs w:val="18"/>
              </w:rPr>
              <w:t xml:space="preserve">令和5年度の指定取消・効力停止は139件(前年比約1.6倍)、最多理由は不正請求</w:t>
            </w:r>
            <w:r>
              <w:rPr>
                <w:rFonts w:ascii="游明朝" w:cs="游明朝" w:eastAsia="游明朝" w:hAnsi="游明朝"/>
                <w:b w:val="false"/>
                <w:bCs w:val="false"/>
                <w:i w:val="false"/>
                <w:iCs w:val="false"/>
                <w:sz w:val="18"/>
                <w:szCs w:val="18"/>
              </w:rPr>
              <w:t xml:space="preserve">。取消なら</w:t>
            </w:r>
            <w:r>
              <w:rPr>
                <w:rFonts w:ascii="游明朝" w:cs="游明朝" w:eastAsia="游明朝" w:hAnsi="游明朝"/>
                <w:b/>
                <w:bCs/>
                <w:i w:val="false"/>
                <w:iCs w:val="false"/>
                <w:sz w:val="18"/>
                <w:szCs w:val="18"/>
              </w:rPr>
              <w:t xml:space="preserve">指定時に遡って全額返還</w:t>
            </w:r>
            <w:r>
              <w:rPr>
                <w:rFonts w:ascii="游明朝" w:cs="游明朝" w:eastAsia="游明朝" w:hAnsi="游明朝"/>
                <w:b w:val="false"/>
                <w:bCs w:val="false"/>
                <w:i w:val="false"/>
                <w:iCs w:val="false"/>
                <w:sz w:val="18"/>
                <w:szCs w:val="18"/>
              </w:rPr>
              <w:t xml:space="preserve">+</w:t>
            </w:r>
            <w:r>
              <w:rPr>
                <w:rFonts w:ascii="游明朝" w:cs="游明朝" w:eastAsia="游明朝" w:hAnsi="游明朝"/>
                <w:b/>
                <w:bCs/>
                <w:i w:val="false"/>
                <w:iCs w:val="false"/>
                <w:sz w:val="18"/>
                <w:szCs w:val="18"/>
              </w:rPr>
              <w:t xml:space="preserve">5年間再指定不可</w:t>
            </w:r>
            <w:r>
              <w:rPr>
                <w:rFonts w:ascii="游明朝" w:cs="游明朝" w:eastAsia="游明朝" w:hAnsi="游明朝"/>
                <w:b w:val="false"/>
                <w:bCs w:val="false"/>
                <w:i w:val="false"/>
                <w:iCs w:val="false"/>
                <w:sz w:val="18"/>
                <w:szCs w:val="18"/>
              </w:rPr>
              <w:t xml:space="preserve">+関連事業所への連座制 [8]</w:t>
            </w:r>
          </w:p>
        </w:tc>
      </w:tr>
      <w:tr>
        <w:tc>
          <w:tcPr>
            <w:tcW w:type="dxa" w:w="32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「知らなかった」は通用しない</w:t>
            </w:r>
          </w:p>
        </w:tc>
        <w:tc>
          <w:tcPr>
            <w:tcW w:type="dxa" w:w="5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厚労省監査マニュアル: 「</w:t>
            </w:r>
            <w:r>
              <w:rPr>
                <w:rFonts w:ascii="游明朝" w:cs="游明朝" w:eastAsia="游明朝" w:hAnsi="游明朝"/>
                <w:b/>
                <w:bCs/>
                <w:i w:val="false"/>
                <w:iCs w:val="false"/>
                <w:sz w:val="18"/>
                <w:szCs w:val="18"/>
              </w:rPr>
              <w:t xml:space="preserve">所要時間に対応する単位数を超えた請求</w:t>
            </w:r>
            <w:r>
              <w:rPr>
                <w:rFonts w:ascii="游明朝" w:cs="游明朝" w:eastAsia="游明朝" w:hAnsi="游明朝"/>
                <w:b w:val="false"/>
                <w:bCs w:val="false"/>
                <w:i w:val="false"/>
                <w:iCs w:val="false"/>
                <w:sz w:val="18"/>
                <w:szCs w:val="18"/>
              </w:rPr>
              <w:t xml:space="preserve">」は不正請求の典型例。</w:t>
            </w:r>
            <w:r>
              <w:rPr>
                <w:rFonts w:ascii="游明朝" w:cs="游明朝" w:eastAsia="游明朝" w:hAnsi="游明朝"/>
                <w:b/>
                <w:bCs/>
                <w:i w:val="false"/>
                <w:iCs w:val="false"/>
                <w:sz w:val="18"/>
                <w:szCs w:val="18"/>
              </w:rPr>
              <w:t xml:space="preserve">重過失でも不正認定されうる</w:t>
            </w:r>
            <w:r>
              <w:rPr>
                <w:rFonts w:ascii="游明朝" w:cs="游明朝" w:eastAsia="游明朝" w:hAnsi="游明朝"/>
                <w:b w:val="false"/>
                <w:bCs w:val="false"/>
                <w:i w:val="false"/>
                <w:iCs w:val="false"/>
                <w:sz w:val="18"/>
                <w:szCs w:val="18"/>
              </w:rPr>
              <w:t xml:space="preserve"> [9]</w:t>
            </w:r>
          </w:p>
        </w:tc>
      </w:tr>
      <w:tr>
        <w:tc>
          <w:tcPr>
            <w:tcW w:type="dxa" w:w="32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悪質と判断された場合</w:t>
            </w:r>
          </w:p>
        </w:tc>
        <w:tc>
          <w:tcPr>
            <w:tcW w:type="dxa" w:w="5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詐欺罪での経営者逮捕例あり(訪問介護・訪問看護分野、2024〜2026年に複数) [10]</w:t>
            </w:r>
          </w:p>
        </w:tc>
      </w:tr>
    </w:tbl>
    <w:p>
      <w:pPr>
        <w:pBdr>
          <w:bottom w:val="single" w:color="AAAAAA" w:sz="6" w:space="1"/>
        </w:pBdr>
        <w:spacing w:after="120" w:before="60"/>
      </w:pPr>
    </w:p>
    <w:p>
      <w:pPr>
        <w:pStyle w:val="Heading1"/>
      </w:pPr>
      <w:r>
        <w:rPr>
          <w:rFonts w:ascii="游ゴシック" w:cs="游ゴシック" w:eastAsia="游ゴシック" w:hAnsi="游ゴシック"/>
          <w:b/>
          <w:bCs/>
          <w:i w:val="false"/>
          <w:iCs w:val="false"/>
          <w:sz w:val="21"/>
          <w:szCs w:val="21"/>
        </w:rPr>
        <w:t xml:space="preserve">4. 提案(まず0円の2つだけ、ご承認ください)</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500"/>
        <w:gridCol w:w="5100"/>
        <w:gridCol w:w="1600"/>
        <w:gridCol w:w="826"/>
      </w:tblGrid>
      <w:tr>
        <w:trPr>
          <w:tblHeader/>
        </w:trPr>
        <w:tc>
          <w:tcPr>
            <w:tcW w:type="dxa" w:w="5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w:t>
            </w:r>
          </w:p>
        </w:tc>
        <w:tc>
          <w:tcPr>
            <w:tcW w:type="dxa" w:w="51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内容</w:t>
            </w:r>
          </w:p>
        </w:tc>
        <w:tc>
          <w:tcPr>
            <w:tcW w:type="dxa" w:w="1600"/>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費用</w:t>
            </w:r>
          </w:p>
        </w:tc>
        <w:tc>
          <w:tcPr>
            <w:tcW w:type="dxa" w:w="826"/>
            <w:tcBorders>
              <w:top w:val="single" w:color="999999" w:sz="4"/>
              <w:left w:val="single" w:color="999999" w:sz="4"/>
              <w:bottom w:val="single" w:color="999999" w:sz="4"/>
              <w:right w:val="single" w:color="999999" w:sz="4"/>
            </w:tcBorders>
            <w:shd w:fill="DCE6F1"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期限</w:t>
            </w:r>
          </w:p>
        </w:tc>
      </w:tr>
      <w:tr>
        <w:tc>
          <w:tcPr>
            <w:tcW w:type="dxa" w:w="5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①</w:t>
            </w:r>
          </w:p>
        </w:tc>
        <w:tc>
          <w:tcPr>
            <w:tcW w:type="dxa" w:w="51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すでに導入している医療介護専用の連絡ツール </w:t>
            </w:r>
            <w:r>
              <w:rPr>
                <w:rFonts w:ascii="游明朝" w:cs="游明朝" w:eastAsia="游明朝" w:hAnsi="游明朝"/>
                <w:b/>
                <w:bCs/>
                <w:i w:val="false"/>
                <w:iCs w:val="false"/>
                <w:sz w:val="18"/>
                <w:szCs w:val="18"/>
              </w:rPr>
              <w:t xml:space="preserve">Medical Care Station(MCS)</w:t>
            </w:r>
            <w:r>
              <w:rPr>
                <w:rFonts w:ascii="游明朝" w:cs="游明朝" w:eastAsia="游明朝" w:hAnsi="游明朝"/>
                <w:b w:val="false"/>
                <w:bCs w:val="false"/>
                <w:i w:val="false"/>
                <w:iCs w:val="false"/>
                <w:sz w:val="18"/>
                <w:szCs w:val="18"/>
              </w:rPr>
              <w:t xml:space="preserve">を適正化(現在1アカウントを全員で共用している状態を、職員1人1アカウントに分割し、共用の個人メールでの登録もやめる)し、</w:t>
            </w:r>
            <w:r>
              <w:rPr>
                <w:rFonts w:ascii="游明朝" w:cs="游明朝" w:eastAsia="游明朝" w:hAnsi="游明朝"/>
                <w:b/>
                <w:bCs/>
                <w:i w:val="false"/>
                <w:iCs w:val="false"/>
                <w:sz w:val="18"/>
                <w:szCs w:val="18"/>
              </w:rPr>
              <w:t xml:space="preserve">個人LINEでの利用者情報のやりとりを停止</w:t>
            </w:r>
            <w:r>
              <w:rPr>
                <w:rFonts w:ascii="游明朝" w:cs="游明朝" w:eastAsia="游明朝" w:hAnsi="游明朝"/>
                <w:b w:val="false"/>
                <w:bCs w:val="false"/>
                <w:i w:val="false"/>
                <w:iCs w:val="false"/>
                <w:sz w:val="18"/>
                <w:szCs w:val="18"/>
              </w:rPr>
              <w:t xml:space="preserve">するルールと秘密保持誓約書を整備(ひな形は無料公開のものを利用)。連携クリニックからもすでに全員分のアカウント作成を依頼されており、方向性は一致している</w:t>
            </w:r>
          </w:p>
        </w:tc>
        <w:tc>
          <w:tcPr>
            <w:tcW w:type="dxa" w:w="16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0円</w:t>
            </w:r>
            <w:r>
              <w:rPr>
                <w:rFonts w:ascii="游明朝" w:cs="游明朝" w:eastAsia="游明朝" w:hAnsi="游明朝"/>
                <w:b w:val="false"/>
                <w:bCs w:val="false"/>
                <w:i w:val="false"/>
                <w:iCs w:val="false"/>
                <w:sz w:val="18"/>
                <w:szCs w:val="18"/>
              </w:rPr>
              <w:t xml:space="preserve">(MCSは医療介護専用・無料プラン、公式確認済み)</w:t>
            </w:r>
          </w:p>
        </w:tc>
        <w:tc>
          <w:tcPr>
            <w:tcW w:type="dxa" w:w="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今月</w:t>
            </w:r>
          </w:p>
        </w:tc>
      </w:tr>
      <w:tr>
        <w:tc>
          <w:tcPr>
            <w:tcW w:type="dxa" w:w="5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②</w:t>
            </w:r>
          </w:p>
        </w:tc>
        <w:tc>
          <w:tcPr>
            <w:tcW w:type="dxa" w:w="51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利用者ごとの保険種別・時間区分の</w:t>
            </w:r>
            <w:r>
              <w:rPr>
                <w:rFonts w:ascii="游明朝" w:cs="游明朝" w:eastAsia="游明朝" w:hAnsi="游明朝"/>
                <w:b/>
                <w:bCs/>
                <w:i w:val="false"/>
                <w:iCs w:val="false"/>
                <w:sz w:val="18"/>
                <w:szCs w:val="18"/>
              </w:rPr>
              <w:t xml:space="preserve">自主点検</w:t>
            </w:r>
            <w:r>
              <w:rPr>
                <w:rFonts w:ascii="游明朝" w:cs="游明朝" w:eastAsia="游明朝" w:hAnsi="游明朝"/>
                <w:b w:val="false"/>
                <w:bCs w:val="false"/>
                <w:i w:val="false"/>
                <w:iCs w:val="false"/>
                <w:sz w:val="18"/>
                <w:szCs w:val="18"/>
              </w:rPr>
              <w:t xml:space="preserve">(点検用の早見表は作成済み)。万一の過誤があれば</w:t>
            </w:r>
            <w:r>
              <w:rPr>
                <w:rFonts w:ascii="游明朝" w:cs="游明朝" w:eastAsia="游明朝" w:hAnsi="游明朝"/>
                <w:b/>
                <w:bCs/>
                <w:i w:val="false"/>
                <w:iCs w:val="false"/>
                <w:sz w:val="18"/>
                <w:szCs w:val="18"/>
              </w:rPr>
              <w:t xml:space="preserve">過誤調整(自主返還)</w:t>
            </w:r>
            <w:r>
              <w:rPr>
                <w:rFonts w:ascii="游明朝" w:cs="游明朝" w:eastAsia="游明朝" w:hAnsi="游明朝"/>
                <w:b w:val="false"/>
                <w:bCs w:val="false"/>
                <w:i w:val="false"/>
                <w:iCs w:val="false"/>
                <w:sz w:val="18"/>
                <w:szCs w:val="18"/>
              </w:rPr>
              <w:t xml:space="preserve">で正規に処理 — 自主対応なら</w:t>
            </w:r>
            <w:r>
              <w:rPr>
                <w:rFonts w:ascii="游明朝" w:cs="游明朝" w:eastAsia="游明朝" w:hAnsi="游明朝"/>
                <w:b/>
                <w:bCs/>
                <w:i w:val="false"/>
                <w:iCs w:val="false"/>
                <w:sz w:val="18"/>
                <w:szCs w:val="18"/>
              </w:rPr>
              <w:t xml:space="preserve">40%加算金も処分も公表もない</w:t>
            </w:r>
            <w:r>
              <w:rPr>
                <w:rFonts w:ascii="游明朝" w:cs="游明朝" w:eastAsia="游明朝" w:hAnsi="游明朝"/>
                <w:b w:val="false"/>
                <w:bCs w:val="false"/>
                <w:i w:val="false"/>
                <w:iCs w:val="false"/>
                <w:sz w:val="18"/>
                <w:szCs w:val="18"/>
              </w:rPr>
              <w:t xml:space="preserve">正規ルートです。監査で発覚した場合との差額は歴然です</w:t>
            </w:r>
          </w:p>
        </w:tc>
        <w:tc>
          <w:tcPr>
            <w:tcW w:type="dxa" w:w="1600"/>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bCs/>
                <w:i w:val="false"/>
                <w:iCs w:val="false"/>
                <w:sz w:val="18"/>
                <w:szCs w:val="18"/>
              </w:rPr>
              <w:t xml:space="preserve">0円</w:t>
            </w:r>
            <w:r>
              <w:rPr>
                <w:rFonts w:ascii="游明朝" w:cs="游明朝" w:eastAsia="游明朝" w:hAnsi="游明朝"/>
                <w:b w:val="false"/>
                <w:bCs w:val="false"/>
                <w:i w:val="false"/>
                <w:iCs w:val="false"/>
                <w:sz w:val="18"/>
                <w:szCs w:val="18"/>
              </w:rPr>
              <w:t xml:space="preserve">(職員の点検作業のみ)</w:t>
            </w:r>
          </w:p>
        </w:tc>
        <w:tc>
          <w:tcPr>
            <w:tcW w:type="dxa" w:w="826"/>
            <w:tcBorders>
              <w:top w:val="single" w:color="999999" w:sz="4"/>
              <w:left w:val="single" w:color="999999" w:sz="4"/>
              <w:bottom w:val="single" w:color="999999" w:sz="4"/>
              <w:right w:val="single" w:color="999999" w:sz="4"/>
            </w:tcBorders>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今月開始</w:t>
            </w:r>
          </w:p>
        </w:tc>
      </w:tr>
      <w:tr>
        <w:tc>
          <w:tcPr>
            <w:tcW w:type="dxa" w:w="5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③</w:t>
            </w:r>
          </w:p>
        </w:tc>
        <w:tc>
          <w:tcPr>
            <w:tcW w:type="dxa" w:w="51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(将来検討)LINE WORKS(7名で月約3,150円)や訪問看護電子カルテ(月約3.3万円、スケジュール・オンコール・請求の一元管理で</w:t>
            </w:r>
            <w:r>
              <w:rPr>
                <w:rFonts w:ascii="游明朝" w:cs="游明朝" w:eastAsia="游明朝" w:hAnsi="游明朝"/>
                <w:b/>
                <w:bCs/>
                <w:i w:val="false"/>
                <w:iCs w:val="false"/>
                <w:sz w:val="18"/>
                <w:szCs w:val="18"/>
              </w:rPr>
              <w:t xml:space="preserve">管理者の負担と請求ミスを同時に削減</w:t>
            </w:r>
            <w:r>
              <w:rPr>
                <w:rFonts w:ascii="游明朝" w:cs="游明朝" w:eastAsia="游明朝" w:hAnsi="游明朝"/>
                <w:b w:val="false"/>
                <w:bCs w:val="false"/>
                <w:i w:val="false"/>
                <w:iCs w:val="false"/>
                <w:sz w:val="18"/>
                <w:szCs w:val="18"/>
              </w:rPr>
              <w:t xml:space="preserve">)の比較検討</w:t>
            </w:r>
          </w:p>
        </w:tc>
        <w:tc>
          <w:tcPr>
            <w:tcW w:type="dxa" w:w="1600"/>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検討のみ0円</w:t>
            </w:r>
          </w:p>
        </w:tc>
        <w:tc>
          <w:tcPr>
            <w:tcW w:type="dxa" w:w="826"/>
            <w:tcBorders>
              <w:top w:val="single" w:color="999999" w:sz="4"/>
              <w:left w:val="single" w:color="999999" w:sz="4"/>
              <w:bottom w:val="single" w:color="999999" w:sz="4"/>
              <w:right w:val="single" w:color="999999" w:sz="4"/>
            </w:tcBorders>
            <w:shd w:fill="F2F2F2" w:val="clear"/>
            <w:tcMar>
              <w:top w:type="dxa" w:w="40"/>
              <w:left w:type="dxa" w:w="90"/>
              <w:bottom w:type="dxa" w:w="40"/>
              <w:right w:type="dxa" w:w="90"/>
            </w:tcMar>
            <w:vAlign w:val="center"/>
          </w:tcPr>
          <w:p>
            <w:pPr>
              <w:spacing w:after="0" w:line="230"/>
            </w:pPr>
            <w:r>
              <w:rPr>
                <w:rFonts w:ascii="游明朝" w:cs="游明朝" w:eastAsia="游明朝" w:hAnsi="游明朝"/>
                <w:b w:val="false"/>
                <w:bCs w:val="false"/>
                <w:i w:val="false"/>
                <w:iCs w:val="false"/>
                <w:sz w:val="18"/>
                <w:szCs w:val="18"/>
              </w:rPr>
              <w:t xml:space="preserve">3ヶ月以内</w:t>
            </w:r>
          </w:p>
        </w:tc>
      </w:tr>
    </w:tbl>
    <w:p>
      <w:pPr>
        <w:pStyle w:val="Heading2"/>
      </w:pPr>
      <w:r>
        <w:rPr>
          <w:rFonts w:ascii="游ゴシック" w:cs="游ゴシック" w:eastAsia="游ゴシック" w:hAnsi="游ゴシック"/>
          <w:b/>
          <w:bCs/>
          <w:i w:val="false"/>
          <w:iCs w:val="false"/>
          <w:sz w:val="21"/>
          <w:szCs w:val="21"/>
        </w:rPr>
        <w:t xml:space="preserve">費用対効果(1行サマリ)</w:t>
      </w:r>
    </w:p>
    <w:p>
      <w:pPr>
        <w:spacing w:after="100" w:before="0" w:line="240"/>
      </w:pPr>
      <w:r>
        <w:rPr>
          <w:rFonts w:ascii="游明朝" w:cs="游明朝" w:eastAsia="游明朝" w:hAnsi="游明朝"/>
          <w:b/>
          <w:bCs/>
          <w:i w:val="false"/>
          <w:iCs w:val="false"/>
          <w:sz w:val="21"/>
          <w:szCs w:val="21"/>
        </w:rPr>
        <w:t xml:space="preserve">対策費: 月0円〜3.3万円</w:t>
      </w:r>
      <w:r>
        <w:rPr>
          <w:rFonts w:ascii="游明朝" w:cs="游明朝" w:eastAsia="游明朝" w:hAnsi="游明朝"/>
          <w:b w:val="false"/>
          <w:bCs w:val="false"/>
          <w:i w:val="false"/>
          <w:iCs w:val="false"/>
          <w:sz w:val="21"/>
          <w:szCs w:val="21"/>
        </w:rPr>
        <w:t xml:space="preserve"> ⇔ </w:t>
      </w:r>
      <w:r>
        <w:rPr>
          <w:rFonts w:ascii="游明朝" w:cs="游明朝" w:eastAsia="游明朝" w:hAnsi="游明朝"/>
          <w:b/>
          <w:bCs/>
          <w:i w:val="false"/>
          <w:iCs w:val="false"/>
          <w:sz w:val="21"/>
          <w:szCs w:val="21"/>
        </w:rPr>
        <w:t xml:space="preserve">放置時のリスク: 返還+40%加算金/法人罰金上限1億円/賠償1人30万円級/事故対応実費1,000万円超/指定取消(=事業停止)</w:t>
      </w:r>
    </w:p>
    <w:p>
      <w:pPr>
        <w:spacing w:after="100" w:before="0" w:line="240"/>
      </w:pPr>
      <w:r>
        <w:rPr>
          <w:rFonts w:ascii="游明朝" w:cs="游明朝" w:eastAsia="游明朝" w:hAnsi="游明朝"/>
          <w:b w:val="false"/>
          <w:bCs w:val="false"/>
          <w:i w:val="false"/>
          <w:iCs w:val="false"/>
          <w:sz w:val="21"/>
          <w:szCs w:val="21"/>
        </w:rPr>
        <w:t xml:space="preserve">これは経費ではなく、事業継続のための</w:t>
      </w:r>
      <w:r>
        <w:rPr>
          <w:rFonts w:ascii="游明朝" w:cs="游明朝" w:eastAsia="游明朝" w:hAnsi="游明朝"/>
          <w:b/>
          <w:bCs/>
          <w:i w:val="false"/>
          <w:iCs w:val="false"/>
          <w:sz w:val="21"/>
          <w:szCs w:val="21"/>
        </w:rPr>
        <w:t xml:space="preserve">保険</w:t>
      </w:r>
      <w:r>
        <w:rPr>
          <w:rFonts w:ascii="游明朝" w:cs="游明朝" w:eastAsia="游明朝" w:hAnsi="游明朝"/>
          <w:b w:val="false"/>
          <w:bCs w:val="false"/>
          <w:i w:val="false"/>
          <w:iCs w:val="false"/>
          <w:sz w:val="21"/>
          <w:szCs w:val="21"/>
        </w:rPr>
        <w:t xml:space="preserve">です。①②は事務局長のご判断ひとつで、今月から費用ゼロで始められます。</w:t>
      </w:r>
    </w:p>
    <w:p>
      <w:r>
        <w:br w:type="page"/>
      </w:r>
    </w:p>
    <w:p>
      <w:pPr>
        <w:pStyle w:val="Heading1"/>
      </w:pPr>
      <w:r>
        <w:rPr>
          <w:rFonts w:ascii="游ゴシック" w:cs="游ゴシック" w:eastAsia="游ゴシック" w:hAnsi="游ゴシック"/>
          <w:b/>
          <w:bCs/>
          <w:i w:val="false"/>
          <w:iCs w:val="false"/>
          <w:sz w:val="21"/>
          <w:szCs w:val="21"/>
        </w:rPr>
        <w:t xml:space="preserve">付録: 想定問答</w:t>
      </w:r>
    </w:p>
    <w:p>
      <w:pPr>
        <w:spacing w:after="50" w:before="100"/>
      </w:pPr>
      <w:r>
        <w:rPr>
          <w:rFonts w:ascii="游ゴシック" w:cs="游ゴシック" w:eastAsia="游ゴシック" w:hAnsi="游ゴシック"/>
          <w:b/>
          <w:bCs/>
          <w:i w:val="false"/>
          <w:iCs w:val="false"/>
          <w:sz w:val="21"/>
          <w:szCs w:val="21"/>
        </w:rPr>
        <w:t xml:space="preserve">Q1. お金は?</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①②は0円です。MCSは医療介護専用に設計された無料プランで運用でき(公式サイト確認済み)、誓約書・規程はひな形が無料公開されています。</w:t>
      </w:r>
    </w:p>
    <w:p>
      <w:pPr>
        <w:spacing w:after="50" w:before="100"/>
      </w:pPr>
      <w:r>
        <w:rPr>
          <w:rFonts w:ascii="游ゴシック" w:cs="游ゴシック" w:eastAsia="游ゴシック" w:hAnsi="游ゴシック"/>
          <w:b/>
          <w:bCs/>
          <w:i w:val="false"/>
          <w:iCs w:val="false"/>
          <w:sz w:val="21"/>
          <w:szCs w:val="21"/>
        </w:rPr>
        <w:t xml:space="preserve">Q2. 今まで問題は起きていない。</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2022年に報告が義務化されてから、報告件数は年19,056件(+57%)まで増えています。福岡の事例では、職員の「仲間内だけの限定公開」投稿から</w:t>
      </w:r>
      <w:r>
        <w:rPr>
          <w:rFonts w:ascii="游明朝" w:cs="游明朝" w:eastAsia="游明朝" w:hAnsi="游明朝"/>
          <w:b/>
          <w:bCs/>
          <w:i w:val="false"/>
          <w:iCs w:val="false"/>
          <w:sz w:val="21"/>
          <w:szCs w:val="21"/>
        </w:rPr>
        <w:t xml:space="preserve">2週間で院長謝罪・全国報道</w:t>
      </w:r>
      <w:r>
        <w:rPr>
          <w:rFonts w:ascii="游明朝" w:cs="游明朝" w:eastAsia="游明朝" w:hAnsi="游明朝"/>
          <w:b w:val="false"/>
          <w:bCs w:val="false"/>
          <w:i w:val="false"/>
          <w:iCs w:val="false"/>
          <w:sz w:val="21"/>
          <w:szCs w:val="21"/>
        </w:rPr>
        <w:t xml:space="preserve">に至りました。発覚は「運」ではなく「構造」になっています。むしろ</w:t>
      </w:r>
      <w:r>
        <w:rPr>
          <w:rFonts w:ascii="游明朝" w:cs="游明朝" w:eastAsia="游明朝" w:hAnsi="游明朝"/>
          <w:b/>
          <w:bCs/>
          <w:i w:val="false"/>
          <w:iCs w:val="false"/>
          <w:sz w:val="21"/>
          <w:szCs w:val="21"/>
        </w:rPr>
        <w:t xml:space="preserve">今まで表面化しなかった今が、コストゼロで直せる最後の時期</w:t>
      </w:r>
      <w:r>
        <w:rPr>
          <w:rFonts w:ascii="游明朝" w:cs="游明朝" w:eastAsia="游明朝" w:hAnsi="游明朝"/>
          <w:b w:val="false"/>
          <w:bCs w:val="false"/>
          <w:i w:val="false"/>
          <w:iCs w:val="false"/>
          <w:sz w:val="21"/>
          <w:szCs w:val="21"/>
        </w:rPr>
        <w:t xml:space="preserve">です。</w:t>
      </w:r>
    </w:p>
    <w:p>
      <w:pPr>
        <w:spacing w:after="50" w:before="100"/>
      </w:pPr>
      <w:r>
        <w:rPr>
          <w:rFonts w:ascii="游ゴシック" w:cs="游ゴシック" w:eastAsia="游ゴシック" w:hAnsi="游ゴシック"/>
          <w:b/>
          <w:bCs/>
          <w:i w:val="false"/>
          <w:iCs w:val="false"/>
          <w:sz w:val="21"/>
          <w:szCs w:val="21"/>
        </w:rPr>
        <w:t xml:space="preserve">Q3. LINEで足りている。わざわざ変える必要があるのか。</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個人LINEは事業所がログを確認することも、退職者の端末から情報を消すこともできません。厚労省ガイドライン第7.0版(2026年6月)は「管理されていない端末でのBYODは許可してはならない」と明記しており、個人スマホ+個人LINEの現状はこの基準を満たせません。MCSは操作感がLINEに近く、無料です。</w:t>
      </w:r>
    </w:p>
    <w:p>
      <w:pPr>
        <w:spacing w:after="50" w:before="100"/>
      </w:pPr>
      <w:r>
        <w:rPr>
          <w:rFonts w:ascii="游ゴシック" w:cs="游ゴシック" w:eastAsia="游ゴシック" w:hAnsi="游ゴシック"/>
          <w:b/>
          <w:bCs/>
          <w:i w:val="false"/>
          <w:iCs w:val="false"/>
          <w:sz w:val="21"/>
          <w:szCs w:val="21"/>
        </w:rPr>
        <w:t xml:space="preserve">Q4. 訪問時間が多少ずれても、請求は変わらないのでは。</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介護保険の所要時間は「現に要した時間ではなく、訪問看護計画書に位置付けられた内容の指定訪問看護を行うのに要する標準的な時間」で算定するため、</w:t>
      </w:r>
      <w:r>
        <w:rPr>
          <w:rFonts w:ascii="游明朝" w:cs="游明朝" w:eastAsia="游明朝" w:hAnsi="游明朝"/>
          <w:b/>
          <w:bCs/>
          <w:i w:val="false"/>
          <w:iCs w:val="false"/>
          <w:sz w:val="21"/>
          <w:szCs w:val="21"/>
        </w:rPr>
        <w:t xml:space="preserve">軽微なずれが直ちに不正になるわけではありません</w:t>
      </w:r>
      <w:r>
        <w:rPr>
          <w:rFonts w:ascii="游明朝" w:cs="游明朝" w:eastAsia="游明朝" w:hAnsi="游明朝"/>
          <w:b w:val="false"/>
          <w:bCs w:val="false"/>
          <w:i w:val="false"/>
          <w:iCs w:val="false"/>
          <w:sz w:val="21"/>
          <w:szCs w:val="21"/>
        </w:rPr>
        <w:t xml:space="preserve">。ただし、この文言はそのまま行政の指導検査の点検項目になっています(東京都福祉局「指定訪問看護事業 指導検査基準」令和7年4月適用 [13])。計画と実態の乖離を放置したままの請求や、記録上の時間の虚偽は、厚労省が不正請求の典型例として明示しており、</w:t>
      </w:r>
      <w:r>
        <w:rPr>
          <w:rFonts w:ascii="游明朝" w:cs="游明朝" w:eastAsia="游明朝" w:hAnsi="游明朝"/>
          <w:b/>
          <w:bCs/>
          <w:i w:val="false"/>
          <w:iCs w:val="false"/>
          <w:sz w:val="21"/>
          <w:szCs w:val="21"/>
        </w:rPr>
        <w:t xml:space="preserve">重過失でも不正認定</w:t>
      </w:r>
      <w:r>
        <w:rPr>
          <w:rFonts w:ascii="游明朝" w:cs="游明朝" w:eastAsia="游明朝" w:hAnsi="游明朝"/>
          <w:b w:val="false"/>
          <w:bCs w:val="false"/>
          <w:i w:val="false"/>
          <w:iCs w:val="false"/>
          <w:sz w:val="21"/>
          <w:szCs w:val="21"/>
        </w:rPr>
        <w:t xml:space="preserve">されえます。だからこそ「自主点検」が最も安い保険です。自主点検→過誤調整なら加算金なし。監査で発覚すれば</w:t>
      </w:r>
      <w:r>
        <w:rPr>
          <w:rFonts w:ascii="游明朝" w:cs="游明朝" w:eastAsia="游明朝" w:hAnsi="游明朝"/>
          <w:b/>
          <w:bCs/>
          <w:i w:val="false"/>
          <w:iCs w:val="false"/>
          <w:sz w:val="21"/>
          <w:szCs w:val="21"/>
        </w:rPr>
        <w:t xml:space="preserve">+40%と処分・公表</w:t>
      </w:r>
      <w:r>
        <w:rPr>
          <w:rFonts w:ascii="游明朝" w:cs="游明朝" w:eastAsia="游明朝" w:hAnsi="游明朝"/>
          <w:b w:val="false"/>
          <w:bCs w:val="false"/>
          <w:i w:val="false"/>
          <w:iCs w:val="false"/>
          <w:sz w:val="21"/>
          <w:szCs w:val="21"/>
        </w:rPr>
        <w:t xml:space="preserve">です。</w:t>
      </w:r>
    </w:p>
    <w:p>
      <w:pPr>
        <w:spacing w:after="50" w:before="100"/>
      </w:pPr>
      <w:r>
        <w:rPr>
          <w:rFonts w:ascii="游ゴシック" w:cs="游ゴシック" w:eastAsia="游ゴシック" w:hAnsi="游ゴシック"/>
          <w:b/>
          <w:bCs/>
          <w:i w:val="false"/>
          <w:iCs w:val="false"/>
          <w:sz w:val="21"/>
          <w:szCs w:val="21"/>
        </w:rPr>
        <w:t xml:space="preserve">Q5. 職員が勝手にやったことは、職員の責任では。</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法律は事業者に安全管理措置義務(個情法23条)と</w:t>
      </w:r>
      <w:r>
        <w:rPr>
          <w:rFonts w:ascii="游明朝" w:cs="游明朝" w:eastAsia="游明朝" w:hAnsi="游明朝"/>
          <w:b/>
          <w:bCs/>
          <w:i w:val="false"/>
          <w:iCs w:val="false"/>
          <w:sz w:val="21"/>
          <w:szCs w:val="21"/>
        </w:rPr>
        <w:t xml:space="preserve">従業者の監督義務</w:t>
      </w:r>
      <w:r>
        <w:rPr>
          <w:rFonts w:ascii="游明朝" w:cs="游明朝" w:eastAsia="游明朝" w:hAnsi="游明朝"/>
          <w:b w:val="false"/>
          <w:bCs w:val="false"/>
          <w:i w:val="false"/>
          <w:iCs w:val="false"/>
          <w:sz w:val="21"/>
          <w:szCs w:val="21"/>
        </w:rPr>
        <w:t xml:space="preserve">(24条)を課し、両罰規定(184条)で法人にも罰金(上限1億円)を科します。判例でも、看護師個人の口外について</w:t>
      </w:r>
      <w:r>
        <w:rPr>
          <w:rFonts w:ascii="游明朝" w:cs="游明朝" w:eastAsia="游明朝" w:hAnsi="游明朝"/>
          <w:b/>
          <w:bCs/>
          <w:i w:val="false"/>
          <w:iCs w:val="false"/>
          <w:sz w:val="21"/>
          <w:szCs w:val="21"/>
        </w:rPr>
        <w:t xml:space="preserve">病院の使用者責任</w:t>
      </w:r>
      <w:r>
        <w:rPr>
          <w:rFonts w:ascii="游明朝" w:cs="游明朝" w:eastAsia="游明朝" w:hAnsi="游明朝"/>
          <w:b w:val="false"/>
          <w:bCs w:val="false"/>
          <w:i w:val="false"/>
          <w:iCs w:val="false"/>
          <w:sz w:val="21"/>
          <w:szCs w:val="21"/>
        </w:rPr>
        <w:t xml:space="preserve">で110万円の賠償が命じられています。さらに健保法95条5号は</w:t>
      </w:r>
      <w:r>
        <w:rPr>
          <w:rFonts w:ascii="游明朝" w:cs="游明朝" w:eastAsia="游明朝" w:hAnsi="游明朝"/>
          <w:b/>
          <w:bCs/>
          <w:i w:val="false"/>
          <w:iCs w:val="false"/>
          <w:sz w:val="21"/>
          <w:szCs w:val="21"/>
        </w:rPr>
        <w:t xml:space="preserve">従業者の虚偽答弁・検査妨害</w:t>
      </w:r>
      <w:r>
        <w:rPr>
          <w:rFonts w:ascii="游明朝" w:cs="游明朝" w:eastAsia="游明朝" w:hAnsi="游明朝"/>
          <w:b w:val="false"/>
          <w:bCs w:val="false"/>
          <w:i w:val="false"/>
          <w:iCs w:val="false"/>
          <w:sz w:val="21"/>
          <w:szCs w:val="21"/>
        </w:rPr>
        <w:t xml:space="preserve">まで指定取消事由としています。「職員個人の問題」として切り離せない構造です。</w:t>
      </w:r>
    </w:p>
    <w:p>
      <w:pPr>
        <w:spacing w:after="50" w:before="100"/>
      </w:pPr>
      <w:r>
        <w:rPr>
          <w:rFonts w:ascii="游ゴシック" w:cs="游ゴシック" w:eastAsia="游ゴシック" w:hAnsi="游ゴシック"/>
          <w:b/>
          <w:bCs/>
          <w:i w:val="false"/>
          <w:iCs w:val="false"/>
          <w:sz w:val="21"/>
          <w:szCs w:val="21"/>
        </w:rPr>
        <w:t xml:space="preserve">Q6. 個情委の指導や勧告の段階で改善すれば、罰金などは発生しないのか。</w:t>
      </w:r>
    </w:p>
    <w:p>
      <w:pPr>
        <w:pBdr>
          <w:left w:val="single" w:color="8DB4E2" w:sz="12" w:space="8"/>
        </w:pBdr>
        <w:shd w:fill="F5F8FC" w:val="clear"/>
        <w:spacing w:after="100" w:before="60" w:line="260"/>
        <w:ind w:left="400"/>
      </w:pPr>
      <w:r>
        <w:rPr>
          <w:rFonts w:ascii="游明朝" w:cs="游明朝" w:eastAsia="游明朝" w:hAnsi="游明朝"/>
          <w:b w:val="false"/>
          <w:bCs w:val="false"/>
          <w:i w:val="false"/>
          <w:iCs w:val="false"/>
          <w:sz w:val="21"/>
          <w:szCs w:val="21"/>
        </w:rPr>
        <w:t xml:space="preserve">個人情報保護法178条が処罰しているのは「委員会の命令への違反」であり、情報の取扱いそのものではありません(e-Gov原文確認済み)。指導・勧告の段階、あるいは命令が出た後でもそれに従って是正すれば、「命令違反」には該当せず、刑事罰(178・184条)の対象にはならないと解されます。ただし報告・本人通知義務(26条)自体は是正の有無にかかわらず発生し、民事賠償や信用毀損のリスクは別途残ります。</w:t>
      </w:r>
      <w:r>
        <w:rPr>
          <w:rFonts w:ascii="游明朝" w:cs="游明朝" w:eastAsia="游明朝" w:hAnsi="游明朝"/>
          <w:b/>
          <w:bCs/>
          <w:i w:val="false"/>
          <w:iCs w:val="false"/>
          <w:sz w:val="21"/>
          <w:szCs w:val="21"/>
        </w:rPr>
        <w:t xml:space="preserve">「指導止まりなら安心」ではなく「今動けば最も軽い段階で収められる」というのが正確な理解です。</w:t>
      </w:r>
    </w:p>
    <w:p>
      <w:pPr>
        <w:pBdr>
          <w:bottom w:val="single" w:color="AAAAAA" w:sz="6" w:space="1"/>
        </w:pBdr>
        <w:spacing w:after="120" w:before="60"/>
      </w:pPr>
    </w:p>
    <w:p>
      <w:pPr>
        <w:pStyle w:val="Heading1"/>
      </w:pPr>
      <w:r>
        <w:rPr>
          <w:rFonts w:ascii="游ゴシック" w:cs="游ゴシック" w:eastAsia="游ゴシック" w:hAnsi="游ゴシック"/>
          <w:b/>
          <w:bCs/>
          <w:i w:val="false"/>
          <w:iCs w:val="false"/>
          <w:sz w:val="21"/>
          <w:szCs w:val="21"/>
        </w:rPr>
        <w:t xml:space="preserve">出典</w:t>
      </w:r>
    </w:p>
    <w:p>
      <w:pPr>
        <w:spacing w:after="60" w:line="260"/>
      </w:pPr>
      <w:r>
        <w:rPr>
          <w:rFonts w:ascii="游明朝" w:cs="游明朝" w:eastAsia="游明朝" w:hAnsi="游明朝"/>
          <w:b w:val="false"/>
          <w:bCs w:val="false"/>
          <w:i w:val="false"/>
          <w:iCs w:val="false"/>
          <w:sz w:val="18"/>
          <w:szCs w:val="18"/>
        </w:rPr>
        <w:t xml:space="preserve">[1] 個人情報保護法26条・施行規則7条1号(e-Gov): https://laws.e-gov.go.jp/law/415AC0000000057 / https://laws.e-gov.go.jp/law/428M60020000003</w:t>
      </w:r>
    </w:p>
    <w:p>
      <w:pPr>
        <w:spacing w:after="60" w:line="260"/>
      </w:pPr>
      <w:r>
        <w:rPr>
          <w:rFonts w:ascii="游明朝" w:cs="游明朝" w:eastAsia="游明朝" w:hAnsi="游明朝"/>
          <w:b w:val="false"/>
          <w:bCs w:val="false"/>
          <w:i w:val="false"/>
          <w:iCs w:val="false"/>
          <w:sz w:val="18"/>
          <w:szCs w:val="18"/>
        </w:rPr>
        <w:t xml:space="preserve">[2] 同法178条・184条(e-Gov法令API原文確認2026-07-05): https://laws.e-gov.go.jp/api/1/articles;lawNum=平成十五年法律第五十七号;article=第百八十四条</w:t>
      </w:r>
    </w:p>
    <w:p>
      <w:pPr>
        <w:spacing w:after="60" w:line="260"/>
      </w:pPr>
      <w:r>
        <w:rPr>
          <w:rFonts w:ascii="游明朝" w:cs="游明朝" w:eastAsia="游明朝" w:hAnsi="游明朝"/>
          <w:b w:val="false"/>
          <w:bCs w:val="false"/>
          <w:i w:val="false"/>
          <w:iCs w:val="false"/>
          <w:sz w:val="18"/>
          <w:szCs w:val="18"/>
        </w:rPr>
        <w:t xml:space="preserve">[3] 東京地判平成25年3月28日(臨床写真・1人30万円)/福岡高判平成24年1月17日(110万円)の解説: https://fukuzaki-law.jp/iryouhoumu/149/ ・ https://fukuzaki-law.jp/iryouhoumu/65/</w:t>
      </w:r>
    </w:p>
    <w:p>
      <w:pPr>
        <w:spacing w:after="60" w:line="260"/>
      </w:pPr>
      <w:r>
        <w:rPr>
          <w:rFonts w:ascii="游明朝" w:cs="游明朝" w:eastAsia="游明朝" w:hAnsi="游明朝"/>
          <w:b w:val="false"/>
          <w:bCs w:val="false"/>
          <w:i w:val="false"/>
          <w:iCs w:val="false"/>
          <w:sz w:val="18"/>
          <w:szCs w:val="18"/>
        </w:rPr>
        <w:t xml:space="preserve">[4] JNSA「インシデント損害額調査レポート」: https://www.jnsa.org/</w:t>
      </w:r>
    </w:p>
    <w:p>
      <w:pPr>
        <w:spacing w:after="60" w:line="260"/>
      </w:pPr>
      <w:r>
        <w:rPr>
          <w:rFonts w:ascii="游明朝" w:cs="游明朝" w:eastAsia="游明朝" w:hAnsi="游明朝"/>
          <w:b w:val="false"/>
          <w:bCs w:val="false"/>
          <w:i w:val="false"/>
          <w:iCs w:val="false"/>
          <w:sz w:val="18"/>
          <w:szCs w:val="18"/>
        </w:rPr>
        <w:t xml:space="preserve">[5] 保健師助産師看護師法42条の2・44条の4(e-Gov原文確認済み)</w:t>
      </w:r>
    </w:p>
    <w:p>
      <w:pPr>
        <w:spacing w:after="60" w:line="260"/>
      </w:pPr>
      <w:r>
        <w:rPr>
          <w:rFonts w:ascii="游明朝" w:cs="游明朝" w:eastAsia="游明朝" w:hAnsi="游明朝"/>
          <w:b w:val="false"/>
          <w:bCs w:val="false"/>
          <w:i w:val="false"/>
          <w:iCs w:val="false"/>
          <w:sz w:val="18"/>
          <w:szCs w:val="18"/>
        </w:rPr>
        <w:t xml:space="preserve">[6] 福岡山王病院公式発表(2026年3月)ほか: https://f-sanno.kouhoukai.or.jp/information/249</w:t>
      </w:r>
    </w:p>
    <w:p>
      <w:pPr>
        <w:spacing w:after="60" w:line="260"/>
      </w:pPr>
      <w:r>
        <w:rPr>
          <w:rFonts w:ascii="游明朝" w:cs="游明朝" w:eastAsia="游明朝" w:hAnsi="游明朝"/>
          <w:b w:val="false"/>
          <w:bCs w:val="false"/>
          <w:i w:val="false"/>
          <w:iCs w:val="false"/>
          <w:sz w:val="18"/>
          <w:szCs w:val="18"/>
        </w:rPr>
        <w:t xml:space="preserve">[7] 介護保険法22条3項/健康保険法58条3項(e-Gov原文確認済み)</w:t>
      </w:r>
    </w:p>
    <w:p>
      <w:pPr>
        <w:spacing w:after="60" w:line="260"/>
      </w:pPr>
      <w:r>
        <w:rPr>
          <w:rFonts w:ascii="游明朝" w:cs="游明朝" w:eastAsia="游明朝" w:hAnsi="游明朝"/>
          <w:b w:val="false"/>
          <w:bCs w:val="false"/>
          <w:i w:val="false"/>
          <w:iCs w:val="false"/>
          <w:sz w:val="18"/>
          <w:szCs w:val="18"/>
        </w:rPr>
        <w:t xml:space="preserve">[8] 介護保険法77条1項6号・70条2項6号/健康保険法95条(e-Gov原文確認済み)、令和5年度処分件数: https://www.joint-kaigo.com/articles/36672/</w:t>
      </w:r>
    </w:p>
    <w:p>
      <w:pPr>
        <w:spacing w:after="60" w:line="260"/>
      </w:pPr>
      <w:r>
        <w:rPr>
          <w:rFonts w:ascii="游明朝" w:cs="游明朝" w:eastAsia="游明朝" w:hAnsi="游明朝"/>
          <w:b w:val="false"/>
          <w:bCs w:val="false"/>
          <w:i w:val="false"/>
          <w:iCs w:val="false"/>
          <w:sz w:val="18"/>
          <w:szCs w:val="18"/>
        </w:rPr>
        <w:t xml:space="preserve">[9] 厚労省「介護保険施設等に対する監査マニュアル」(令和6年4月・老発0405第3号): https://www.ajha.or.jp/topics/admininfo/pdf/2024/240408_2.pdf</w:t>
      </w:r>
    </w:p>
    <w:p>
      <w:pPr>
        <w:spacing w:after="60" w:line="260"/>
      </w:pPr>
      <w:r>
        <w:rPr>
          <w:rFonts w:ascii="游明朝" w:cs="游明朝" w:eastAsia="游明朝" w:hAnsi="游明朝"/>
          <w:b w:val="false"/>
          <w:bCs w:val="false"/>
          <w:i w:val="false"/>
          <w:iCs w:val="false"/>
          <w:sz w:val="18"/>
          <w:szCs w:val="18"/>
        </w:rPr>
        <w:t xml:space="preserve">[10] 大阪の訪問介護・訪問看護事業者の詐欺罪逮捕事例(2024〜2026年報道)ほか — 詳細は別紙「処分と漏えいの実例」参照</w:t>
      </w:r>
    </w:p>
    <w:p>
      <w:pPr>
        <w:spacing w:after="60" w:line="260"/>
      </w:pPr>
      <w:r>
        <w:rPr>
          <w:rFonts w:ascii="游明朝" w:cs="游明朝" w:eastAsia="游明朝" w:hAnsi="游明朝"/>
          <w:b w:val="false"/>
          <w:bCs w:val="false"/>
          <w:i w:val="false"/>
          <w:iCs w:val="false"/>
          <w:sz w:val="18"/>
          <w:szCs w:val="18"/>
        </w:rPr>
        <w:t xml:space="preserve">[11] 厚労省「医療情報システムの安全管理に関するガイドライン第7.0版」(2026年6月29日通知): https://www.mhlw.go.jp/stf/shingi/0000516275_00006.html</w:t>
      </w:r>
    </w:p>
    <w:p>
      <w:pPr>
        <w:spacing w:after="60" w:line="260"/>
      </w:pPr>
      <w:r>
        <w:rPr>
          <w:rFonts w:ascii="游明朝" w:cs="游明朝" w:eastAsia="游明朝" w:hAnsi="游明朝"/>
          <w:b w:val="false"/>
          <w:bCs w:val="false"/>
          <w:i w:val="false"/>
          <w:iCs w:val="false"/>
          <w:sz w:val="18"/>
          <w:szCs w:val="18"/>
        </w:rPr>
        <w:t xml:space="preserve">[12] MCS(Medical Care Station)公式・LINE WORKS公式価格(2026年7月時点) — 詳細は別紙「他ステーションの標準対策」参照</w:t>
      </w:r>
    </w:p>
    <w:p>
      <w:pPr>
        <w:spacing w:after="60" w:line="260"/>
      </w:pPr>
      <w:r>
        <w:rPr>
          <w:rFonts w:ascii="游明朝" w:cs="游明朝" w:eastAsia="游明朝" w:hAnsi="游明朝"/>
          <w:b w:val="false"/>
          <w:bCs w:val="false"/>
          <w:i w:val="false"/>
          <w:iCs w:val="false"/>
          <w:sz w:val="18"/>
          <w:szCs w:val="18"/>
        </w:rPr>
        <w:t xml:space="preserve">[13] 東京都福祉局「指定訪問看護事業 指導検査基準」(令和7年4月1日適用): https://www.fukushi.metro.tokyo.lg.jp/documents/d/fukushi/2025-08-26-102903-250</w:t>
      </w:r>
    </w:p>
    <w:p>
      <w:pPr>
        <w:spacing w:before="160"/>
      </w:pPr>
      <w:r>
        <w:rPr>
          <w:rFonts w:ascii="游明朝" w:cs="游明朝" w:eastAsia="游明朝" w:hAnsi="游明朝"/>
          <w:b w:val="false"/>
          <w:bCs w:val="false"/>
          <w:i/>
          <w:iCs/>
          <w:sz w:val="18"/>
          <w:szCs w:val="18"/>
        </w:rPr>
        <w:t xml:space="preserve">本資料の法令引用はすべて一次ソース(e-Gov法令検索・厚労省・個人情報保護委員会公表資料)で原文確認済みです(2026年7月5日時点)。</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sz w:val="18"/>
        <w:szCs w:val="18"/>
      </w:rPr>
      <w:fldChar w:fldCharType="begin"/>
      <w:instrText xml:space="preserve">PAGE</w:instrText>
      <w:fldChar w:fldCharType="separate"/>
      <w:fldChar w:fldCharType="end"/>
    </w:r>
    <w:r>
      <w:rPr>
        <w:rFonts w:ascii="游明朝" w:cs="游明朝" w:eastAsia="游明朝" w:hAnsi="游明朝"/>
        <w:sz w:val="18"/>
        <w:szCs w:val="18"/>
      </w:rPr>
      <w:t xml:space="preserve"> / </w:t>
    </w:r>
    <w:r>
      <w:rPr>
        <w:rFonts w:ascii="游明朝" w:cs="游明朝" w:eastAsia="游明朝" w:hAnsi="游明朝"/>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40"/>
      <w:outlineLvl w:val="0"/>
    </w:pPr>
    <w:rPr>
      <w:rFonts w:ascii="游ゴシック" w:cs="游ゴシック" w:eastAsia="游ゴシック" w:hAnsi="游ゴシック"/>
      <w:b/>
      <w:bCs/>
      <w:color w:val="1F4E79"/>
      <w:sz w:val="25"/>
      <w:szCs w:val="25"/>
    </w:rPr>
  </w:style>
  <w:style w:type="paragraph" w:styleId="Heading2">
    <w:name w:val="Heading 2"/>
    <w:basedOn w:val="Normal"/>
    <w:next w:val="Normal"/>
    <w:qFormat/>
    <w:pPr>
      <w:spacing w:after="60" w:before="100"/>
      <w:outlineLvl w:val="1"/>
    </w:pPr>
    <w:rPr>
      <w:rFonts w:ascii="游ゴシック" w:cs="游ゴシック" w:eastAsia="游ゴシック" w:hAnsi="游ゴシック"/>
      <w:b/>
      <w:bCs/>
      <w:color w:val="2E5F8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2026-07-05T03:56:46.590Z</dcterms:created>
  <dcterms:modified xsi:type="dcterms:W3CDTF">2026-07-05T03:56:46.591Z</dcterms:modified>
</cp:coreProperties>
</file>

<file path=docProps/custom.xml><?xml version="1.0" encoding="utf-8"?>
<Properties xmlns="http://schemas.openxmlformats.org/officeDocument/2006/custom-properties" xmlns:vt="http://schemas.openxmlformats.org/officeDocument/2006/docPropsVTypes"/>
</file>