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C310A">
      <w:pPr>
        <w:jc w:val="center"/>
      </w:pPr>
      <w:r>
        <w:rPr>
          <w:rFonts w:ascii="Arial" w:hAnsi="Arial" w:eastAsia="黑体"/>
          <w:b/>
          <w:sz w:val="28"/>
        </w:rPr>
        <w:t>匹配算法引擎与数据底座</w:t>
      </w:r>
    </w:p>
    <w:p w14:paraId="0D551429">
      <w:pPr>
        <w:spacing w:after="80" w:line="312" w:lineRule="auto"/>
        <w:rPr>
          <w:rFonts w:hint="eastAsia" w:eastAsia="宋体"/>
          <w:lang w:eastAsia="zh-CN"/>
        </w:rPr>
      </w:pPr>
      <w:r>
        <w:rPr>
          <w:rFonts w:ascii="Times New Roman" w:hAnsi="Times New Roman" w:eastAsia="宋体"/>
          <w:b w:val="0"/>
          <w:sz w:val="22"/>
        </w:rPr>
        <w:t>本稿为《作品设计实现方案》第 4.3 节（算法三：匹配算法组）、第 6.3 节（人岗匹配诊断中心）、第 7.3 节（创新点三：全流程精准匹配导航）与数据底座层</w:t>
      </w:r>
      <w:r>
        <w:rPr>
          <w:rFonts w:hint="eastAsia" w:ascii="Times New Roman" w:hAnsi="Times New Roman" w:eastAsia="宋体"/>
          <w:b w:val="0"/>
          <w:sz w:val="22"/>
          <w:lang w:eastAsia="zh-CN"/>
        </w:rPr>
        <w:t>。</w:t>
      </w:r>
    </w:p>
    <w:p w14:paraId="5D4A4104">
      <w:pPr>
        <w:spacing w:before="200" w:after="120"/>
      </w:pPr>
      <w:r>
        <w:rPr>
          <w:rFonts w:ascii="Arial" w:hAnsi="Arial" w:eastAsia="黑体"/>
          <w:b/>
          <w:sz w:val="32"/>
        </w:rPr>
        <w:t>4.3 算法三：匹配算法组（对应痛点：匹配难）</w:t>
      </w:r>
    </w:p>
    <w:p w14:paraId="22228EE9">
      <w:pPr>
        <w:spacing w:after="80" w:line="312" w:lineRule="auto"/>
        <w:ind w:firstLine="440"/>
      </w:pPr>
      <w:r>
        <w:rPr>
          <w:rFonts w:ascii="Times New Roman" w:hAnsi="Times New Roman" w:eastAsia="宋体"/>
          <w:b w:val="0"/>
          <w:sz w:val="22"/>
        </w:rPr>
        <w:t>本算法组解决“匹配难”的核心痛点，由 5 个子算法构成“解析—画像—评分—补证—导航”的完整人岗匹配流水线。其贯穿始终的设计原则是“证据锁定、确定性评分、主动补证”：大模型仅负责从简历原文中抽取带原文定位的候选事实，而评分、阈值判断、追问排序与学习路径等关键决策全部由可复现、可审计的确定性程序执行，从根本上避免大模型幻觉对匹配结论的污染。</w:t>
      </w:r>
    </w:p>
    <w:p w14:paraId="0EE56F38">
      <w:pPr>
        <w:spacing w:before="120" w:after="120"/>
      </w:pPr>
      <w:r>
        <w:rPr>
          <w:rFonts w:ascii="Arial" w:hAnsi="Arial" w:eastAsia="黑体"/>
          <w:b/>
          <w:sz w:val="28"/>
        </w:rPr>
        <w:t>4.3.1 子算法①：多模态简历解析与证据锁定</w:t>
      </w:r>
    </w:p>
    <w:p w14:paraId="462F484D">
      <w:pPr>
        <w:spacing w:after="80" w:line="312" w:lineRule="auto"/>
        <w:ind w:firstLine="440"/>
      </w:pPr>
      <w:r>
        <w:rPr>
          <w:rFonts w:ascii="Times New Roman" w:hAnsi="Times New Roman" w:eastAsia="宋体"/>
          <w:b w:val="0"/>
          <w:sz w:val="22"/>
        </w:rPr>
        <w:t>输入支持 PDF、Word（.docx/.doc）、图片（JPG/PNG）三种格式：PDF 采用 pdfplumber 提取文本层，Word 采用 python-docx 解析，图片采用 OCR 引擎（讯飞 OCR API）识别，扫描版 PDF 自动检测图片层并切换 OCR 模式。</w:t>
      </w:r>
    </w:p>
    <w:p w14:paraId="3E713319">
      <w:pPr>
        <w:spacing w:after="80" w:line="312" w:lineRule="auto"/>
        <w:ind w:firstLine="440"/>
      </w:pPr>
      <w:r>
        <w:rPr>
          <w:rFonts w:ascii="Times New Roman" w:hAnsi="Times New Roman" w:eastAsia="宋体"/>
          <w:b w:val="0"/>
          <w:sz w:val="22"/>
        </w:rPr>
        <w:t>解析的核心并非“把简历填进表格”，而是证据锁定抽取：大模型（DeepSeek 兼容接口）在结构化 Prompt 引导下抽取姓名、目标岗位、教育经历、工作经历、项目经历与技能等字段，每一项关键事实必须附带 evidence_quote（原文证据片段）。程序随后逐条校验该片段能否在规范化后的简历原文中逐字定位——无法定位、过长、结构不合法或超出数量上限的输出一律拒绝或降级。</w:t>
      </w:r>
    </w:p>
    <w:p w14:paraId="37B381B0">
      <w:pPr>
        <w:spacing w:after="80" w:line="312" w:lineRule="auto"/>
        <w:ind w:firstLine="440"/>
      </w:pPr>
      <w:r>
        <w:rPr>
          <w:rFonts w:ascii="Times New Roman" w:hAnsi="Times New Roman" w:eastAsia="宋体"/>
          <w:b w:val="0"/>
          <w:sz w:val="22"/>
        </w:rPr>
        <w:t>该校验构成防幻觉的第一道闸门：当大模型不可用、超时或返回无效 JSON 时，系统自动回退到规则抽取以保障链路不断，但必须记录 extraction_method（deepseek_evidence_locked 或 rules_fallback），供后续分组评测区分抽取质量。</w:t>
      </w:r>
    </w:p>
    <w:p w14:paraId="61AA7B78">
      <w:pPr>
        <w:spacing w:before="120" w:after="120"/>
      </w:pPr>
      <w:r>
        <w:rPr>
          <w:rFonts w:ascii="Arial" w:hAnsi="Arial" w:eastAsia="黑体"/>
          <w:b/>
          <w:sz w:val="28"/>
        </w:rPr>
        <w:t>4.3.2 子算法②：七类证据状态与四维人才画像</w:t>
      </w:r>
    </w:p>
    <w:p w14:paraId="67C1D605">
      <w:pPr>
        <w:spacing w:after="80" w:line="312" w:lineRule="auto"/>
        <w:ind w:firstLine="440"/>
      </w:pPr>
      <w:r>
        <w:rPr>
          <w:rFonts w:ascii="Times New Roman" w:hAnsi="Times New Roman" w:eastAsia="宋体"/>
          <w:b w:val="0"/>
          <w:sz w:val="22"/>
        </w:rPr>
        <w:t>同一技能名称可能来自强度迥异的材料——“简历自述熟悉 Python”与“项目中有可核查代码”不应等权。为此，系统对每项能力事实标注七类证据状态，并赋予评分上下界（下界为已证实得分，上界为规则允许的可能性）：</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45FFA9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Borders>
              <w:bottom w:val="single" w:color="000000" w:sz="6" w:space="0"/>
            </w:tcBorders>
          </w:tcPr>
          <w:p w14:paraId="21F4F62D">
            <w:pPr>
              <w:jc w:val="center"/>
            </w:pPr>
            <w:r>
              <w:rPr>
                <w:rFonts w:ascii="Times New Roman" w:hAnsi="Times New Roman" w:eastAsia="宋体"/>
                <w:b/>
                <w:sz w:val="21"/>
              </w:rPr>
              <w:t>证据状态</w:t>
            </w:r>
          </w:p>
        </w:tc>
        <w:tc>
          <w:tcPr>
            <w:tcW w:w="2882" w:type="dxa"/>
            <w:tcBorders>
              <w:bottom w:val="single" w:color="000000" w:sz="6" w:space="0"/>
            </w:tcBorders>
          </w:tcPr>
          <w:p w14:paraId="3224D26A">
            <w:pPr>
              <w:jc w:val="center"/>
            </w:pPr>
            <w:r>
              <w:rPr>
                <w:rFonts w:ascii="Times New Roman" w:hAnsi="Times New Roman" w:eastAsia="宋体"/>
                <w:b/>
                <w:sz w:val="21"/>
              </w:rPr>
              <w:t>含义</w:t>
            </w:r>
          </w:p>
        </w:tc>
        <w:tc>
          <w:tcPr>
            <w:tcW w:w="2882" w:type="dxa"/>
            <w:tcBorders>
              <w:bottom w:val="single" w:color="000000" w:sz="6" w:space="0"/>
            </w:tcBorders>
          </w:tcPr>
          <w:p w14:paraId="78A737ED">
            <w:pPr>
              <w:jc w:val="center"/>
            </w:pPr>
            <w:r>
              <w:rPr>
                <w:rFonts w:ascii="Times New Roman" w:hAnsi="Times New Roman" w:eastAsia="宋体"/>
                <w:b/>
                <w:sz w:val="21"/>
              </w:rPr>
              <w:t>评分区间</w:t>
            </w:r>
          </w:p>
        </w:tc>
      </w:tr>
      <w:tr w14:paraId="4FB3D2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722549AE">
            <w:pPr>
              <w:jc w:val="center"/>
            </w:pPr>
            <w:r>
              <w:rPr>
                <w:rFonts w:ascii="Times New Roman" w:hAnsi="Times New Roman" w:eastAsia="宋体"/>
                <w:b w:val="0"/>
                <w:sz w:val="21"/>
              </w:rPr>
              <w:t>未知 unknown</w:t>
            </w:r>
          </w:p>
        </w:tc>
        <w:tc>
          <w:tcPr>
            <w:tcW w:w="2882" w:type="dxa"/>
          </w:tcPr>
          <w:p w14:paraId="5DDB264B">
            <w:pPr>
              <w:jc w:val="center"/>
            </w:pPr>
            <w:r>
              <w:rPr>
                <w:rFonts w:ascii="Times New Roman" w:hAnsi="Times New Roman" w:eastAsia="宋体"/>
                <w:b w:val="0"/>
                <w:sz w:val="21"/>
              </w:rPr>
              <w:t>简历未提及</w:t>
            </w:r>
          </w:p>
        </w:tc>
        <w:tc>
          <w:tcPr>
            <w:tcW w:w="2882" w:type="dxa"/>
          </w:tcPr>
          <w:p w14:paraId="3E76A8BE">
            <w:pPr>
              <w:jc w:val="center"/>
            </w:pPr>
            <w:r>
              <w:rPr>
                <w:rFonts w:ascii="Times New Roman" w:hAnsi="Times New Roman" w:eastAsia="宋体"/>
                <w:b w:val="0"/>
                <w:sz w:val="21"/>
              </w:rPr>
              <w:t>[0.00, 1.00]</w:t>
            </w:r>
          </w:p>
        </w:tc>
      </w:tr>
      <w:tr w14:paraId="3FB3E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1EF35EFA">
            <w:pPr>
              <w:jc w:val="center"/>
            </w:pPr>
            <w:r>
              <w:rPr>
                <w:rFonts w:ascii="Times New Roman" w:hAnsi="Times New Roman" w:eastAsia="宋体"/>
                <w:b w:val="0"/>
                <w:sz w:val="21"/>
              </w:rPr>
              <w:t>自述 self_claim</w:t>
            </w:r>
          </w:p>
        </w:tc>
        <w:tc>
          <w:tcPr>
            <w:tcW w:w="2882" w:type="dxa"/>
          </w:tcPr>
          <w:p w14:paraId="768C4EFA">
            <w:pPr>
              <w:jc w:val="center"/>
            </w:pPr>
            <w:r>
              <w:rPr>
                <w:rFonts w:ascii="Times New Roman" w:hAnsi="Times New Roman" w:eastAsia="宋体"/>
                <w:b w:val="0"/>
                <w:sz w:val="21"/>
              </w:rPr>
              <w:t>仅自我陈述</w:t>
            </w:r>
          </w:p>
        </w:tc>
        <w:tc>
          <w:tcPr>
            <w:tcW w:w="2882" w:type="dxa"/>
          </w:tcPr>
          <w:p w14:paraId="5E68291F">
            <w:pPr>
              <w:jc w:val="center"/>
            </w:pPr>
            <w:r>
              <w:rPr>
                <w:rFonts w:ascii="Times New Roman" w:hAnsi="Times New Roman" w:eastAsia="宋体"/>
                <w:b w:val="0"/>
                <w:sz w:val="21"/>
              </w:rPr>
              <w:t>[0.20, 1.00]</w:t>
            </w:r>
          </w:p>
        </w:tc>
      </w:tr>
      <w:tr w14:paraId="0296B2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39F61ECE">
            <w:pPr>
              <w:jc w:val="center"/>
            </w:pPr>
            <w:r>
              <w:rPr>
                <w:rFonts w:ascii="Times New Roman" w:hAnsi="Times New Roman" w:eastAsia="宋体"/>
                <w:b w:val="0"/>
                <w:sz w:val="21"/>
              </w:rPr>
              <w:t>上下文 contextual</w:t>
            </w:r>
          </w:p>
        </w:tc>
        <w:tc>
          <w:tcPr>
            <w:tcW w:w="2882" w:type="dxa"/>
          </w:tcPr>
          <w:p w14:paraId="3D66B121">
            <w:pPr>
              <w:jc w:val="center"/>
            </w:pPr>
            <w:r>
              <w:rPr>
                <w:rFonts w:ascii="Times New Roman" w:hAnsi="Times New Roman" w:eastAsia="宋体"/>
                <w:b w:val="0"/>
                <w:sz w:val="21"/>
              </w:rPr>
              <w:t>项目/任务中出现</w:t>
            </w:r>
          </w:p>
        </w:tc>
        <w:tc>
          <w:tcPr>
            <w:tcW w:w="2882" w:type="dxa"/>
          </w:tcPr>
          <w:p w14:paraId="02495EA3">
            <w:pPr>
              <w:jc w:val="center"/>
            </w:pPr>
            <w:r>
              <w:rPr>
                <w:rFonts w:ascii="Times New Roman" w:hAnsi="Times New Roman" w:eastAsia="宋体"/>
                <w:b w:val="0"/>
                <w:sz w:val="21"/>
              </w:rPr>
              <w:t>[0.65, 1.00]</w:t>
            </w:r>
          </w:p>
        </w:tc>
      </w:tr>
      <w:tr w14:paraId="1BDD29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4A559F59">
            <w:pPr>
              <w:jc w:val="center"/>
            </w:pPr>
            <w:r>
              <w:rPr>
                <w:rFonts w:ascii="Times New Roman" w:hAnsi="Times New Roman" w:eastAsia="宋体"/>
                <w:b w:val="0"/>
                <w:sz w:val="21"/>
              </w:rPr>
              <w:t>已验证 verified</w:t>
            </w:r>
          </w:p>
        </w:tc>
        <w:tc>
          <w:tcPr>
            <w:tcW w:w="2882" w:type="dxa"/>
          </w:tcPr>
          <w:p w14:paraId="6567ACF3">
            <w:pPr>
              <w:jc w:val="center"/>
            </w:pPr>
            <w:r>
              <w:rPr>
                <w:rFonts w:ascii="Times New Roman" w:hAnsi="Times New Roman" w:eastAsia="宋体"/>
                <w:b w:val="0"/>
                <w:sz w:val="21"/>
              </w:rPr>
              <w:t>有代码/证书等可核查证据</w:t>
            </w:r>
          </w:p>
        </w:tc>
        <w:tc>
          <w:tcPr>
            <w:tcW w:w="2882" w:type="dxa"/>
          </w:tcPr>
          <w:p w14:paraId="0CE184FB">
            <w:pPr>
              <w:jc w:val="center"/>
            </w:pPr>
            <w:r>
              <w:rPr>
                <w:rFonts w:ascii="Times New Roman" w:hAnsi="Times New Roman" w:eastAsia="宋体"/>
                <w:b w:val="0"/>
                <w:sz w:val="21"/>
              </w:rPr>
              <w:t>[1.00, 1.00]</w:t>
            </w:r>
          </w:p>
        </w:tc>
      </w:tr>
      <w:tr w14:paraId="7FDFCD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1449B45A">
            <w:pPr>
              <w:jc w:val="center"/>
            </w:pPr>
            <w:r>
              <w:rPr>
                <w:rFonts w:ascii="Times New Roman" w:hAnsi="Times New Roman" w:eastAsia="宋体"/>
                <w:b w:val="0"/>
                <w:sz w:val="21"/>
              </w:rPr>
              <w:t>可迁移 transferable</w:t>
            </w:r>
          </w:p>
        </w:tc>
        <w:tc>
          <w:tcPr>
            <w:tcW w:w="2882" w:type="dxa"/>
          </w:tcPr>
          <w:p w14:paraId="77121655">
            <w:pPr>
              <w:jc w:val="center"/>
            </w:pPr>
            <w:r>
              <w:rPr>
                <w:rFonts w:ascii="Times New Roman" w:hAnsi="Times New Roman" w:eastAsia="宋体"/>
                <w:b w:val="0"/>
                <w:sz w:val="21"/>
              </w:rPr>
              <w:t>仅能证明相邻能力</w:t>
            </w:r>
          </w:p>
        </w:tc>
        <w:tc>
          <w:tcPr>
            <w:tcW w:w="2882" w:type="dxa"/>
          </w:tcPr>
          <w:p w14:paraId="3471C3F1">
            <w:pPr>
              <w:jc w:val="center"/>
            </w:pPr>
            <w:r>
              <w:rPr>
                <w:rFonts w:ascii="Times New Roman" w:hAnsi="Times New Roman" w:eastAsia="宋体"/>
                <w:b w:val="0"/>
                <w:sz w:val="21"/>
              </w:rPr>
              <w:t>[0.15, 0.65]</w:t>
            </w:r>
          </w:p>
        </w:tc>
      </w:tr>
      <w:tr w14:paraId="28CCD1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6E5D6FE7">
            <w:pPr>
              <w:jc w:val="center"/>
            </w:pPr>
            <w:r>
              <w:rPr>
                <w:rFonts w:ascii="Times New Roman" w:hAnsi="Times New Roman" w:eastAsia="宋体"/>
                <w:b w:val="0"/>
                <w:sz w:val="21"/>
              </w:rPr>
              <w:t>矛盾 contradicted</w:t>
            </w:r>
          </w:p>
        </w:tc>
        <w:tc>
          <w:tcPr>
            <w:tcW w:w="2882" w:type="dxa"/>
          </w:tcPr>
          <w:p w14:paraId="7FE93889">
            <w:pPr>
              <w:jc w:val="center"/>
            </w:pPr>
            <w:r>
              <w:rPr>
                <w:rFonts w:ascii="Times New Roman" w:hAnsi="Times New Roman" w:eastAsia="宋体"/>
                <w:b w:val="0"/>
                <w:sz w:val="21"/>
              </w:rPr>
              <w:t>材料互相矛盾</w:t>
            </w:r>
          </w:p>
        </w:tc>
        <w:tc>
          <w:tcPr>
            <w:tcW w:w="2882" w:type="dxa"/>
          </w:tcPr>
          <w:p w14:paraId="7E8C0E7C">
            <w:pPr>
              <w:jc w:val="center"/>
            </w:pPr>
            <w:r>
              <w:rPr>
                <w:rFonts w:ascii="Times New Roman" w:hAnsi="Times New Roman" w:eastAsia="宋体"/>
                <w:b w:val="0"/>
                <w:sz w:val="21"/>
              </w:rPr>
              <w:t>[0.00, 0.25]</w:t>
            </w:r>
          </w:p>
        </w:tc>
      </w:tr>
      <w:tr w14:paraId="57FBC5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4A8855E1">
            <w:pPr>
              <w:jc w:val="center"/>
            </w:pPr>
            <w:r>
              <w:rPr>
                <w:rFonts w:ascii="Times New Roman" w:hAnsi="Times New Roman" w:eastAsia="宋体"/>
                <w:b w:val="0"/>
                <w:sz w:val="21"/>
              </w:rPr>
              <w:t>已确认缺失 confirmed_missing</w:t>
            </w:r>
          </w:p>
        </w:tc>
        <w:tc>
          <w:tcPr>
            <w:tcW w:w="2882" w:type="dxa"/>
          </w:tcPr>
          <w:p w14:paraId="55F904E4">
            <w:pPr>
              <w:jc w:val="center"/>
            </w:pPr>
            <w:r>
              <w:rPr>
                <w:rFonts w:ascii="Times New Roman" w:hAnsi="Times New Roman" w:eastAsia="宋体"/>
                <w:b w:val="0"/>
                <w:sz w:val="21"/>
              </w:rPr>
              <w:t>明确不具备</w:t>
            </w:r>
          </w:p>
        </w:tc>
        <w:tc>
          <w:tcPr>
            <w:tcW w:w="2882" w:type="dxa"/>
          </w:tcPr>
          <w:p w14:paraId="01321AAD">
            <w:pPr>
              <w:jc w:val="center"/>
            </w:pPr>
            <w:r>
              <w:rPr>
                <w:rFonts w:ascii="Times New Roman" w:hAnsi="Times New Roman" w:eastAsia="宋体"/>
                <w:b w:val="0"/>
                <w:sz w:val="21"/>
              </w:rPr>
              <w:t>[0.00, 0.00]</w:t>
            </w:r>
          </w:p>
        </w:tc>
      </w:tr>
    </w:tbl>
    <w:p w14:paraId="4207728D">
      <w:pPr>
        <w:spacing w:after="40"/>
      </w:pPr>
    </w:p>
    <w:p w14:paraId="02B5F393">
      <w:pPr>
        <w:spacing w:after="80" w:line="312" w:lineRule="auto"/>
        <w:ind w:firstLine="440"/>
      </w:pPr>
      <w:r>
        <w:rPr>
          <w:rFonts w:ascii="Times New Roman" w:hAnsi="Times New Roman" w:eastAsia="宋体"/>
          <w:b w:val="0"/>
          <w:sz w:val="22"/>
        </w:rPr>
        <w:t>证据状态之间的迁移由确定性规则约束（如“已验证”状态必须携带核验证据），大模型只“提议事实”，无权“赋分”。十维评分结果进一步聚合为知识、技能、素养、经验四维画像用于界面展示——四维不重复计算，只做聚合，避免界面复杂化。</w:t>
      </w:r>
    </w:p>
    <w:p w14:paraId="0A12B0ED">
      <w:pPr>
        <w:spacing w:after="80" w:line="312" w:lineRule="auto"/>
        <w:ind w:firstLine="440"/>
      </w:pPr>
      <w:r>
        <w:rPr>
          <w:rFonts w:ascii="Times New Roman" w:hAnsi="Times New Roman" w:eastAsia="宋体"/>
          <w:b w:val="0"/>
          <w:sz w:val="22"/>
        </w:rPr>
        <w:t>每次简历解析、候选人确认或补充回答均生成新的画像版本而非覆盖历史；匹配运行绑定画像版本、岗位规则版本、算法版本与参考日期，并对输入快照计算 SHA-256 哈希，实现“当时为什么得这个分”的可解释与可复评。</w:t>
      </w:r>
    </w:p>
    <w:p w14:paraId="6B4D4302">
      <w:pPr>
        <w:spacing w:before="120" w:after="120"/>
      </w:pPr>
      <w:r>
        <w:rPr>
          <w:rFonts w:ascii="Arial" w:hAnsi="Arial" w:eastAsia="黑体"/>
          <w:b/>
          <w:sz w:val="28"/>
        </w:rPr>
        <w:t>4.3.3 子算法③：确定性十维评分与区间估计</w:t>
      </w:r>
    </w:p>
    <w:p w14:paraId="1F9B53FA">
      <w:pPr>
        <w:spacing w:after="80" w:line="312" w:lineRule="auto"/>
        <w:ind w:firstLine="440"/>
      </w:pPr>
      <w:r>
        <w:rPr>
          <w:rFonts w:ascii="Times New Roman" w:hAnsi="Times New Roman" w:eastAsia="宋体"/>
          <w:b w:val="0"/>
          <w:sz w:val="22"/>
        </w:rPr>
        <w:t>岗位自然语言描述先由业务人员确认，固化为可执行的岗位规则表达式（DSL），明确“必须会什么、哪些技能可替代、需满足几项、年限与时效如何判定”——规则由程序求值，而非大模型临场决定。</w:t>
      </w:r>
    </w:p>
    <w:p w14:paraId="15CE4A69">
      <w:pPr>
        <w:spacing w:after="80" w:line="312" w:lineRule="auto"/>
        <w:ind w:firstLine="440"/>
      </w:pPr>
      <w:r>
        <w:rPr>
          <w:rFonts w:ascii="Times New Roman" w:hAnsi="Times New Roman" w:eastAsia="宋体"/>
          <w:b w:val="0"/>
          <w:sz w:val="22"/>
        </w:rPr>
        <w:t>结构化证据映射到十个评分维度（算法版本 r_daea_pjf_v3），权重之和为 1：</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3"/>
        <w:gridCol w:w="4323"/>
      </w:tblGrid>
      <w:tr w14:paraId="0AB900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Borders>
              <w:bottom w:val="single" w:color="000000" w:sz="6" w:space="0"/>
            </w:tcBorders>
          </w:tcPr>
          <w:p w14:paraId="0DD6C9FF">
            <w:pPr>
              <w:jc w:val="center"/>
            </w:pPr>
            <w:r>
              <w:rPr>
                <w:rFonts w:ascii="Times New Roman" w:hAnsi="Times New Roman" w:eastAsia="宋体"/>
                <w:b/>
                <w:sz w:val="21"/>
              </w:rPr>
              <w:t>维度</w:t>
            </w:r>
          </w:p>
        </w:tc>
        <w:tc>
          <w:tcPr>
            <w:tcW w:w="4323" w:type="dxa"/>
            <w:tcBorders>
              <w:bottom w:val="single" w:color="000000" w:sz="6" w:space="0"/>
            </w:tcBorders>
          </w:tcPr>
          <w:p w14:paraId="699C58F4">
            <w:pPr>
              <w:jc w:val="center"/>
            </w:pPr>
            <w:r>
              <w:rPr>
                <w:rFonts w:ascii="Times New Roman" w:hAnsi="Times New Roman" w:eastAsia="宋体"/>
                <w:b/>
                <w:sz w:val="21"/>
              </w:rPr>
              <w:t>权重</w:t>
            </w:r>
          </w:p>
        </w:tc>
      </w:tr>
      <w:tr w14:paraId="6C78EC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23322583">
            <w:pPr>
              <w:jc w:val="center"/>
            </w:pPr>
            <w:r>
              <w:rPr>
                <w:rFonts w:ascii="Times New Roman" w:hAnsi="Times New Roman" w:eastAsia="宋体"/>
                <w:b w:val="0"/>
                <w:sz w:val="21"/>
              </w:rPr>
              <w:t>必需能力覆盖 required_capability_fit</w:t>
            </w:r>
          </w:p>
        </w:tc>
        <w:tc>
          <w:tcPr>
            <w:tcW w:w="4323" w:type="dxa"/>
          </w:tcPr>
          <w:p w14:paraId="3A2D0537">
            <w:pPr>
              <w:jc w:val="center"/>
            </w:pPr>
            <w:r>
              <w:rPr>
                <w:rFonts w:ascii="Times New Roman" w:hAnsi="Times New Roman" w:eastAsia="宋体"/>
                <w:b w:val="0"/>
                <w:sz w:val="21"/>
              </w:rPr>
              <w:t>0.34</w:t>
            </w:r>
          </w:p>
        </w:tc>
      </w:tr>
      <w:tr w14:paraId="6526C0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79BCD5B0">
            <w:pPr>
              <w:jc w:val="center"/>
            </w:pPr>
            <w:r>
              <w:rPr>
                <w:rFonts w:ascii="Times New Roman" w:hAnsi="Times New Roman" w:eastAsia="宋体"/>
                <w:b w:val="0"/>
                <w:sz w:val="21"/>
              </w:rPr>
              <w:t>技能深度与熟练度 proficiency_fit</w:t>
            </w:r>
          </w:p>
        </w:tc>
        <w:tc>
          <w:tcPr>
            <w:tcW w:w="4323" w:type="dxa"/>
          </w:tcPr>
          <w:p w14:paraId="49B43F44">
            <w:pPr>
              <w:jc w:val="center"/>
            </w:pPr>
            <w:r>
              <w:rPr>
                <w:rFonts w:ascii="Times New Roman" w:hAnsi="Times New Roman" w:eastAsia="宋体"/>
                <w:b w:val="0"/>
                <w:sz w:val="21"/>
              </w:rPr>
              <w:t>0.12</w:t>
            </w:r>
          </w:p>
        </w:tc>
      </w:tr>
      <w:tr w14:paraId="072481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05E8F559">
            <w:pPr>
              <w:jc w:val="center"/>
            </w:pPr>
            <w:r>
              <w:rPr>
                <w:rFonts w:ascii="Times New Roman" w:hAnsi="Times New Roman" w:eastAsia="宋体"/>
                <w:b w:val="0"/>
                <w:sz w:val="21"/>
              </w:rPr>
              <w:t>任务语义匹配 task_semantic_fit</w:t>
            </w:r>
          </w:p>
        </w:tc>
        <w:tc>
          <w:tcPr>
            <w:tcW w:w="4323" w:type="dxa"/>
          </w:tcPr>
          <w:p w14:paraId="3E72B3EA">
            <w:pPr>
              <w:jc w:val="center"/>
            </w:pPr>
            <w:r>
              <w:rPr>
                <w:rFonts w:ascii="Times New Roman" w:hAnsi="Times New Roman" w:eastAsia="宋体"/>
                <w:b w:val="0"/>
                <w:sz w:val="21"/>
              </w:rPr>
              <w:t>0.12</w:t>
            </w:r>
          </w:p>
        </w:tc>
      </w:tr>
      <w:tr w14:paraId="5F3AB6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6C41606F">
            <w:pPr>
              <w:jc w:val="center"/>
            </w:pPr>
            <w:r>
              <w:rPr>
                <w:rFonts w:ascii="Times New Roman" w:hAnsi="Times New Roman" w:eastAsia="宋体"/>
                <w:b w:val="0"/>
                <w:sz w:val="21"/>
              </w:rPr>
              <w:t>加分能力覆盖 bonus_capability_fit</w:t>
            </w:r>
          </w:p>
        </w:tc>
        <w:tc>
          <w:tcPr>
            <w:tcW w:w="4323" w:type="dxa"/>
          </w:tcPr>
          <w:p w14:paraId="2A15C9B6">
            <w:pPr>
              <w:jc w:val="center"/>
            </w:pPr>
            <w:r>
              <w:rPr>
                <w:rFonts w:ascii="Times New Roman" w:hAnsi="Times New Roman" w:eastAsia="宋体"/>
                <w:b w:val="0"/>
                <w:sz w:val="21"/>
              </w:rPr>
              <w:t>0.10</w:t>
            </w:r>
          </w:p>
        </w:tc>
      </w:tr>
      <w:tr w14:paraId="7F6F41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3B17D22D">
            <w:pPr>
              <w:jc w:val="center"/>
            </w:pPr>
            <w:r>
              <w:rPr>
                <w:rFonts w:ascii="Times New Roman" w:hAnsi="Times New Roman" w:eastAsia="宋体"/>
                <w:b w:val="0"/>
                <w:sz w:val="21"/>
              </w:rPr>
              <w:t>项目证据 project_evidence_fit</w:t>
            </w:r>
          </w:p>
        </w:tc>
        <w:tc>
          <w:tcPr>
            <w:tcW w:w="4323" w:type="dxa"/>
          </w:tcPr>
          <w:p w14:paraId="13968AEE">
            <w:pPr>
              <w:jc w:val="center"/>
            </w:pPr>
            <w:r>
              <w:rPr>
                <w:rFonts w:ascii="Times New Roman" w:hAnsi="Times New Roman" w:eastAsia="宋体"/>
                <w:b w:val="0"/>
                <w:sz w:val="21"/>
              </w:rPr>
              <w:t>0.08</w:t>
            </w:r>
          </w:p>
        </w:tc>
      </w:tr>
      <w:tr w14:paraId="6F8E1B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3E727728">
            <w:pPr>
              <w:jc w:val="center"/>
            </w:pPr>
            <w:r>
              <w:rPr>
                <w:rFonts w:ascii="Times New Roman" w:hAnsi="Times New Roman" w:eastAsia="宋体"/>
                <w:b w:val="0"/>
                <w:sz w:val="21"/>
              </w:rPr>
              <w:t>时间新鲜度 recency_fit</w:t>
            </w:r>
          </w:p>
        </w:tc>
        <w:tc>
          <w:tcPr>
            <w:tcW w:w="4323" w:type="dxa"/>
          </w:tcPr>
          <w:p w14:paraId="1F836853">
            <w:pPr>
              <w:jc w:val="center"/>
            </w:pPr>
            <w:r>
              <w:rPr>
                <w:rFonts w:ascii="Times New Roman" w:hAnsi="Times New Roman" w:eastAsia="宋体"/>
                <w:b w:val="0"/>
                <w:sz w:val="21"/>
              </w:rPr>
              <w:t>0.07</w:t>
            </w:r>
          </w:p>
        </w:tc>
      </w:tr>
      <w:tr w14:paraId="2BDC3E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7E5E7A26">
            <w:pPr>
              <w:jc w:val="center"/>
            </w:pPr>
            <w:r>
              <w:rPr>
                <w:rFonts w:ascii="Times New Roman" w:hAnsi="Times New Roman" w:eastAsia="宋体"/>
                <w:b w:val="0"/>
                <w:sz w:val="21"/>
              </w:rPr>
              <w:t>行业与场景 scenario_fit</w:t>
            </w:r>
          </w:p>
        </w:tc>
        <w:tc>
          <w:tcPr>
            <w:tcW w:w="4323" w:type="dxa"/>
          </w:tcPr>
          <w:p w14:paraId="0B93E13C">
            <w:pPr>
              <w:jc w:val="center"/>
            </w:pPr>
            <w:r>
              <w:rPr>
                <w:rFonts w:ascii="Times New Roman" w:hAnsi="Times New Roman" w:eastAsia="宋体"/>
                <w:b w:val="0"/>
                <w:sz w:val="21"/>
              </w:rPr>
              <w:t>0.06</w:t>
            </w:r>
          </w:p>
        </w:tc>
      </w:tr>
      <w:tr w14:paraId="3DB7F8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4613F05D">
            <w:pPr>
              <w:jc w:val="center"/>
            </w:pPr>
            <w:r>
              <w:rPr>
                <w:rFonts w:ascii="Times New Roman" w:hAnsi="Times New Roman" w:eastAsia="宋体"/>
                <w:b w:val="0"/>
                <w:sz w:val="21"/>
              </w:rPr>
              <w:t>岗位级别 level_fit</w:t>
            </w:r>
          </w:p>
        </w:tc>
        <w:tc>
          <w:tcPr>
            <w:tcW w:w="4323" w:type="dxa"/>
          </w:tcPr>
          <w:p w14:paraId="4DEB6FB9">
            <w:pPr>
              <w:jc w:val="center"/>
            </w:pPr>
            <w:r>
              <w:rPr>
                <w:rFonts w:ascii="Times New Roman" w:hAnsi="Times New Roman" w:eastAsia="宋体"/>
                <w:b w:val="0"/>
                <w:sz w:val="21"/>
              </w:rPr>
              <w:t>0.05</w:t>
            </w:r>
          </w:p>
        </w:tc>
      </w:tr>
      <w:tr w14:paraId="09D5C0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248DB29B">
            <w:pPr>
              <w:jc w:val="center"/>
            </w:pPr>
            <w:r>
              <w:rPr>
                <w:rFonts w:ascii="Times New Roman" w:hAnsi="Times New Roman" w:eastAsia="宋体"/>
                <w:b w:val="0"/>
                <w:sz w:val="21"/>
              </w:rPr>
              <w:t>可迁移能力 transferable_fit</w:t>
            </w:r>
          </w:p>
        </w:tc>
        <w:tc>
          <w:tcPr>
            <w:tcW w:w="4323" w:type="dxa"/>
          </w:tcPr>
          <w:p w14:paraId="138E2933">
            <w:pPr>
              <w:jc w:val="center"/>
            </w:pPr>
            <w:r>
              <w:rPr>
                <w:rFonts w:ascii="Times New Roman" w:hAnsi="Times New Roman" w:eastAsia="宋体"/>
                <w:b w:val="0"/>
                <w:sz w:val="21"/>
              </w:rPr>
              <w:t>0.04</w:t>
            </w:r>
          </w:p>
        </w:tc>
      </w:tr>
      <w:tr w14:paraId="499AA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23" w:type="dxa"/>
          </w:tcPr>
          <w:p w14:paraId="75FB3EE4">
            <w:pPr>
              <w:jc w:val="center"/>
            </w:pPr>
            <w:r>
              <w:rPr>
                <w:rFonts w:ascii="Times New Roman" w:hAnsi="Times New Roman" w:eastAsia="宋体"/>
                <w:b w:val="0"/>
                <w:sz w:val="21"/>
              </w:rPr>
              <w:t>已确认职业意向 confirmed_preference_fit</w:t>
            </w:r>
          </w:p>
        </w:tc>
        <w:tc>
          <w:tcPr>
            <w:tcW w:w="4323" w:type="dxa"/>
          </w:tcPr>
          <w:p w14:paraId="75BB5B97">
            <w:pPr>
              <w:jc w:val="center"/>
            </w:pPr>
            <w:r>
              <w:rPr>
                <w:rFonts w:ascii="Times New Roman" w:hAnsi="Times New Roman" w:eastAsia="宋体"/>
                <w:b w:val="0"/>
                <w:sz w:val="21"/>
              </w:rPr>
              <w:t>0.02</w:t>
            </w:r>
          </w:p>
        </w:tc>
      </w:tr>
    </w:tbl>
    <w:p w14:paraId="4F1664CE">
      <w:pPr>
        <w:spacing w:after="40"/>
      </w:pPr>
    </w:p>
    <w:p w14:paraId="174E029F">
      <w:pPr>
        <w:spacing w:after="80" w:line="312" w:lineRule="auto"/>
      </w:pPr>
      <w:r>
        <w:rPr>
          <w:rFonts w:ascii="Times New Roman" w:hAnsi="Times New Roman" w:eastAsia="宋体"/>
          <w:b w:val="0"/>
          <w:sz w:val="22"/>
        </w:rPr>
        <w:t>系统不输出单一分数，而输出点估计与区间估计：设第 d 个维度权重为 w_d、点估计为 s_d、上下界为 l_d、u_d，则总分为</w:t>
      </w:r>
    </w:p>
    <w:p w14:paraId="18978E98">
      <w:pPr>
        <w:spacing w:before="80" w:after="80"/>
        <w:jc w:val="center"/>
      </w:pPr>
      <w:r>
        <w:rPr>
          <w:rFonts w:ascii="Times New Roman" w:hAnsi="Times New Roman" w:eastAsia="宋体"/>
          <w:b w:val="0"/>
          <w:sz w:val="22"/>
        </w:rPr>
        <w:t>M = Σ w_d · s_d ，  L = Σ w_d · l_d ，  U = Σ w_d · u_d</w:t>
      </w:r>
    </w:p>
    <w:p w14:paraId="1CEB9745">
      <w:pPr>
        <w:spacing w:after="80" w:line="312" w:lineRule="auto"/>
        <w:ind w:firstLine="440"/>
      </w:pPr>
      <w:r>
        <w:rPr>
          <w:rFonts w:ascii="Times New Roman" w:hAnsi="Times New Roman" w:eastAsia="宋体"/>
          <w:b w:val="0"/>
          <w:sz w:val="22"/>
        </w:rPr>
        <w:t>未知要求在下界中不计入已证实得分，在上界中保留岗位规则允许的可能性；明确缺失则上下界均按缺失处理。安全决策上，默认阈值 τ = 60；对于人工确认的硬性约束，明确不满足时总分上限封顶为 59，避免软性加分抵消必备条件。</w:t>
      </w:r>
    </w:p>
    <w:p w14:paraId="02E0161D">
      <w:pPr>
        <w:spacing w:before="120" w:after="120"/>
      </w:pPr>
      <w:r>
        <w:rPr>
          <w:rFonts w:ascii="Arial" w:hAnsi="Arial" w:eastAsia="黑体"/>
          <w:b/>
          <w:sz w:val="28"/>
        </w:rPr>
        <w:t>4.3.4 子算法④：主动证据获取与安全停止</w:t>
      </w:r>
    </w:p>
    <w:p w14:paraId="6FE583C0">
      <w:pPr>
        <w:spacing w:after="80" w:line="312" w:lineRule="auto"/>
        <w:ind w:firstLine="440"/>
      </w:pPr>
      <w:r>
        <w:rPr>
          <w:rFonts w:ascii="Times New Roman" w:hAnsi="Times New Roman" w:eastAsia="宋体"/>
          <w:b w:val="0"/>
          <w:sz w:val="22"/>
        </w:rPr>
        <w:t>当评分区间跨越阈值（L &lt; τ ≤ U）时，系统无法凭现有证据给出稳定结论，即触发主动补证：从“与岗位相关、当前未知、不涉及敏感属性”的事实中生成候选问题，并要求围绕任务、个人动作、时间与可验证结果，避免“是否精通某技能”这类易被空泛回答操纵的问题。</w:t>
      </w:r>
    </w:p>
    <w:p w14:paraId="0FC2E465">
      <w:pPr>
        <w:spacing w:after="80" w:line="312" w:lineRule="auto"/>
      </w:pPr>
      <w:r>
        <w:rPr>
          <w:rFonts w:ascii="Times New Roman" w:hAnsi="Times New Roman" w:eastAsia="宋体"/>
          <w:b w:val="0"/>
          <w:sz w:val="22"/>
        </w:rPr>
        <w:t>候选问题的净价值由信息价值（Value of Information）函数计算，并扣除回答成本、隐私风险、公平风险、操纵风险与重复询问惩罚：</w:t>
      </w:r>
    </w:p>
    <w:p w14:paraId="480B852B">
      <w:pPr>
        <w:spacing w:before="80" w:after="80"/>
        <w:jc w:val="center"/>
      </w:pPr>
      <w:r>
        <w:rPr>
          <w:rFonts w:ascii="Times New Roman" w:hAnsi="Times New Roman" w:eastAsia="宋体"/>
          <w:b w:val="0"/>
          <w:sz w:val="22"/>
        </w:rPr>
        <w:t>V(q) = VoI(q) − λ_cost·Cost − λ_privacy·Privacy − λ_fair·Fairness − λ_manip·Manipulation − λ_repeat·Repeat</w:t>
      </w:r>
    </w:p>
    <w:p w14:paraId="0AAAA90C">
      <w:pPr>
        <w:spacing w:after="80" w:line="312" w:lineRule="auto"/>
        <w:ind w:firstLine="440"/>
      </w:pPr>
      <w:r>
        <w:rPr>
          <w:rFonts w:ascii="Times New Roman" w:hAnsi="Times New Roman" w:eastAsia="宋体"/>
          <w:b w:val="0"/>
          <w:sz w:val="22"/>
        </w:rPr>
        <w:t>选择流程为：枚举候选事实 → 模拟可能回答并重算评分区间 → 计算期望区间缩减、阈值决议概率与稳健信息价值 → 按净价值稳定排序选最优 → 回答经证据抽取与一致性检查后写入新画像版本并重新匹配。问题自然语言可由大模型润色，但排序与目标事实不可更改。</w:t>
      </w:r>
    </w:p>
    <w:p w14:paraId="4168E835">
      <w:pPr>
        <w:spacing w:after="80" w:line="312" w:lineRule="auto"/>
        <w:ind w:firstLine="440"/>
      </w:pPr>
      <w:r>
        <w:rPr>
          <w:rFonts w:ascii="Times New Roman" w:hAnsi="Times New Roman" w:eastAsia="宋体"/>
          <w:b w:val="0"/>
          <w:sz w:val="22"/>
        </w:rPr>
        <w:t>安全停止上，最大补证轮数为 4；系统同时计算“支持匹配结论的最小证据子集”（最多 12 个候选项中搜索不超过 3 项的组合），该结果仅表示反事实的取证目标，不会在证据尚未核验时提前加分。</w:t>
      </w:r>
    </w:p>
    <w:p w14:paraId="275F2A1A">
      <w:pPr>
        <w:spacing w:before="120" w:after="120"/>
      </w:pPr>
      <w:r>
        <w:rPr>
          <w:rFonts w:ascii="Arial" w:hAnsi="Arial" w:eastAsia="黑体"/>
          <w:b/>
          <w:sz w:val="28"/>
        </w:rPr>
        <w:t>4.3.5 子算法⑤：差距诊断与学习路径</w:t>
      </w:r>
    </w:p>
    <w:p w14:paraId="0B2F24A2">
      <w:pPr>
        <w:spacing w:after="80" w:line="312" w:lineRule="auto"/>
        <w:ind w:firstLine="440"/>
      </w:pPr>
      <w:r>
        <w:rPr>
          <w:rFonts w:ascii="Times New Roman" w:hAnsi="Times New Roman" w:eastAsia="宋体"/>
          <w:b w:val="0"/>
          <w:sz w:val="22"/>
        </w:rPr>
        <w:t>差距类型分为五类：已确认缺失、证据不足、掌握深度不足、具备可迁移的相邻能力、岗位要求本身置信度不足。差距排序综合岗位权重、是否硬约束、对评分区间的影响、证据状态与可改善性——必备技能的明确缺失优先于加分技能，低成本补证优先于高成本长期学习，全部由机械规则产生。</w:t>
      </w:r>
    </w:p>
    <w:p w14:paraId="6C740402">
      <w:pPr>
        <w:spacing w:after="80" w:line="312" w:lineRule="auto"/>
        <w:ind w:firstLine="440"/>
      </w:pPr>
      <w:r>
        <w:rPr>
          <w:rFonts w:ascii="Times New Roman" w:hAnsi="Times New Roman" w:eastAsia="宋体"/>
          <w:b w:val="0"/>
          <w:sz w:val="22"/>
        </w:rPr>
        <w:t>学习路径从高优先级差距出发，结合能力图谱中的先修关系构造有向无环图（DAG），通过拓扑排序生成学习顺序（算法版本 gap_path_topo_v1）；多个缺失技能存在共享前置依赖时合并公共路径，避免重复学习。每一阶段包含目标能力、推荐学习内容、可验证产出与复评入口。</w:t>
      </w:r>
    </w:p>
    <w:p w14:paraId="13EA49B0">
      <w:pPr>
        <w:spacing w:after="80" w:line="312" w:lineRule="auto"/>
        <w:ind w:firstLine="440"/>
      </w:pPr>
      <w:r>
        <w:rPr>
          <w:rFonts w:ascii="Times New Roman" w:hAnsi="Times New Roman" w:eastAsia="宋体"/>
          <w:b w:val="0"/>
          <w:sz w:val="22"/>
        </w:rPr>
        <w:t>解释隔离是贯穿全链路的纪律：解释模块只接收已确定的分数、区间、维度与差距，生成不超过约 200 字的自然语言说明，提示词明确禁止新增事实、改变分数或删除硬约束，模型调用失败时回退规则模板。因此在结构化证据、岗位规则、算法版本与参考日期相同的前提下，更换大模型或温度不会改变机械分与决策标签。</w:t>
      </w:r>
    </w:p>
    <w:p w14:paraId="35E519C0">
      <w:pPr>
        <w:spacing w:before="200" w:after="120"/>
      </w:pPr>
      <w:r>
        <w:rPr>
          <w:rFonts w:ascii="Arial" w:hAnsi="Arial" w:eastAsia="黑体"/>
          <w:b/>
          <w:sz w:val="32"/>
        </w:rPr>
        <w:t>6.3 人岗匹配诊断中心（对应痛点：匹配难）</w:t>
      </w:r>
    </w:p>
    <w:p w14:paraId="258917C9">
      <w:pPr>
        <w:spacing w:after="80" w:line="312" w:lineRule="auto"/>
        <w:ind w:firstLine="440"/>
      </w:pPr>
      <w:r>
        <w:rPr>
          <w:rFonts w:ascii="Times New Roman" w:hAnsi="Times New Roman" w:eastAsia="宋体"/>
          <w:b w:val="0"/>
          <w:sz w:val="22"/>
        </w:rPr>
        <w:t>本模块为求职学生与高校就业指导中心提供从简历解析到学习导航的全流程匹配诊断服务，将 4.3 节的算法能力封装为可交互的产品形态。</w:t>
      </w:r>
    </w:p>
    <w:p w14:paraId="13CC499F">
      <w:pPr>
        <w:spacing w:before="120" w:after="120"/>
      </w:pPr>
      <w:r>
        <w:rPr>
          <w:rFonts w:ascii="Arial" w:hAnsi="Arial" w:eastAsia="黑体"/>
          <w:b/>
          <w:sz w:val="28"/>
        </w:rPr>
        <w:t>6.3.1 多模态简历解析</w:t>
      </w:r>
    </w:p>
    <w:p w14:paraId="23BE22A9">
      <w:pPr>
        <w:spacing w:after="80" w:line="312" w:lineRule="auto"/>
        <w:ind w:firstLine="440"/>
      </w:pPr>
      <w:r>
        <w:rPr>
          <w:rFonts w:ascii="Times New Roman" w:hAnsi="Times New Roman" w:eastAsia="宋体"/>
          <w:b w:val="0"/>
          <w:sz w:val="22"/>
        </w:rPr>
        <w:t>用户拖拽或选择文件上传（单文件 ≤10MB），系统显示“格式识别 → 文本提取 → 结构化抽取 → 技能标准化”的解析进度；完成后展示结构化简历预览，低置信度字段以黄色高亮提示核对，用户可手动修正，修正结果反馈至解析模型持续优化。</w:t>
      </w:r>
    </w:p>
    <w:p w14:paraId="2BF9610C">
      <w:pPr>
        <w:spacing w:before="120" w:after="120"/>
      </w:pPr>
      <w:r>
        <w:rPr>
          <w:rFonts w:ascii="Arial" w:hAnsi="Arial" w:eastAsia="黑体"/>
          <w:b/>
          <w:sz w:val="28"/>
        </w:rPr>
        <w:t>6.3.2 多维匹配度评估</w:t>
      </w:r>
    </w:p>
    <w:p w14:paraId="7A14A13B">
      <w:pPr>
        <w:spacing w:after="80" w:line="312" w:lineRule="auto"/>
        <w:ind w:firstLine="440"/>
      </w:pPr>
      <w:r>
        <w:rPr>
          <w:rFonts w:ascii="Times New Roman" w:hAnsi="Times New Roman" w:eastAsia="宋体"/>
          <w:b w:val="0"/>
          <w:sz w:val="22"/>
        </w:rPr>
        <w:t>用户选择目标岗位后，系统计算并输出综合匹配度（百分比 + 进度条）、四维匹配度雷达图（知识/技能/素养/经验）、必备技能通过率（X/Y 项，未满足项红色标记）与加分技能覆盖（绿色对勾标注）。</w:t>
      </w:r>
    </w:p>
    <w:p w14:paraId="00166D30">
      <w:pPr>
        <w:spacing w:before="120" w:after="120"/>
      </w:pPr>
      <w:r>
        <w:rPr>
          <w:rFonts w:ascii="Arial" w:hAnsi="Arial" w:eastAsia="黑体"/>
          <w:b/>
          <w:sz w:val="28"/>
        </w:rPr>
        <w:t>6.3.3 细粒度差距诊断</w:t>
      </w:r>
    </w:p>
    <w:p w14:paraId="4AE8FF68">
      <w:pPr>
        <w:spacing w:after="80" w:line="312" w:lineRule="auto"/>
        <w:ind w:firstLine="440"/>
      </w:pPr>
      <w:r>
        <w:rPr>
          <w:rFonts w:ascii="Times New Roman" w:hAnsi="Times New Roman" w:eastAsia="宋体"/>
          <w:b w:val="0"/>
          <w:sz w:val="22"/>
        </w:rPr>
        <w:t>对未满足的技能项按优先级降序展示：技能名、要求熟练度、当前熟练度、差距严重程度（CRITICAL/HIGH/MEDIUM/LOW）与改进建议；同时生成一段自然语言诊断摘要，概括核心差距与优先提升方向。</w:t>
      </w:r>
    </w:p>
    <w:p w14:paraId="4AC0FB02">
      <w:pPr>
        <w:spacing w:before="120" w:after="120"/>
      </w:pPr>
      <w:r>
        <w:rPr>
          <w:rFonts w:ascii="Arial" w:hAnsi="Arial" w:eastAsia="黑体"/>
          <w:b/>
          <w:sz w:val="28"/>
        </w:rPr>
        <w:t>6.3.4 个性化学习路径</w:t>
      </w:r>
    </w:p>
    <w:p w14:paraId="2023074F">
      <w:pPr>
        <w:spacing w:after="80" w:line="312" w:lineRule="auto"/>
        <w:ind w:firstLine="440"/>
      </w:pPr>
      <w:r>
        <w:rPr>
          <w:rFonts w:ascii="Times New Roman" w:hAnsi="Times New Roman" w:eastAsia="宋体"/>
          <w:b w:val="0"/>
          <w:sz w:val="22"/>
        </w:rPr>
        <w:t>基于差距诊断与图谱技能前置依赖，以甘特图风格展示分阶段学习计划，每阶段包含目标技能及前置依赖、预计学习周期、推荐学习资源与阶段性自评建议；用户可调整学习时间投入参数，系统动态重算各阶段时间分配。</w:t>
      </w:r>
    </w:p>
    <w:p w14:paraId="15913C1F">
      <w:pPr>
        <w:spacing w:before="200" w:after="120"/>
      </w:pPr>
      <w:r>
        <w:rPr>
          <w:rFonts w:ascii="Arial" w:hAnsi="Arial" w:eastAsia="黑体"/>
          <w:b/>
          <w:sz w:val="32"/>
        </w:rPr>
        <w:t>7.3 创新点三：全流程精准匹配导航</w:t>
      </w:r>
    </w:p>
    <w:p w14:paraId="49DEE99E">
      <w:pPr>
        <w:spacing w:after="80" w:line="312" w:lineRule="auto"/>
        <w:ind w:firstLine="440"/>
      </w:pPr>
      <w:r>
        <w:rPr>
          <w:rFonts w:ascii="Times New Roman" w:hAnsi="Times New Roman" w:eastAsia="宋体"/>
          <w:b w:val="0"/>
          <w:sz w:val="22"/>
        </w:rPr>
        <w:t>传统招聘平台的匹配逻辑以关键词重合度为核心，存在“三个不”——不够深（停留在关键词层面，未深入技能熟练度）、不够全（单一维度评分，未区分必备/加分/知识/素养）、不够远（只输出匹配结果，不提供改进路径）。</w:t>
      </w:r>
    </w:p>
    <w:p w14:paraId="6F28F54B">
      <w:pPr>
        <w:spacing w:after="80" w:line="312" w:lineRule="auto"/>
        <w:ind w:firstLine="440"/>
      </w:pPr>
      <w:r>
        <w:rPr>
          <w:rFonts w:ascii="Times New Roman" w:hAnsi="Times New Roman" w:eastAsia="宋体"/>
          <w:b w:val="0"/>
          <w:sz w:val="22"/>
        </w:rPr>
        <w:t>本系统的突破在于构建“证据锁定解析 + 七类证据状态画像 + 确定性十维区间评分 + 主动补证 + 图谱依赖导航”的全流程匹配体系，打通“解析—画像—评分—补证—诊断—导航”全链路。</w:t>
      </w:r>
    </w:p>
    <w:p w14:paraId="7CA1CA36">
      <w:pPr>
        <w:spacing w:after="80" w:line="312" w:lineRule="auto"/>
      </w:pPr>
      <w:r>
        <w:rPr>
          <w:rFonts w:ascii="Times New Roman" w:hAnsi="Times New Roman" w:eastAsia="宋体"/>
          <w:b/>
          <w:sz w:val="22"/>
        </w:rPr>
        <w:t>技术创新要素：</w:t>
      </w:r>
    </w:p>
    <w:p w14:paraId="4042D474">
      <w:pPr>
        <w:spacing w:after="80" w:line="312" w:lineRule="auto"/>
      </w:pPr>
      <w:r>
        <w:rPr>
          <w:rFonts w:ascii="Times New Roman" w:hAnsi="Times New Roman" w:eastAsia="宋体"/>
          <w:b w:val="0"/>
          <w:sz w:val="22"/>
        </w:rPr>
        <w:t>• 证据锁定抽取：每条事实逐字命中简历原文，从源头防控大模型幻觉；</w:t>
      </w:r>
    </w:p>
    <w:p w14:paraId="07C130D3">
      <w:pPr>
        <w:spacing w:after="80" w:line="312" w:lineRule="auto"/>
      </w:pPr>
      <w:r>
        <w:rPr>
          <w:rFonts w:ascii="Times New Roman" w:hAnsi="Times New Roman" w:eastAsia="宋体"/>
          <w:b w:val="0"/>
          <w:sz w:val="22"/>
        </w:rPr>
        <w:t>• 七类证据状态 + 上下界区间评分：将“证据强度”显式建模，自述、上下文、可核查证据不等权；</w:t>
      </w:r>
    </w:p>
    <w:p w14:paraId="096BF245">
      <w:pPr>
        <w:spacing w:after="80" w:line="312" w:lineRule="auto"/>
      </w:pPr>
      <w:r>
        <w:rPr>
          <w:rFonts w:ascii="Times New Roman" w:hAnsi="Times New Roman" w:eastAsia="宋体"/>
          <w:b w:val="0"/>
          <w:sz w:val="22"/>
        </w:rPr>
        <w:t>• 确定性十维评分 + 点估计/区间估计：可复现、可审计，决策结论与模型温度解耦；</w:t>
      </w:r>
    </w:p>
    <w:p w14:paraId="642F2799">
      <w:pPr>
        <w:spacing w:after="80" w:line="312" w:lineRule="auto"/>
      </w:pPr>
      <w:r>
        <w:rPr>
          <w:rFonts w:ascii="Times New Roman" w:hAnsi="Times New Roman" w:eastAsia="宋体"/>
          <w:b w:val="0"/>
          <w:sz w:val="22"/>
        </w:rPr>
        <w:t>• 主动补证（信息价值函数）：以决策分析思想驱动证据采集，用最小提问换取最稳结论；</w:t>
      </w:r>
    </w:p>
    <w:p w14:paraId="08082D6C">
      <w:pPr>
        <w:spacing w:after="80" w:line="312" w:lineRule="auto"/>
      </w:pPr>
      <w:r>
        <w:rPr>
          <w:rFonts w:ascii="Times New Roman" w:hAnsi="Times New Roman" w:eastAsia="宋体"/>
          <w:b w:val="0"/>
          <w:sz w:val="22"/>
        </w:rPr>
        <w:t>• 解释隔离：大模型只做表达层、不做决策层，机械分与决策标签不随模型更换而漂移。</w:t>
      </w:r>
    </w:p>
    <w:p w14:paraId="6347D20D">
      <w:pPr>
        <w:spacing w:before="200" w:after="120"/>
      </w:pPr>
      <w:r>
        <w:rPr>
          <w:rFonts w:ascii="Arial" w:hAnsi="Arial" w:eastAsia="黑体"/>
          <w:b/>
          <w:sz w:val="32"/>
        </w:rPr>
        <w:t>数据底座层（多源异构数据底座）</w:t>
      </w:r>
    </w:p>
    <w:p w14:paraId="3F1E6497">
      <w:pPr>
        <w:spacing w:after="80" w:line="312" w:lineRule="auto"/>
        <w:ind w:firstLine="440"/>
      </w:pPr>
      <w:r>
        <w:rPr>
          <w:rFonts w:ascii="Times New Roman" w:hAnsi="Times New Roman" w:eastAsia="宋体"/>
          <w:b w:val="0"/>
          <w:sz w:val="22"/>
        </w:rPr>
        <w:t>数据是淘金者的矿砂。砂石混杂的原始数据，唯有经过多源交叉验证的“淘洗”，才能露出真金般的高质量信号。这一层的工作看似粗粝，却决定了上层每一座算法大厦的地基是否牢固。本层由六库融合采集、三方交叉验证、版本血缘管理、数据动态变化机制四部分构成，并以真实产业数据的治理实践作为落地验证。</w:t>
      </w:r>
    </w:p>
    <w:p w14:paraId="7924B588">
      <w:pPr>
        <w:spacing w:before="120" w:after="120"/>
      </w:pPr>
      <w:r>
        <w:rPr>
          <w:rFonts w:ascii="Arial" w:hAnsi="Arial" w:eastAsia="黑体"/>
          <w:b/>
          <w:sz w:val="28"/>
        </w:rPr>
        <w:t>3.1 六库融合采集体系</w:t>
      </w:r>
    </w:p>
    <w:p w14:paraId="18AF80EB">
      <w:pPr>
        <w:spacing w:after="80" w:line="312" w:lineRule="auto"/>
        <w:ind w:firstLine="440"/>
      </w:pPr>
      <w:r>
        <w:rPr>
          <w:rFonts w:ascii="Times New Roman" w:hAnsi="Times New Roman" w:eastAsia="宋体"/>
          <w:b w:val="0"/>
          <w:sz w:val="22"/>
        </w:rPr>
        <w:t>系统构建六大数据库，覆盖岗位能力生态的全生命周期数据需求；六库并非孤立存在，而是通过交叉索引形成网状关联结构。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6F78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Borders>
              <w:bottom w:val="single" w:color="000000" w:sz="6" w:space="0"/>
            </w:tcBorders>
          </w:tcPr>
          <w:p w14:paraId="37FC6881">
            <w:pPr>
              <w:jc w:val="center"/>
            </w:pPr>
            <w:r>
              <w:rPr>
                <w:rFonts w:ascii="Times New Roman" w:hAnsi="Times New Roman" w:eastAsia="宋体"/>
                <w:b/>
                <w:sz w:val="21"/>
              </w:rPr>
              <w:t>数据库</w:t>
            </w:r>
          </w:p>
        </w:tc>
        <w:tc>
          <w:tcPr>
            <w:tcW w:w="2882" w:type="dxa"/>
            <w:tcBorders>
              <w:bottom w:val="single" w:color="000000" w:sz="6" w:space="0"/>
            </w:tcBorders>
          </w:tcPr>
          <w:p w14:paraId="4F80BFAF">
            <w:pPr>
              <w:jc w:val="center"/>
            </w:pPr>
            <w:r>
              <w:rPr>
                <w:rFonts w:ascii="Times New Roman" w:hAnsi="Times New Roman" w:eastAsia="宋体"/>
                <w:b/>
                <w:sz w:val="21"/>
              </w:rPr>
              <w:t>主要数据来源</w:t>
            </w:r>
          </w:p>
        </w:tc>
        <w:tc>
          <w:tcPr>
            <w:tcW w:w="2882" w:type="dxa"/>
            <w:tcBorders>
              <w:bottom w:val="single" w:color="000000" w:sz="6" w:space="0"/>
            </w:tcBorders>
          </w:tcPr>
          <w:p w14:paraId="3F614C3C">
            <w:pPr>
              <w:jc w:val="center"/>
            </w:pPr>
            <w:r>
              <w:rPr>
                <w:rFonts w:ascii="Times New Roman" w:hAnsi="Times New Roman" w:eastAsia="宋体"/>
                <w:b/>
                <w:sz w:val="21"/>
              </w:rPr>
              <w:t>采集规模与频率</w:t>
            </w:r>
          </w:p>
        </w:tc>
      </w:tr>
      <w:tr w14:paraId="7A418B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79474729">
            <w:pPr>
              <w:jc w:val="center"/>
            </w:pPr>
            <w:r>
              <w:rPr>
                <w:rFonts w:ascii="Times New Roman" w:hAnsi="Times New Roman" w:eastAsia="宋体"/>
                <w:b w:val="0"/>
                <w:sz w:val="21"/>
              </w:rPr>
              <w:t>企业库</w:t>
            </w:r>
          </w:p>
        </w:tc>
        <w:tc>
          <w:tcPr>
            <w:tcW w:w="2882" w:type="dxa"/>
          </w:tcPr>
          <w:p w14:paraId="366D6D2C">
            <w:pPr>
              <w:jc w:val="center"/>
            </w:pPr>
            <w:r>
              <w:rPr>
                <w:rFonts w:ascii="Times New Roman" w:hAnsi="Times New Roman" w:eastAsia="宋体"/>
                <w:b w:val="0"/>
                <w:sz w:val="21"/>
              </w:rPr>
              <w:t>国家企业信用公示系统、天眼查/企查查、年报、官网技术博客</w:t>
            </w:r>
          </w:p>
        </w:tc>
        <w:tc>
          <w:tcPr>
            <w:tcW w:w="2882" w:type="dxa"/>
          </w:tcPr>
          <w:p w14:paraId="6521378D">
            <w:pPr>
              <w:jc w:val="center"/>
            </w:pPr>
            <w:r>
              <w:rPr>
                <w:rFonts w:ascii="Times New Roman" w:hAnsi="Times New Roman" w:eastAsia="宋体"/>
                <w:b w:val="0"/>
                <w:sz w:val="21"/>
              </w:rPr>
              <w:t>种子集约</w:t>
            </w:r>
            <w:r>
              <w:rPr>
                <w:rFonts w:hint="eastAsia" w:ascii="Times New Roman" w:hAnsi="Times New Roman" w:eastAsia="宋体"/>
                <w:b w:val="0"/>
                <w:sz w:val="21"/>
                <w:lang w:val="en-US" w:eastAsia="zh-CN"/>
              </w:rPr>
              <w:t>1600</w:t>
            </w:r>
            <w:r>
              <w:rPr>
                <w:rFonts w:ascii="Times New Roman" w:hAnsi="Times New Roman" w:eastAsia="宋体"/>
                <w:b w:val="0"/>
                <w:sz w:val="21"/>
              </w:rPr>
              <w:t>家</w:t>
            </w:r>
            <w:bookmarkStart w:id="0" w:name="_GoBack"/>
            <w:bookmarkEnd w:id="0"/>
          </w:p>
        </w:tc>
      </w:tr>
      <w:tr w14:paraId="267B8D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331ADFEA">
            <w:pPr>
              <w:jc w:val="center"/>
            </w:pPr>
            <w:r>
              <w:rPr>
                <w:rFonts w:ascii="Times New Roman" w:hAnsi="Times New Roman" w:eastAsia="宋体"/>
                <w:b w:val="0"/>
                <w:sz w:val="21"/>
              </w:rPr>
              <w:t>专利库</w:t>
            </w:r>
          </w:p>
        </w:tc>
        <w:tc>
          <w:tcPr>
            <w:tcW w:w="2882" w:type="dxa"/>
          </w:tcPr>
          <w:p w14:paraId="207B7FF3">
            <w:pPr>
              <w:jc w:val="center"/>
            </w:pPr>
            <w:r>
              <w:rPr>
                <w:rFonts w:ascii="Times New Roman" w:hAnsi="Times New Roman" w:eastAsia="宋体"/>
                <w:b w:val="0"/>
                <w:sz w:val="21"/>
              </w:rPr>
              <w:t>国家知识产权局、Google Patents、Lens.org</w:t>
            </w:r>
          </w:p>
        </w:tc>
        <w:tc>
          <w:tcPr>
            <w:tcW w:w="2882" w:type="dxa"/>
          </w:tcPr>
          <w:p w14:paraId="7E9F4D98">
            <w:pPr>
              <w:jc w:val="center"/>
            </w:pPr>
            <w:r>
              <w:rPr>
                <w:rFonts w:ascii="Times New Roman" w:hAnsi="Times New Roman" w:eastAsia="宋体"/>
                <w:b w:val="0"/>
                <w:sz w:val="21"/>
              </w:rPr>
              <w:t xml:space="preserve">累计约 </w:t>
            </w:r>
            <w:r>
              <w:rPr>
                <w:rFonts w:hint="eastAsia" w:ascii="Times New Roman" w:hAnsi="Times New Roman" w:eastAsia="宋体"/>
                <w:b w:val="0"/>
                <w:sz w:val="21"/>
                <w:lang w:val="en-US" w:eastAsia="zh-CN"/>
              </w:rPr>
              <w:t>x</w:t>
            </w:r>
            <w:r>
              <w:rPr>
                <w:rFonts w:ascii="Times New Roman" w:hAnsi="Times New Roman" w:eastAsia="宋体"/>
                <w:b w:val="0"/>
                <w:sz w:val="21"/>
              </w:rPr>
              <w:t xml:space="preserve">件，每月增量约 </w:t>
            </w:r>
            <w:r>
              <w:rPr>
                <w:rFonts w:hint="eastAsia" w:ascii="Times New Roman" w:hAnsi="Times New Roman" w:eastAsia="宋体"/>
                <w:b w:val="0"/>
                <w:sz w:val="21"/>
                <w:lang w:val="en-US" w:eastAsia="zh-CN"/>
              </w:rPr>
              <w:t>x</w:t>
            </w:r>
            <w:r>
              <w:rPr>
                <w:rFonts w:ascii="Times New Roman" w:hAnsi="Times New Roman" w:eastAsia="宋体"/>
                <w:b w:val="0"/>
                <w:sz w:val="21"/>
              </w:rPr>
              <w:t>件</w:t>
            </w:r>
          </w:p>
        </w:tc>
      </w:tr>
      <w:tr w14:paraId="18999A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48B2711F">
            <w:pPr>
              <w:jc w:val="center"/>
            </w:pPr>
            <w:r>
              <w:rPr>
                <w:rFonts w:ascii="Times New Roman" w:hAnsi="Times New Roman" w:eastAsia="宋体"/>
                <w:b w:val="0"/>
                <w:sz w:val="21"/>
              </w:rPr>
              <w:t>岗位库</w:t>
            </w:r>
          </w:p>
        </w:tc>
        <w:tc>
          <w:tcPr>
            <w:tcW w:w="2882" w:type="dxa"/>
          </w:tcPr>
          <w:p w14:paraId="00ED2B8E">
            <w:pPr>
              <w:jc w:val="center"/>
            </w:pPr>
            <w:r>
              <w:rPr>
                <w:rFonts w:ascii="Times New Roman" w:hAnsi="Times New Roman" w:eastAsia="宋体"/>
                <w:b w:val="0"/>
                <w:sz w:val="21"/>
              </w:rPr>
              <w:t>主流招聘平台公开 JD、企业官网招聘页</w:t>
            </w:r>
          </w:p>
        </w:tc>
        <w:tc>
          <w:tcPr>
            <w:tcW w:w="2882" w:type="dxa"/>
          </w:tcPr>
          <w:p w14:paraId="7A8A3E66">
            <w:pPr>
              <w:jc w:val="center"/>
            </w:pPr>
            <w:r>
              <w:rPr>
                <w:rFonts w:ascii="Times New Roman" w:hAnsi="Times New Roman" w:eastAsia="宋体"/>
                <w:b w:val="0"/>
                <w:sz w:val="21"/>
              </w:rPr>
              <w:t xml:space="preserve">日增去重约 </w:t>
            </w:r>
            <w:r>
              <w:rPr>
                <w:rFonts w:hint="eastAsia" w:ascii="Times New Roman" w:hAnsi="Times New Roman" w:eastAsia="宋体"/>
                <w:b w:val="0"/>
                <w:sz w:val="21"/>
                <w:lang w:val="en-US" w:eastAsia="zh-CN"/>
              </w:rPr>
              <w:t>x</w:t>
            </w:r>
            <w:r>
              <w:rPr>
                <w:rFonts w:ascii="Times New Roman" w:hAnsi="Times New Roman" w:eastAsia="宋体"/>
                <w:b w:val="0"/>
                <w:sz w:val="21"/>
              </w:rPr>
              <w:t xml:space="preserve"> 条，累计约 </w:t>
            </w:r>
            <w:r>
              <w:rPr>
                <w:rFonts w:hint="eastAsia" w:ascii="Times New Roman" w:hAnsi="Times New Roman" w:eastAsia="宋体"/>
                <w:b w:val="0"/>
                <w:sz w:val="21"/>
                <w:lang w:val="en-US" w:eastAsia="zh-CN"/>
              </w:rPr>
              <w:t>x</w:t>
            </w:r>
            <w:r>
              <w:rPr>
                <w:rFonts w:ascii="Times New Roman" w:hAnsi="Times New Roman" w:eastAsia="宋体"/>
                <w:b w:val="0"/>
                <w:sz w:val="21"/>
              </w:rPr>
              <w:t>万条</w:t>
            </w:r>
          </w:p>
        </w:tc>
      </w:tr>
      <w:tr w14:paraId="055B96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5E8198A6">
            <w:pPr>
              <w:jc w:val="center"/>
            </w:pPr>
            <w:r>
              <w:rPr>
                <w:rFonts w:ascii="Times New Roman" w:hAnsi="Times New Roman" w:eastAsia="宋体"/>
                <w:b w:val="0"/>
                <w:sz w:val="21"/>
              </w:rPr>
              <w:t>人才库</w:t>
            </w:r>
          </w:p>
        </w:tc>
        <w:tc>
          <w:tcPr>
            <w:tcW w:w="2882" w:type="dxa"/>
          </w:tcPr>
          <w:p w14:paraId="1066DD57">
            <w:pPr>
              <w:jc w:val="center"/>
            </w:pPr>
            <w:r>
              <w:rPr>
                <w:rFonts w:ascii="Times New Roman" w:hAnsi="Times New Roman" w:eastAsia="宋体"/>
                <w:b w:val="0"/>
                <w:sz w:val="21"/>
              </w:rPr>
              <w:t>脱敏简历（经授权）、LinkedIn 公开档案、学术库</w:t>
            </w:r>
          </w:p>
        </w:tc>
        <w:tc>
          <w:tcPr>
            <w:tcW w:w="2882" w:type="dxa"/>
          </w:tcPr>
          <w:p w14:paraId="1C6AD489">
            <w:pPr>
              <w:jc w:val="center"/>
            </w:pPr>
            <w:r>
              <w:rPr>
                <w:rFonts w:ascii="Times New Roman" w:hAnsi="Times New Roman" w:eastAsia="宋体"/>
                <w:b w:val="0"/>
                <w:sz w:val="21"/>
              </w:rPr>
              <w:t>脱敏处理，符合《个人信息保护法》</w:t>
            </w:r>
          </w:p>
        </w:tc>
      </w:tr>
      <w:tr w14:paraId="14FDF9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553AA0F4">
            <w:pPr>
              <w:jc w:val="center"/>
            </w:pPr>
            <w:r>
              <w:rPr>
                <w:rFonts w:ascii="Times New Roman" w:hAnsi="Times New Roman" w:eastAsia="宋体"/>
                <w:b w:val="0"/>
                <w:sz w:val="21"/>
              </w:rPr>
              <w:t>高校库</w:t>
            </w:r>
          </w:p>
        </w:tc>
        <w:tc>
          <w:tcPr>
            <w:tcW w:w="2882" w:type="dxa"/>
          </w:tcPr>
          <w:p w14:paraId="255285FF">
            <w:pPr>
              <w:jc w:val="center"/>
            </w:pPr>
            <w:r>
              <w:rPr>
                <w:rFonts w:ascii="Times New Roman" w:hAnsi="Times New Roman" w:eastAsia="宋体"/>
                <w:b w:val="0"/>
                <w:sz w:val="21"/>
              </w:rPr>
              <w:t>教育部专业目录、招生信息网、就业质量报告</w:t>
            </w:r>
          </w:p>
        </w:tc>
        <w:tc>
          <w:tcPr>
            <w:tcW w:w="2882" w:type="dxa"/>
          </w:tcPr>
          <w:p w14:paraId="66477D1A">
            <w:pPr>
              <w:jc w:val="center"/>
            </w:pPr>
            <w:r>
              <w:rPr>
                <w:rFonts w:ascii="Times New Roman" w:hAnsi="Times New Roman" w:eastAsia="宋体"/>
                <w:b w:val="0"/>
                <w:sz w:val="21"/>
              </w:rPr>
              <w:t>培养方案、核心课程、就业去向</w:t>
            </w:r>
          </w:p>
        </w:tc>
      </w:tr>
      <w:tr w14:paraId="535046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32C7E289">
            <w:pPr>
              <w:jc w:val="center"/>
            </w:pPr>
            <w:r>
              <w:rPr>
                <w:rFonts w:ascii="Times New Roman" w:hAnsi="Times New Roman" w:eastAsia="宋体"/>
                <w:b w:val="0"/>
                <w:sz w:val="21"/>
              </w:rPr>
              <w:t>技术词库</w:t>
            </w:r>
          </w:p>
        </w:tc>
        <w:tc>
          <w:tcPr>
            <w:tcW w:w="2882" w:type="dxa"/>
          </w:tcPr>
          <w:p w14:paraId="5E6F5215">
            <w:pPr>
              <w:jc w:val="center"/>
            </w:pPr>
            <w:r>
              <w:rPr>
                <w:rFonts w:ascii="Times New Roman" w:hAnsi="Times New Roman" w:eastAsia="宋体"/>
                <w:b w:val="0"/>
                <w:sz w:val="21"/>
              </w:rPr>
              <w:t>自主构建 + 众包校验</w:t>
            </w:r>
          </w:p>
        </w:tc>
        <w:tc>
          <w:tcPr>
            <w:tcW w:w="2882" w:type="dxa"/>
          </w:tcPr>
          <w:p w14:paraId="054EBD38">
            <w:pPr>
              <w:jc w:val="center"/>
            </w:pPr>
            <w:r>
              <w:rPr>
                <w:rFonts w:ascii="Times New Roman" w:hAnsi="Times New Roman" w:eastAsia="宋体"/>
                <w:b w:val="0"/>
                <w:sz w:val="21"/>
              </w:rPr>
              <w:t>四级层次结构，全系统唯一语义标准锚点</w:t>
            </w:r>
          </w:p>
        </w:tc>
      </w:tr>
    </w:tbl>
    <w:p w14:paraId="289B7D90">
      <w:pPr>
        <w:spacing w:after="40"/>
      </w:pPr>
    </w:p>
    <w:p w14:paraId="7CF6C7B1">
      <w:pPr>
        <w:spacing w:before="120" w:after="120"/>
      </w:pPr>
      <w:r>
        <w:rPr>
          <w:rFonts w:ascii="Arial" w:hAnsi="Arial" w:eastAsia="黑体"/>
          <w:b/>
          <w:sz w:val="28"/>
        </w:rPr>
        <w:t>3.2 三方交叉验证机制</w:t>
      </w:r>
    </w:p>
    <w:p w14:paraId="53DE0731">
      <w:pPr>
        <w:spacing w:after="80" w:line="312" w:lineRule="auto"/>
        <w:ind w:firstLine="440"/>
      </w:pPr>
      <w:r>
        <w:rPr>
          <w:rFonts w:ascii="Times New Roman" w:hAnsi="Times New Roman" w:eastAsia="宋体"/>
          <w:b w:val="0"/>
          <w:sz w:val="22"/>
        </w:rPr>
        <w:t>多源数据的“噪音”与“时滞”是赛题明确提出的创新性挑战。系统设计企业业务标签 ↔ 招聘 JD 技能要求 ↔ 专利技术布局的三方交叉验证机制，如同三个独立观察者从不同角度审视同一事实，通过一致性打分剔除矛盾项、注水项与抄袭项。</w:t>
      </w:r>
    </w:p>
    <w:p w14:paraId="687F0EF8">
      <w:pPr>
        <w:spacing w:after="80" w:line="312" w:lineRule="auto"/>
      </w:pPr>
      <w:r>
        <w:rPr>
          <w:rFonts w:ascii="Times New Roman" w:hAnsi="Times New Roman" w:eastAsia="宋体"/>
          <w:b w:val="0"/>
          <w:sz w:val="22"/>
        </w:rPr>
        <w:t>对任一企业的任一技术能力项 t，系统从三个独立数据源提取证据向量 V_business（业务标签强度）、V_jd（JD 技能要求频率）、V_patent（专利布局占比），一致性得分采用三方加权：</w:t>
      </w:r>
    </w:p>
    <w:p w14:paraId="4F304BC1">
      <w:pPr>
        <w:spacing w:before="80" w:after="80"/>
        <w:jc w:val="center"/>
      </w:pPr>
      <w:r>
        <w:rPr>
          <w:rFonts w:ascii="Times New Roman" w:hAnsi="Times New Roman" w:eastAsia="宋体"/>
          <w:b w:val="0"/>
          <w:sz w:val="22"/>
        </w:rPr>
        <w:t>S_consistency = (w_b·V_business + w_j·V_jd + w_p·V_patent) / (w_b + w_j + w_p) × C_align</w:t>
      </w:r>
    </w:p>
    <w:p w14:paraId="274D027C">
      <w:pPr>
        <w:spacing w:after="80" w:line="312" w:lineRule="auto"/>
        <w:ind w:firstLine="440"/>
      </w:pPr>
      <w:r>
        <w:rPr>
          <w:rFonts w:ascii="Times New Roman" w:hAnsi="Times New Roman" w:eastAsia="宋体"/>
          <w:b w:val="0"/>
          <w:sz w:val="22"/>
        </w:rPr>
        <w:t>其中招聘 JD 权重最高（直接反映用人需求），C_align 为三方对齐系数（越接近 1 表示证据越一致）。据此执行差异化剔除：矛盾项（单源显著偏离且一致性 &lt; 0.3）转人工审核；注水项（JD 高而业务与专利均低）判定为 JD 夸大并降权；抄袭项（多企业 JD 文本相似度 &gt; 0.85 且密集发布）仅保留首次记录，后续标记“同源复制”不参与统计。</w:t>
      </w:r>
    </w:p>
    <w:p w14:paraId="38C10E7C">
      <w:pPr>
        <w:spacing w:after="80" w:line="312" w:lineRule="auto"/>
        <w:ind w:firstLine="440"/>
      </w:pPr>
      <w:r>
        <w:rPr>
          <w:rFonts w:ascii="Times New Roman" w:hAnsi="Times New Roman" w:eastAsia="宋体"/>
          <w:b w:val="0"/>
          <w:sz w:val="22"/>
        </w:rPr>
        <w:t>针对招聘数据 1—3 个月的固有滞后期，系统采用专利信号前置补偿策略：专利申请通常领先招聘需求 6—12 个月，将专利技术热度作为招聘频次的先行指标，对缺口因子模型进行前瞻性修正，使新兴岗位的发现时间提前 3—6 个月。</w:t>
      </w:r>
    </w:p>
    <w:p w14:paraId="6A04F8D3">
      <w:pPr>
        <w:spacing w:before="120" w:after="120"/>
      </w:pPr>
      <w:r>
        <w:rPr>
          <w:rFonts w:ascii="Arial" w:hAnsi="Arial" w:eastAsia="黑体"/>
          <w:b/>
          <w:sz w:val="28"/>
        </w:rPr>
        <w:t>3.3 数据版本与血缘管理</w:t>
      </w:r>
    </w:p>
    <w:p w14:paraId="1A26D3BC">
      <w:pPr>
        <w:spacing w:after="80" w:line="312" w:lineRule="auto"/>
        <w:ind w:firstLine="440"/>
      </w:pPr>
      <w:r>
        <w:rPr>
          <w:rFonts w:ascii="Times New Roman" w:hAnsi="Times New Roman" w:eastAsia="宋体"/>
          <w:b w:val="0"/>
          <w:sz w:val="22"/>
        </w:rPr>
        <w:t>系统采用类 Git 的版本管理机制：每条数据记录附加版本号、版本哈希、父版本、变更类型与来源链（source_chain），使每项变更可追溯、可回滚。同时维护全链路数据血缘图，任意一条岗位定义或技能变更均可向上溯源至原始 JD 链接、专利号或企业标签记录，向下追踪其在图谱节点与匹配结果中的应用，直接支撑全链路溯源审核闭环。</w:t>
      </w:r>
    </w:p>
    <w:p w14:paraId="5EC1DE44">
      <w:pPr>
        <w:spacing w:before="120" w:after="120"/>
      </w:pPr>
      <w:r>
        <w:rPr>
          <w:rFonts w:ascii="Arial" w:hAnsi="Arial" w:eastAsia="黑体"/>
          <w:b/>
          <w:sz w:val="28"/>
        </w:rPr>
        <w:t>3.4 数据动态变化机制</w:t>
      </w:r>
    </w:p>
    <w:p w14:paraId="3E2C28F7">
      <w:pPr>
        <w:spacing w:after="80" w:line="312" w:lineRule="auto"/>
        <w:ind w:firstLine="440"/>
      </w:pPr>
      <w:r>
        <w:rPr>
          <w:rFonts w:ascii="Times New Roman" w:hAnsi="Times New Roman" w:eastAsia="宋体"/>
          <w:b w:val="0"/>
          <w:sz w:val="22"/>
        </w:rPr>
        <w:t>多源数据的本质特征是动态变化。系统将变化归纳为三种形态——规模性变化（新增记录）、内容性变化（字段值更新）、结构性变化（关系演化），并设计“变化检测—版本管理—新鲜度保障”三位一体机制：</w:t>
      </w:r>
    </w:p>
    <w:p w14:paraId="7815A16A">
      <w:pPr>
        <w:spacing w:after="80" w:line="312" w:lineRule="auto"/>
      </w:pPr>
      <w:r>
        <w:rPr>
          <w:rFonts w:ascii="Times New Roman" w:hAnsi="Times New Roman" w:eastAsia="宋体"/>
          <w:b w:val="0"/>
          <w:sz w:val="22"/>
        </w:rPr>
        <w:t>• 变化检测：每轮采集入库前执行字段级比对，将变更判定为新增（ADD）、更新（UPDATE，记录字段“旧值→新值”对照）、失效（EXPIRE，连续 3 周期未出现或权威源标注失效，逻辑删除而非物理删除）；</w:t>
      </w:r>
    </w:p>
    <w:p w14:paraId="44E6A0D1">
      <w:pPr>
        <w:spacing w:after="80" w:line="312" w:lineRule="auto"/>
      </w:pPr>
      <w:r>
        <w:rPr>
          <w:rFonts w:ascii="Times New Roman" w:hAnsi="Times New Roman" w:eastAsia="宋体"/>
          <w:b w:val="0"/>
          <w:sz w:val="22"/>
        </w:rPr>
        <w:t>• 新鲜度保障：定义字段级新鲜度指标 Freshness = 1 − min(Δt / T_max, 1)，按字段动态特性分级设定保鲜阈值——融资/上市/在招状态等高频字段 30 天、业务标签/技能权重等中频字段 90 天、企业名称/官网等低频字段 180 天，低于阈值自动触发核验；</w:t>
      </w:r>
    </w:p>
    <w:p w14:paraId="7DAA8B0C">
      <w:pPr>
        <w:spacing w:after="80" w:line="312" w:lineRule="auto"/>
      </w:pPr>
      <w:r>
        <w:rPr>
          <w:rFonts w:ascii="Times New Roman" w:hAnsi="Times New Roman" w:eastAsia="宋体"/>
          <w:b w:val="0"/>
          <w:sz w:val="22"/>
        </w:rPr>
        <w:t>• 版本沉淀：全部变更写入变更日志并与版本血缘衔接，任意历史时间点均可回溯重建。</w:t>
      </w:r>
    </w:p>
    <w:p w14:paraId="65AD32F6">
      <w:pPr>
        <w:spacing w:after="80" w:line="312" w:lineRule="auto"/>
        <w:ind w:firstLine="440"/>
      </w:pPr>
      <w:r>
        <w:rPr>
          <w:rFonts w:ascii="Times New Roman" w:hAnsi="Times New Roman" w:eastAsia="宋体"/>
          <w:b w:val="0"/>
          <w:sz w:val="22"/>
        </w:rPr>
        <w:t>项目组对 49 家重点企业（智能机器人与具身智能方向）为期约 6 周的追踪核查实证了该机制的必要性：47%（23 家）企业的动态字段在 6 周内发生实质性变化或被证实失实——其中融资/上市状态变更约 10 家、量产进展失实 5 家、名称错写或主体混淆 8 家。若采用静态快照式管理，仅 6 周后近半数企业的关键字段即告失真，且错误会沿“数据层→算法层→图谱层”逐级放大。这正是本系统区别于静态岗位词典类产品的本质所在。</w:t>
      </w:r>
    </w:p>
    <w:p w14:paraId="320B70C0">
      <w:pPr>
        <w:spacing w:before="120" w:after="120"/>
      </w:pPr>
      <w:r>
        <w:rPr>
          <w:rFonts w:ascii="Arial" w:hAnsi="Arial" w:eastAsia="黑体"/>
          <w:b/>
          <w:sz w:val="28"/>
        </w:rPr>
        <w:t>3.5 数据治理落地与数据库设计</w:t>
      </w:r>
    </w:p>
    <w:p w14:paraId="0B4D60C7">
      <w:pPr>
        <w:spacing w:after="80" w:line="312" w:lineRule="auto"/>
        <w:ind w:firstLine="440"/>
      </w:pPr>
      <w:r>
        <w:rPr>
          <w:rFonts w:ascii="Times New Roman" w:hAnsi="Times New Roman" w:eastAsia="宋体"/>
          <w:b w:val="0"/>
          <w:sz w:val="22"/>
        </w:rPr>
        <w:t>数据底座并非停留在设计层面，而是以真实产业数据完成了治理实践。围绕公开名录、官网、招聘页、行业资料与人工补录等多源数据，完成了企业名称抽取、OCR 错误核验、非企业实体过滤、机构库去重比对、业务分类、字段补全与快照变更检测的全流程治理，形成可复用的企业分类与机构库治理组件。</w:t>
      </w:r>
    </w:p>
    <w:p w14:paraId="20429EC9">
      <w:pPr>
        <w:spacing w:after="80" w:line="312" w:lineRule="auto"/>
        <w:ind w:firstLine="440"/>
      </w:pPr>
      <w:r>
        <w:rPr>
          <w:rFonts w:ascii="Times New Roman" w:hAnsi="Times New Roman" w:eastAsia="宋体"/>
          <w:b w:val="0"/>
          <w:sz w:val="22"/>
        </w:rPr>
        <w:t>增量治理流程为：来源提取 → 名称与字段清洗 → 实体类型识别 → 机构主数据比对去重 → 业务相关性初筛 → 可靠来源核验 → 技术与产业标签映射 → 人工复核 → 正式入库 → 持续变更监测。以两场具身智能大会名单为例的实战验证：会展图片核验 3 张图片、226 个 OCR 候选名称；在库比对后对 150 家不在库企业完成分类（38 家相关、111 家非相关、1 家信息不足）；对 30 条拟新增机构完成复核；对 49 家机器人企业二次核查发现 23 家存在字段错误、10 家待补——证明了动态字段与主体信息需要周期性复核。</w:t>
      </w:r>
    </w:p>
    <w:p w14:paraId="38CF7057">
      <w:pPr>
        <w:spacing w:after="80" w:line="312" w:lineRule="auto"/>
        <w:ind w:firstLine="440"/>
      </w:pPr>
      <w:r>
        <w:rPr>
          <w:rFonts w:ascii="Times New Roman" w:hAnsi="Times New Roman" w:eastAsia="宋体"/>
          <w:b w:val="0"/>
          <w:sz w:val="22"/>
        </w:rPr>
        <w:t>数据治理沉淀为 MySQL 8 融合业务数据库，共 120+ 张表，按逻辑职责分为五层：</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55992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Borders>
              <w:bottom w:val="single" w:color="000000" w:sz="6" w:space="0"/>
            </w:tcBorders>
          </w:tcPr>
          <w:p w14:paraId="5509467E">
            <w:pPr>
              <w:jc w:val="center"/>
            </w:pPr>
            <w:r>
              <w:rPr>
                <w:rFonts w:ascii="Times New Roman" w:hAnsi="Times New Roman" w:eastAsia="宋体"/>
                <w:b/>
                <w:sz w:val="21"/>
              </w:rPr>
              <w:t>分层</w:t>
            </w:r>
          </w:p>
        </w:tc>
        <w:tc>
          <w:tcPr>
            <w:tcW w:w="2882" w:type="dxa"/>
            <w:tcBorders>
              <w:bottom w:val="single" w:color="000000" w:sz="6" w:space="0"/>
            </w:tcBorders>
          </w:tcPr>
          <w:p w14:paraId="434D044F">
            <w:pPr>
              <w:jc w:val="center"/>
            </w:pPr>
            <w:r>
              <w:rPr>
                <w:rFonts w:ascii="Times New Roman" w:hAnsi="Times New Roman" w:eastAsia="宋体"/>
                <w:b/>
                <w:sz w:val="21"/>
              </w:rPr>
              <w:t>表数量</w:t>
            </w:r>
          </w:p>
        </w:tc>
        <w:tc>
          <w:tcPr>
            <w:tcW w:w="2882" w:type="dxa"/>
            <w:tcBorders>
              <w:bottom w:val="single" w:color="000000" w:sz="6" w:space="0"/>
            </w:tcBorders>
          </w:tcPr>
          <w:p w14:paraId="7F7E3278">
            <w:pPr>
              <w:jc w:val="center"/>
            </w:pPr>
            <w:r>
              <w:rPr>
                <w:rFonts w:ascii="Times New Roman" w:hAnsi="Times New Roman" w:eastAsia="宋体"/>
                <w:b/>
                <w:sz w:val="21"/>
              </w:rPr>
              <w:t>职责</w:t>
            </w:r>
          </w:p>
        </w:tc>
      </w:tr>
      <w:tr w14:paraId="2F978E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48F83835">
            <w:pPr>
              <w:jc w:val="center"/>
            </w:pPr>
            <w:r>
              <w:rPr>
                <w:rFonts w:ascii="Times New Roman" w:hAnsi="Times New Roman" w:eastAsia="宋体"/>
                <w:b w:val="0"/>
                <w:sz w:val="21"/>
              </w:rPr>
              <w:t>md 主数据</w:t>
            </w:r>
          </w:p>
        </w:tc>
        <w:tc>
          <w:tcPr>
            <w:tcW w:w="2882" w:type="dxa"/>
          </w:tcPr>
          <w:p w14:paraId="1A742493">
            <w:pPr>
              <w:jc w:val="center"/>
            </w:pPr>
            <w:r>
              <w:rPr>
                <w:rFonts w:ascii="Times New Roman" w:hAnsi="Times New Roman" w:eastAsia="宋体"/>
                <w:b w:val="0"/>
                <w:sz w:val="21"/>
              </w:rPr>
              <w:t>21</w:t>
            </w:r>
          </w:p>
        </w:tc>
        <w:tc>
          <w:tcPr>
            <w:tcW w:w="2882" w:type="dxa"/>
          </w:tcPr>
          <w:p w14:paraId="104FDDEB">
            <w:pPr>
              <w:jc w:val="center"/>
            </w:pPr>
            <w:r>
              <w:rPr>
                <w:rFonts w:ascii="Times New Roman" w:hAnsi="Times New Roman" w:eastAsia="宋体"/>
                <w:b w:val="0"/>
                <w:sz w:val="21"/>
              </w:rPr>
              <w:t>稳定实体、分类体系、岗位/技能/能力/技术/术语</w:t>
            </w:r>
          </w:p>
        </w:tc>
      </w:tr>
      <w:tr w14:paraId="1A602D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219B0DE1">
            <w:pPr>
              <w:jc w:val="center"/>
            </w:pPr>
            <w:r>
              <w:rPr>
                <w:rFonts w:ascii="Times New Roman" w:hAnsi="Times New Roman" w:eastAsia="宋体"/>
                <w:b w:val="0"/>
                <w:sz w:val="21"/>
              </w:rPr>
              <w:t>raw 原始数据</w:t>
            </w:r>
          </w:p>
        </w:tc>
        <w:tc>
          <w:tcPr>
            <w:tcW w:w="2882" w:type="dxa"/>
          </w:tcPr>
          <w:p w14:paraId="42506FF9">
            <w:pPr>
              <w:jc w:val="center"/>
            </w:pPr>
            <w:r>
              <w:rPr>
                <w:rFonts w:ascii="Times New Roman" w:hAnsi="Times New Roman" w:eastAsia="宋体"/>
                <w:b w:val="0"/>
                <w:sz w:val="21"/>
              </w:rPr>
              <w:t>2</w:t>
            </w:r>
          </w:p>
        </w:tc>
        <w:tc>
          <w:tcPr>
            <w:tcW w:w="2882" w:type="dxa"/>
          </w:tcPr>
          <w:p w14:paraId="50DFB9ED">
            <w:pPr>
              <w:jc w:val="center"/>
            </w:pPr>
            <w:r>
              <w:rPr>
                <w:rFonts w:ascii="Times New Roman" w:hAnsi="Times New Roman" w:eastAsia="宋体"/>
                <w:b w:val="0"/>
                <w:sz w:val="21"/>
              </w:rPr>
              <w:t>多源文档稳定标识及不可覆盖的历史版本</w:t>
            </w:r>
          </w:p>
        </w:tc>
      </w:tr>
      <w:tr w14:paraId="1669FD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1AB4D054">
            <w:pPr>
              <w:jc w:val="center"/>
            </w:pPr>
            <w:r>
              <w:rPr>
                <w:rFonts w:ascii="Times New Roman" w:hAnsi="Times New Roman" w:eastAsia="宋体"/>
                <w:b w:val="0"/>
                <w:sz w:val="21"/>
              </w:rPr>
              <w:t>biz 业务与运行</w:t>
            </w:r>
          </w:p>
        </w:tc>
        <w:tc>
          <w:tcPr>
            <w:tcW w:w="2882" w:type="dxa"/>
          </w:tcPr>
          <w:p w14:paraId="6424AF23">
            <w:pPr>
              <w:jc w:val="center"/>
            </w:pPr>
            <w:r>
              <w:rPr>
                <w:rFonts w:ascii="Times New Roman" w:hAnsi="Times New Roman" w:eastAsia="宋体"/>
                <w:b w:val="0"/>
                <w:sz w:val="21"/>
              </w:rPr>
              <w:t>49</w:t>
            </w:r>
          </w:p>
        </w:tc>
        <w:tc>
          <w:tcPr>
            <w:tcW w:w="2882" w:type="dxa"/>
          </w:tcPr>
          <w:p w14:paraId="2275C0B0">
            <w:pPr>
              <w:jc w:val="center"/>
            </w:pPr>
            <w:r>
              <w:rPr>
                <w:rFonts w:ascii="Times New Roman" w:hAnsi="Times New Roman" w:eastAsia="宋体"/>
                <w:b w:val="0"/>
                <w:sz w:val="21"/>
              </w:rPr>
              <w:t>企业、岗位、人才、匹配、演化、审核、评测运行</w:t>
            </w:r>
          </w:p>
        </w:tc>
      </w:tr>
      <w:tr w14:paraId="4257E8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339C9860">
            <w:pPr>
              <w:jc w:val="center"/>
            </w:pPr>
            <w:r>
              <w:rPr>
                <w:rFonts w:ascii="Times New Roman" w:hAnsi="Times New Roman" w:eastAsia="宋体"/>
                <w:b w:val="0"/>
                <w:sz w:val="21"/>
              </w:rPr>
              <w:t>rel 关系</w:t>
            </w:r>
          </w:p>
        </w:tc>
        <w:tc>
          <w:tcPr>
            <w:tcW w:w="2882" w:type="dxa"/>
          </w:tcPr>
          <w:p w14:paraId="491CDDAF">
            <w:pPr>
              <w:jc w:val="center"/>
            </w:pPr>
            <w:r>
              <w:rPr>
                <w:rFonts w:ascii="Times New Roman" w:hAnsi="Times New Roman" w:eastAsia="宋体"/>
                <w:b w:val="0"/>
                <w:sz w:val="21"/>
              </w:rPr>
              <w:t>46</w:t>
            </w:r>
          </w:p>
        </w:tc>
        <w:tc>
          <w:tcPr>
            <w:tcW w:w="2882" w:type="dxa"/>
          </w:tcPr>
          <w:p w14:paraId="621AD915">
            <w:pPr>
              <w:jc w:val="center"/>
            </w:pPr>
            <w:r>
              <w:rPr>
                <w:rFonts w:ascii="Times New Roman" w:hAnsi="Times New Roman" w:eastAsia="宋体"/>
                <w:b w:val="0"/>
                <w:sz w:val="21"/>
              </w:rPr>
              <w:t>机构/技术/岗位/技能/人才/证据的多对多关系</w:t>
            </w:r>
          </w:p>
        </w:tc>
      </w:tr>
      <w:tr w14:paraId="3295A9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18FCE990">
            <w:pPr>
              <w:jc w:val="center"/>
            </w:pPr>
            <w:r>
              <w:rPr>
                <w:rFonts w:ascii="Times New Roman" w:hAnsi="Times New Roman" w:eastAsia="宋体"/>
                <w:b w:val="0"/>
                <w:sz w:val="21"/>
              </w:rPr>
              <w:t>app 账号权限</w:t>
            </w:r>
          </w:p>
        </w:tc>
        <w:tc>
          <w:tcPr>
            <w:tcW w:w="2882" w:type="dxa"/>
          </w:tcPr>
          <w:p w14:paraId="15A47C1B">
            <w:pPr>
              <w:jc w:val="center"/>
            </w:pPr>
            <w:r>
              <w:rPr>
                <w:rFonts w:ascii="Times New Roman" w:hAnsi="Times New Roman" w:eastAsia="宋体"/>
                <w:b w:val="0"/>
                <w:sz w:val="21"/>
              </w:rPr>
              <w:t>2</w:t>
            </w:r>
          </w:p>
        </w:tc>
        <w:tc>
          <w:tcPr>
            <w:tcW w:w="2882" w:type="dxa"/>
          </w:tcPr>
          <w:p w14:paraId="3921BB11">
            <w:pPr>
              <w:jc w:val="center"/>
            </w:pPr>
            <w:r>
              <w:rPr>
                <w:rFonts w:ascii="Times New Roman" w:hAnsi="Times New Roman" w:eastAsia="宋体"/>
                <w:b w:val="0"/>
                <w:sz w:val="21"/>
              </w:rPr>
              <w:t>用户与角色主体、组织成员授权</w:t>
            </w:r>
          </w:p>
        </w:tc>
      </w:tr>
    </w:tbl>
    <w:p w14:paraId="1A4AE8A8">
      <w:pPr>
        <w:spacing w:after="40"/>
      </w:pPr>
    </w:p>
    <w:p w14:paraId="1DD7EE84">
      <w:pPr>
        <w:spacing w:after="80" w:line="312" w:lineRule="auto"/>
        <w:ind w:firstLine="440"/>
      </w:pPr>
      <w:r>
        <w:rPr>
          <w:rFonts w:ascii="Times New Roman" w:hAnsi="Times New Roman" w:eastAsia="宋体"/>
          <w:b w:val="0"/>
          <w:sz w:val="22"/>
        </w:rPr>
        <w:t>数据库设计遵循八项原则：原始数据不可变、主数据稳定、版本而非覆盖、哈希与幂等、事实与证据分离、候选与发布分离、逻辑失效优于物理删除、运行可复现。据此保障数据从采集到应用的全链路可追溯、可复现。</w:t>
      </w:r>
    </w:p>
    <w:p w14:paraId="2C4E87D2">
      <w:pPr>
        <w:spacing w:before="120" w:after="120"/>
      </w:pPr>
      <w:r>
        <w:rPr>
          <w:rFonts w:ascii="Arial" w:hAnsi="Arial" w:eastAsia="黑体"/>
          <w:b/>
          <w:sz w:val="28"/>
        </w:rPr>
        <w:t>3.6 数据质量评估指标</w:t>
      </w:r>
    </w:p>
    <w:p w14:paraId="224CAE7A">
      <w:pPr>
        <w:spacing w:after="80" w:line="312" w:lineRule="auto"/>
        <w:ind w:firstLine="440"/>
      </w:pPr>
      <w:r>
        <w:rPr>
          <w:rFonts w:ascii="Times New Roman" w:hAnsi="Times New Roman" w:eastAsia="宋体"/>
          <w:b w:val="0"/>
          <w:sz w:val="22"/>
        </w:rPr>
        <w:t>系统设定数据质量基线，每日自动计算并告警：</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2"/>
        <w:gridCol w:w="2882"/>
        <w:gridCol w:w="2882"/>
      </w:tblGrid>
      <w:tr w14:paraId="4CDFDC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Borders>
              <w:bottom w:val="single" w:color="000000" w:sz="6" w:space="0"/>
            </w:tcBorders>
          </w:tcPr>
          <w:p w14:paraId="21C36A72">
            <w:pPr>
              <w:jc w:val="center"/>
            </w:pPr>
            <w:r>
              <w:rPr>
                <w:rFonts w:ascii="Times New Roman" w:hAnsi="Times New Roman" w:eastAsia="宋体"/>
                <w:b/>
                <w:sz w:val="21"/>
              </w:rPr>
              <w:t>指标</w:t>
            </w:r>
          </w:p>
        </w:tc>
        <w:tc>
          <w:tcPr>
            <w:tcW w:w="2882" w:type="dxa"/>
            <w:tcBorders>
              <w:bottom w:val="single" w:color="000000" w:sz="6" w:space="0"/>
            </w:tcBorders>
          </w:tcPr>
          <w:p w14:paraId="6CFD10E2">
            <w:pPr>
              <w:jc w:val="center"/>
            </w:pPr>
            <w:r>
              <w:rPr>
                <w:rFonts w:ascii="Times New Roman" w:hAnsi="Times New Roman" w:eastAsia="宋体"/>
                <w:b/>
                <w:sz w:val="21"/>
              </w:rPr>
              <w:t>目标值</w:t>
            </w:r>
          </w:p>
        </w:tc>
        <w:tc>
          <w:tcPr>
            <w:tcW w:w="2882" w:type="dxa"/>
            <w:tcBorders>
              <w:bottom w:val="single" w:color="000000" w:sz="6" w:space="0"/>
            </w:tcBorders>
          </w:tcPr>
          <w:p w14:paraId="0A95B438">
            <w:pPr>
              <w:jc w:val="center"/>
            </w:pPr>
            <w:r>
              <w:rPr>
                <w:rFonts w:ascii="Times New Roman" w:hAnsi="Times New Roman" w:eastAsia="宋体"/>
                <w:b/>
                <w:sz w:val="21"/>
              </w:rPr>
              <w:t>说明</w:t>
            </w:r>
          </w:p>
        </w:tc>
      </w:tr>
      <w:tr w14:paraId="16B766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7A8F75B0">
            <w:pPr>
              <w:jc w:val="center"/>
            </w:pPr>
            <w:r>
              <w:rPr>
                <w:rFonts w:ascii="Times New Roman" w:hAnsi="Times New Roman" w:eastAsia="宋体"/>
                <w:b w:val="0"/>
                <w:sz w:val="21"/>
              </w:rPr>
              <w:t>完整率</w:t>
            </w:r>
          </w:p>
        </w:tc>
        <w:tc>
          <w:tcPr>
            <w:tcW w:w="2882" w:type="dxa"/>
          </w:tcPr>
          <w:p w14:paraId="6A2F5C54">
            <w:pPr>
              <w:jc w:val="center"/>
            </w:pPr>
            <w:r>
              <w:rPr>
                <w:rFonts w:ascii="Times New Roman" w:hAnsi="Times New Roman" w:eastAsia="宋体"/>
                <w:b w:val="0"/>
                <w:sz w:val="21"/>
              </w:rPr>
              <w:t>≥ 95%</w:t>
            </w:r>
          </w:p>
        </w:tc>
        <w:tc>
          <w:tcPr>
            <w:tcW w:w="2882" w:type="dxa"/>
          </w:tcPr>
          <w:p w14:paraId="34009893">
            <w:pPr>
              <w:jc w:val="center"/>
            </w:pPr>
            <w:r>
              <w:rPr>
                <w:rFonts w:ascii="Times New Roman" w:hAnsi="Times New Roman" w:eastAsia="宋体"/>
                <w:b w:val="0"/>
                <w:sz w:val="21"/>
              </w:rPr>
              <w:t>必填字段非空比例</w:t>
            </w:r>
          </w:p>
        </w:tc>
      </w:tr>
      <w:tr w14:paraId="4A131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3A5CF36C">
            <w:pPr>
              <w:jc w:val="center"/>
            </w:pPr>
            <w:r>
              <w:rPr>
                <w:rFonts w:ascii="Times New Roman" w:hAnsi="Times New Roman" w:eastAsia="宋体"/>
                <w:b w:val="0"/>
                <w:sz w:val="21"/>
              </w:rPr>
              <w:t>一致率</w:t>
            </w:r>
          </w:p>
        </w:tc>
        <w:tc>
          <w:tcPr>
            <w:tcW w:w="2882" w:type="dxa"/>
          </w:tcPr>
          <w:p w14:paraId="3C3FD907">
            <w:pPr>
              <w:jc w:val="center"/>
            </w:pPr>
            <w:r>
              <w:rPr>
                <w:rFonts w:ascii="Times New Roman" w:hAnsi="Times New Roman" w:eastAsia="宋体"/>
                <w:b w:val="0"/>
                <w:sz w:val="21"/>
              </w:rPr>
              <w:t>≥ 85%</w:t>
            </w:r>
          </w:p>
        </w:tc>
        <w:tc>
          <w:tcPr>
            <w:tcW w:w="2882" w:type="dxa"/>
          </w:tcPr>
          <w:p w14:paraId="3A4FA9D9">
            <w:pPr>
              <w:jc w:val="center"/>
            </w:pPr>
            <w:r>
              <w:rPr>
                <w:rFonts w:ascii="Times New Roman" w:hAnsi="Times New Roman" w:eastAsia="宋体"/>
                <w:b w:val="0"/>
                <w:sz w:val="21"/>
              </w:rPr>
              <w:t>三方交叉验证通过率</w:t>
            </w:r>
          </w:p>
        </w:tc>
      </w:tr>
      <w:tr w14:paraId="58EE1A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2299DE3C">
            <w:pPr>
              <w:jc w:val="center"/>
            </w:pPr>
            <w:r>
              <w:rPr>
                <w:rFonts w:ascii="Times New Roman" w:hAnsi="Times New Roman" w:eastAsia="宋体"/>
                <w:b w:val="0"/>
                <w:sz w:val="21"/>
              </w:rPr>
              <w:t>去重率</w:t>
            </w:r>
          </w:p>
        </w:tc>
        <w:tc>
          <w:tcPr>
            <w:tcW w:w="2882" w:type="dxa"/>
          </w:tcPr>
          <w:p w14:paraId="6ED07F7E">
            <w:pPr>
              <w:jc w:val="center"/>
            </w:pPr>
            <w:r>
              <w:rPr>
                <w:rFonts w:ascii="Times New Roman" w:hAnsi="Times New Roman" w:eastAsia="宋体"/>
                <w:b w:val="0"/>
                <w:sz w:val="21"/>
              </w:rPr>
              <w:t>≥ 98%</w:t>
            </w:r>
          </w:p>
        </w:tc>
        <w:tc>
          <w:tcPr>
            <w:tcW w:w="2882" w:type="dxa"/>
          </w:tcPr>
          <w:p w14:paraId="525E1960">
            <w:pPr>
              <w:jc w:val="center"/>
            </w:pPr>
            <w:r>
              <w:rPr>
                <w:rFonts w:ascii="Times New Roman" w:hAnsi="Times New Roman" w:eastAsia="宋体"/>
                <w:b w:val="0"/>
                <w:sz w:val="21"/>
              </w:rPr>
              <w:t>重复数据识别并合并比例</w:t>
            </w:r>
          </w:p>
        </w:tc>
      </w:tr>
      <w:tr w14:paraId="1A1E5E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56204304">
            <w:pPr>
              <w:jc w:val="center"/>
            </w:pPr>
            <w:r>
              <w:rPr>
                <w:rFonts w:ascii="Times New Roman" w:hAnsi="Times New Roman" w:eastAsia="宋体"/>
                <w:b w:val="0"/>
                <w:sz w:val="21"/>
              </w:rPr>
              <w:t>时效率</w:t>
            </w:r>
          </w:p>
        </w:tc>
        <w:tc>
          <w:tcPr>
            <w:tcW w:w="2882" w:type="dxa"/>
          </w:tcPr>
          <w:p w14:paraId="7AF5E042">
            <w:pPr>
              <w:jc w:val="center"/>
            </w:pPr>
            <w:r>
              <w:rPr>
                <w:rFonts w:ascii="Times New Roman" w:hAnsi="Times New Roman" w:eastAsia="宋体"/>
                <w:b w:val="0"/>
                <w:sz w:val="21"/>
              </w:rPr>
              <w:t>≥ 90%</w:t>
            </w:r>
          </w:p>
        </w:tc>
        <w:tc>
          <w:tcPr>
            <w:tcW w:w="2882" w:type="dxa"/>
          </w:tcPr>
          <w:p w14:paraId="4496A657">
            <w:pPr>
              <w:jc w:val="center"/>
            </w:pPr>
            <w:r>
              <w:rPr>
                <w:rFonts w:ascii="Times New Roman" w:hAnsi="Times New Roman" w:eastAsia="宋体"/>
                <w:b w:val="0"/>
                <w:sz w:val="21"/>
              </w:rPr>
              <w:t>数据更新延迟在 T+1 以内的比例</w:t>
            </w:r>
          </w:p>
        </w:tc>
      </w:tr>
      <w:tr w14:paraId="3E8493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82" w:type="dxa"/>
          </w:tcPr>
          <w:p w14:paraId="78D35C47">
            <w:pPr>
              <w:jc w:val="center"/>
            </w:pPr>
            <w:r>
              <w:rPr>
                <w:rFonts w:ascii="Times New Roman" w:hAnsi="Times New Roman" w:eastAsia="宋体"/>
                <w:b w:val="0"/>
                <w:sz w:val="21"/>
              </w:rPr>
              <w:t>准确率</w:t>
            </w:r>
          </w:p>
        </w:tc>
        <w:tc>
          <w:tcPr>
            <w:tcW w:w="2882" w:type="dxa"/>
          </w:tcPr>
          <w:p w14:paraId="0880AD09">
            <w:pPr>
              <w:jc w:val="center"/>
            </w:pPr>
            <w:r>
              <w:rPr>
                <w:rFonts w:ascii="Times New Roman" w:hAnsi="Times New Roman" w:eastAsia="宋体"/>
                <w:b w:val="0"/>
                <w:sz w:val="21"/>
              </w:rPr>
              <w:t>≥ 92%</w:t>
            </w:r>
          </w:p>
        </w:tc>
        <w:tc>
          <w:tcPr>
            <w:tcW w:w="2882" w:type="dxa"/>
          </w:tcPr>
          <w:p w14:paraId="260A3954">
            <w:pPr>
              <w:jc w:val="center"/>
            </w:pPr>
            <w:r>
              <w:rPr>
                <w:rFonts w:ascii="Times New Roman" w:hAnsi="Times New Roman" w:eastAsia="宋体"/>
                <w:b w:val="0"/>
                <w:sz w:val="21"/>
              </w:rPr>
              <w:t>人工抽检校验准确率（每月抽检 500 条）</w:t>
            </w:r>
          </w:p>
        </w:tc>
      </w:tr>
    </w:tbl>
    <w:p w14:paraId="433BB689">
      <w:pPr>
        <w:spacing w:after="40"/>
      </w:pP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963B2C"/>
    <w:rsid w:val="793A00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5446</Words>
  <Characters>6416</Characters>
  <Lines>0</Lines>
  <Paragraphs>0</Paragraphs>
  <TotalTime>210</TotalTime>
  <ScaleCrop>false</ScaleCrop>
  <LinksUpToDate>false</LinksUpToDate>
  <CharactersWithSpaces>6742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白马弄清堂</cp:lastModifiedBy>
  <dcterms:modified xsi:type="dcterms:W3CDTF">2026-08-22T14:48:56Z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eyJoZGlkIjoiYmEyZDMxNWRkYmY5MjE3NjUxYTk3ZDA1NDUyNmVkYWEiLCJ1c2VySWQiOiIxMzU4NzY2NDUyIn0=</vt:lpwstr>
  </property>
  <property fmtid="{D5CDD505-2E9C-101B-9397-08002B2CF9AE}" pid="3" name="KSOProductBuildVer">
    <vt:lpwstr>2052-12.1.0.23125</vt:lpwstr>
  </property>
  <property fmtid="{D5CDD505-2E9C-101B-9397-08002B2CF9AE}" pid="4" name="ICV">
    <vt:lpwstr>5CD4B10CD88740E491F801A737924B65_12</vt:lpwstr>
  </property>
</Properties>
</file>