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简历解析、人岗匹配、企业数据治理、动态数据管理与数据库设计协作</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解释、可复现的业务链路。</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工程落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w:t>
      </w:r>
    </w:p>
    <w:p>
      <w:pPr>
        <w:pStyle w:val="Heading2"/>
      </w:pPr>
      <w:r>
        <w:t>1.1 对应任务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大会企业名单清洗与核验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226个OCR候选名称及核验报告</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名称修正、非企业过滤和来源核查</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不在库企业分类与复核</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150家分类、30条拟新增记录复核</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关键词只做初筛，不确定项保留人工复核</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机构数据动态管理Skill</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已有脚本与规则</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企业分类skill包v2</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支持快照差异和新鲜度报告，数据库自动写入待打通</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数据库表设计协作</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已有模型与迁移</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ingestion、data_center、job、talent等模块</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采用原始层、主数据层、业务层和关系层</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二、问题定义与设计原则</w:t>
      </w:r>
    </w:p>
    <w:p>
      <w:pPr>
        <w:pStyle w:val="Heading2"/>
      </w:pPr>
      <w:r>
        <w:t>2.1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2.2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2.3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三、端到端算法流程及来源说明</w:t>
      </w:r>
    </w:p>
    <w:p>
      <w:pPr>
        <w:pStyle w:val="Heading2"/>
      </w:pPr>
      <w:r>
        <w:t>3.1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3.2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3.3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四、简历解析与大模型证据抽取</w:t>
      </w:r>
    </w:p>
    <w:p>
      <w:pPr>
        <w:pStyle w:val="Heading2"/>
      </w:pPr>
      <w:r>
        <w:t>4.1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4.2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4.4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五、证据状态与人才画像</w:t>
      </w:r>
    </w:p>
    <w:p>
      <w:pPr>
        <w:pStyle w:val="Heading2"/>
      </w:pPr>
      <w:r>
        <w:t>5.1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5.2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5.3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六、岗位要求表达与确定性评分</w:t>
      </w:r>
    </w:p>
    <w:p>
      <w:pPr>
        <w:pStyle w:val="Heading2"/>
      </w:pPr>
      <w:r>
        <w:t>6.1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6.2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6.3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6.4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6.5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七、主动证据获取与停止机制</w:t>
      </w:r>
    </w:p>
    <w:p>
      <w:pPr>
        <w:pStyle w:val="Heading2"/>
      </w:pPr>
      <w:r>
        <w:t>7.1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7.2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7.4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最小安全接受证据集”：在最多12个候选项中搜索不超过3项的组合，找出可能让下界跨过阈值的最小集合。该结果只表示反事实的取证目标，不会在证据尚未核验时提前加分。</w:t>
      </w:r>
    </w:p>
    <w:p>
      <w:pPr>
        <w:pStyle w:val="Heading1"/>
      </w:pPr>
      <w:r>
        <w:t>八、差距诊断、学习路径与解释隔离</w:t>
      </w:r>
    </w:p>
    <w:p>
      <w:pPr>
        <w:pStyle w:val="Heading2"/>
      </w:pPr>
      <w:r>
        <w:t>8.1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8.2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8.3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8.4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九、系统实现与接口流程</w:t>
      </w:r>
    </w:p>
    <w:p>
      <w:pPr>
        <w:pStyle w:val="Heading2"/>
      </w:pPr>
      <w:r>
        <w:t>9.1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9.2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9.3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9.4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十、已完成测试与当前代码状态</w:t>
      </w:r>
    </w:p>
    <w:p>
      <w:pPr>
        <w:pStyle w:val="Heading2"/>
      </w:pPr>
      <w:r>
        <w:t>10.1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10.2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十一、正式实验方案与数据要求</w:t>
      </w:r>
    </w:p>
    <w:p>
      <w:pPr>
        <w:pStyle w:val="Heading2"/>
      </w:pPr>
      <w:r>
        <w:t>11.1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11.2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11.3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11.4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11.5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十二、方法来源、项目创新与宣称边界</w:t>
      </w:r>
    </w:p>
    <w:p>
      <w:pPr>
        <w:pStyle w:val="Heading2"/>
      </w:pPr>
      <w:r>
        <w:t>12.1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12.2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12.3 可以成立的创新点</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十三、企业数据清洗、分类与机构库整合</w:t>
      </w:r>
    </w:p>
    <w:p>
      <w:pPr>
        <w:pStyle w:val="Heading2"/>
      </w:pPr>
      <w:r>
        <w:t>13.1 工作背景与数据来源</w:t>
      </w:r>
    </w:p>
    <w:p>
      <w:pPr>
        <w:pStyle w:val="BodyText"/>
        <w:ind w:firstLine="420"/>
      </w:pPr>
      <w:r>
        <w:t>除人岗匹配算法外，暑期还完成了两场具身智能相关大会企业资料的整理工作。原始材料包含会展图片、官方或人工整理的参展单位名单、现有机构库公司名单以及后续联网核查结果。现有工作文件记录了其中3张会展图片的226个OCR候选名称、150家不在库企业的具身智能业务判定、30家拟新增机构记录复核，以及49家机器人企业的第二轮数据核查。该工作属于数据管理和机构主数据治理，可作为原P4任务清单之外的补充贡献写入第三章数据层或全文末尾的暑期补充工作。</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数据口径</w:t>
            </w:r>
          </w:p>
          <w:p>
            <w:pPr>
              <w:spacing w:after="0"/>
            </w:pPr>
            <w:r>
              <w:t>“两场大会”是数据采集场景；“3张图片、226个名称、150家业务分类、30家拟新增记录、49家二次核查”是当前工作文件能够核查的处理批次。不同数字对应不同处理阶段，不能相加成企业总数，也不能直接作为机构库最终新增数量。</w:t>
            </w:r>
          </w:p>
        </w:tc>
      </w:tr>
    </w:tbl>
    <w:p>
      <w:pPr>
        <w:spacing w:after="0"/>
      </w:pPr>
    </w:p>
    <w:p>
      <w:pPr>
        <w:pStyle w:val="Heading2"/>
      </w:pPr>
      <w:r>
        <w:t>13.2 大会企业名单处理流程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大会图片/官方名单 → OCR或文本提取 → 企业名称清洗 → 实体类型过滤</w:t>
            </w:r>
            <w:r>
              <w:br/>
            </w:r>
            <w:r>
              <w:rPr>
                <w:rFonts w:ascii="Consolas" w:hAnsi="Consolas" w:eastAsia="等线"/>
                <w:sz w:val="17"/>
              </w:rPr>
              <w:t>→ 与现有机构库比对 → 具身智能初筛 → 对无信号企业进行业务核查</w:t>
            </w:r>
            <w:r>
              <w:br/>
            </w:r>
            <w:r>
              <w:rPr>
                <w:rFonts w:ascii="Consolas" w:hAnsi="Consolas" w:eastAsia="等线"/>
                <w:sz w:val="17"/>
              </w:rPr>
              <w:t>→ 映射产业链与技术分类 → 形成拟新增机构记录 → 人工复核 → 输出可入库文件</w:t>
            </w:r>
          </w:p>
        </w:tc>
      </w:tr>
    </w:tbl>
    <w:p>
      <w:pPr>
        <w:spacing w:after="0"/>
      </w:pPr>
    </w:p>
    <w:p>
      <w:pPr>
        <w:pStyle w:val="BodyText"/>
        <w:ind w:left="360" w:hanging="360"/>
      </w:pPr>
      <w:r>
        <w:t>1.　从大会图片、文本或表格中提取企业及机构名称，并保留原始序号、展位号或图片来源。</w:t>
      </w:r>
    </w:p>
    <w:p>
      <w:pPr>
        <w:pStyle w:val="BodyText"/>
        <w:ind w:left="360" w:hanging="360"/>
      </w:pPr>
      <w:r>
        <w:t>2.　清除展位号和无意义符号，统一中英文括号、空格、大小写及公司后缀。</w:t>
      </w:r>
    </w:p>
    <w:p>
      <w:pPr>
        <w:pStyle w:val="BodyText"/>
        <w:ind w:left="360" w:hanging="360"/>
      </w:pPr>
      <w:r>
        <w:t>3.　识别团队、项目组、协会、园区等非企业实体，避免把活动单位全部当作工商企业。</w:t>
      </w:r>
    </w:p>
    <w:p>
      <w:pPr>
        <w:pStyle w:val="BodyText"/>
        <w:ind w:left="360" w:hanging="360"/>
      </w:pPr>
      <w:r>
        <w:t>4.　将规范名称与现有机构库进行精确匹配、核心名称匹配和受限的双向包含匹配。</w:t>
      </w:r>
    </w:p>
    <w:p>
      <w:pPr>
        <w:pStyle w:val="BodyText"/>
        <w:ind w:left="360" w:hanging="360"/>
      </w:pPr>
      <w:r>
        <w:t>5.　对不在库主体进行具身智能相关性初筛，并把不确定项送入业务核查。</w:t>
      </w:r>
    </w:p>
    <w:p>
      <w:pPr>
        <w:pStyle w:val="BodyText"/>
        <w:ind w:left="360" w:hanging="360"/>
      </w:pPr>
      <w:r>
        <w:t>6.　根据核查结果补充机构类型、产业链、细分领域、技术标注、产品、所在地、官网和简介。</w:t>
      </w:r>
    </w:p>
    <w:p>
      <w:pPr>
        <w:pStyle w:val="BodyText"/>
        <w:ind w:left="360" w:hanging="360"/>
      </w:pPr>
      <w:r>
        <w:t>7.　保留名称修正建议、核查证据、字段问题和人工复核结论，形成可入库结果。</w:t>
      </w:r>
    </w:p>
    <w:p>
      <w:pPr>
        <w:pStyle w:val="Heading2"/>
      </w:pPr>
      <w:r>
        <w:t>13.3 已完成的数据清洗工作</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清洗问题</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处理方法</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典型输出</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OCR形近字、漏字和多字</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以官方名录、官网或工商主体名称复核，保留原始值和修正值</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名称修正建议、核查证据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展位号和序号混入名称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使用格式规则去除T01、C12等前缀</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规范企业名称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公司后缀不一致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匹配时规范有限公司、股份有限公司等后缀，主表仍保留正式全称</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核心名匹配结果</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同名、别名和更名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建立规范名称与别名关系，禁止只按短名称强制合并</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机构别名、待人工确认</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非企业实体混入</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区分企业、高校、科研院所、协会、园区、团队和项目组</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机构类型或剔除原因</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字段格式不统一</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统一地区、日期、分类编码和空值表示</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标准化字段表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重复记录</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先名称去重，再与机构库主数据匹配</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是否在库、匹配到的机构名称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信息不足</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标记UNKNOWN或待复核，不以模型猜测补全</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人工复核队列</w:t>
            </w:r>
          </w:p>
        </w:tc>
      </w:tr>
    </w:tbl>
    <w:p>
      <w:pPr>
        <w:spacing w:after="0"/>
      </w:pPr>
    </w:p>
    <w:p>
      <w:pPr>
        <w:pStyle w:val="Heading2"/>
      </w:pPr>
      <w:r>
        <w:t>13.4 现有处理结果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处理批次</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现有文件记录</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可以说明的结论</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不可直接宣称</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会展图片名称核验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3张图片、226个OCR候选名称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完成名称真实性、OCR错误和实体类型分组</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不能把OCR名称直接作为正式企业主键</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150家：38家相关、111家非相关、1家信息不足</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完成名称初筛与业务核查后的分类整理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不能把38家全部视为已正式入库</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拟新增机构复核</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30条：27条YES、3条UNKNOWN</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完成字段问题、补全建议和复核结论整理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不能把UNKNOWN强制归为具身智能企业</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机器人企业二次核查</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49家：16条基本正确、23条存在错误、10条待补</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证明企业动态字段和主体信息需要周期复核</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不能把内部核查统计当作分类算法准确率</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证据保存要求</w:t>
            </w:r>
          </w:p>
          <w:p>
            <w:pPr>
              <w:spacing w:after="0"/>
            </w:pPr>
            <w:r>
              <w:t>以上数字来自现有工作文件的内部统计。正式比赛材料应把原始名单、清洗前后对照、联网证据链接、核查日期和最终入库文件一并归档；仅有总结报告时，应写“内部核查结果”，不写成第三方权威统计。</w:t>
            </w:r>
          </w:p>
        </w:tc>
      </w:tr>
    </w:tbl>
    <w:p>
      <w:pPr>
        <w:spacing w:after="0"/>
      </w:pPr>
    </w:p>
    <w:p>
      <w:pPr>
        <w:pStyle w:val="Heading2"/>
      </w:pPr>
      <w:r>
        <w:t>13.5 企业分类Skill的实际作用</w:t>
      </w:r>
    </w:p>
    <w:p>
      <w:pPr>
        <w:pStyle w:val="BodyText"/>
        <w:ind w:firstLine="420"/>
      </w:pPr>
      <w:r>
        <w:t>embodied-intelligence-company-classifier skill用于把大会企业名单加工为可审查的机构库候选记录。它包含名称提取、机构库比对、关键词初判、待联网核查清单、字段补全、快照变更检测和数据新鲜度报告等脚本。其关键词分类将企业分为本体/整机、核心零部件/感知、软件算法/仿真、场景应用、非具身和待确认。</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能力</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当前实现</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可信边界</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企业名称提取</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支持Excel、CSV和文本；图片需先产生OCR文本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OCR结果必须复核正式名称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机构库比对</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精确、去后缀核心名、受限包含匹配</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同名和集团/子公司关系仍需人工确认</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具身智能初判</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按名称关键词输出YES/NO/UNKNOWN及类别</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只属于高召回初筛，不能代替实际业务核查</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联网核查准备</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生成UNKNOWN企业待核查清单</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最终结论应保留官网、工商或权威材料证据</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字段补全</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映射机构库字段并提示空白</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不能凭名称推断注册资本、产品状态等事实</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动态数据辅助</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新旧快照对比和新鲜度报告</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目前主要面向文件快照，尚非完整在线数据库作业</w:t>
            </w:r>
          </w:p>
        </w:tc>
      </w:tr>
    </w:tbl>
    <w:p>
      <w:pPr>
        <w:spacing w:after="0"/>
      </w:pPr>
    </w:p>
    <w:p>
      <w:pPr>
        <w:pStyle w:val="Heading1"/>
      </w:pPr>
      <w:r>
        <w:t>十四、动态机构数据管理及其与岗位更新的关系</w:t>
      </w:r>
    </w:p>
    <w:p>
      <w:pPr>
        <w:pStyle w:val="Heading2"/>
      </w:pPr>
      <w:r>
        <w:t>14.1 判断结论</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w:t>
            </w:r>
          </w:p>
          <w:p>
            <w:pPr>
              <w:spacing w:after="0"/>
            </w:pPr>
            <w:r>
              <w:t>使用skill判断企业是否属于具身智能，是动态岗位更新的上游数据筛选步骤之一，但不是动态岗位更新本身。该skill解决“哪些企业和企业字段应进入机构库”；动态岗位更新解决“这些企业在不同时间发布的真实JD，使岗位职责和技能要求发生了什么变化”。</w:t>
            </w:r>
          </w:p>
        </w:tc>
      </w:tr>
    </w:tbl>
    <w:p>
      <w:pPr>
        <w:spacing w:after="0"/>
      </w:pPr>
    </w:p>
    <w:p>
      <w:r>
        <w:br w:type="page"/>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模块</w:t>
            </w:r>
          </w:p>
        </w:tc>
        <w:tc>
          <w:tcPr>
            <w:tcW w:type="dxa" w:w="272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回答的问题</w:t>
            </w:r>
          </w:p>
        </w:tc>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主要输入</w:t>
            </w:r>
          </w:p>
        </w:tc>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企业分类与机构库更新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这是不是具身智能相关主体？企业信息是否变化？</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大会名单、官网/工商信息、机构库快照</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规范机构、类别、字段变更、新鲜度、复检任务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既有岗位动态更新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同一岗位的能力要求是否新增、删除、升降或迁移？</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多企业真实JD、发布时间、岗位版本、能力证据</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岗位新版本、技能变化、重要度变化、演化事件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人岗匹配</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当前候选证据与某个岗位版本是否适配？</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画像版本、岗位规则版本、参考日期</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评分区间、决策状态、差距和学习路径</w:t>
            </w:r>
          </w:p>
        </w:tc>
      </w:tr>
    </w:tbl>
    <w:p>
      <w:pPr>
        <w:spacing w:after="0"/>
      </w:pPr>
    </w:p>
    <w:p>
      <w:pPr>
        <w:pStyle w:val="Heading2"/>
      </w:pPr>
      <w:r>
        <w:t>14.2 三者的衔接流程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企业名单分类与机构主数据更新</w:t>
            </w:r>
            <w:r>
              <w:br/>
            </w:r>
            <w:r>
              <w:rPr>
                <w:rFonts w:ascii="Consolas" w:hAnsi="Consolas" w:eastAsia="等线"/>
                <w:sz w:val="17"/>
              </w:rPr>
              <w:t xml:space="preserve">        ↓ 提供可信企业ID、企业类型、来源与别名</w:t>
            </w:r>
            <w:r>
              <w:br/>
            </w:r>
            <w:r>
              <w:rPr>
                <w:rFonts w:ascii="Consolas" w:hAnsi="Consolas" w:eastAsia="等线"/>
                <w:sz w:val="17"/>
              </w:rPr>
              <w:t>企业招聘页/真实JD采集与版本化</w:t>
            </w:r>
            <w:r>
              <w:br/>
            </w:r>
            <w:r>
              <w:rPr>
                <w:rFonts w:ascii="Consolas" w:hAnsi="Consolas" w:eastAsia="等线"/>
                <w:sz w:val="17"/>
              </w:rPr>
              <w:t xml:space="preserve">        ↓ 按企业、岗位和时间窗口聚合</w:t>
            </w:r>
            <w:r>
              <w:br/>
            </w:r>
            <w:r>
              <w:rPr>
                <w:rFonts w:ascii="Consolas" w:hAnsi="Consolas" w:eastAsia="等线"/>
                <w:sz w:val="17"/>
              </w:rPr>
              <w:t>既有岗位能力动态更新</w:t>
            </w:r>
            <w:r>
              <w:br/>
            </w:r>
            <w:r>
              <w:rPr>
                <w:rFonts w:ascii="Consolas" w:hAnsi="Consolas" w:eastAsia="等线"/>
                <w:sz w:val="17"/>
              </w:rPr>
              <w:t xml:space="preserve">        ↓ 形成经审核的岗位规则版本</w:t>
            </w:r>
            <w:r>
              <w:br/>
            </w:r>
            <w:r>
              <w:rPr>
                <w:rFonts w:ascii="Consolas" w:hAnsi="Consolas" w:eastAsia="等线"/>
                <w:sz w:val="17"/>
              </w:rPr>
              <w:t>人才画像与人岗匹配、差距诊断、学习路径</w:t>
            </w:r>
          </w:p>
        </w:tc>
      </w:tr>
    </w:tbl>
    <w:p>
      <w:pPr>
        <w:spacing w:after="0"/>
      </w:pPr>
    </w:p>
    <w:p>
      <w:pPr>
        <w:pStyle w:val="BodyText"/>
        <w:ind w:firstLine="420"/>
      </w:pPr>
      <w:r>
        <w:t>企业分类的价值在于减少无关企业、主体混淆和重复企业对岗位统计的污染。例如，同一集团与子公司被误合并，会导致独立企业数失真；OCR错名会使岗位证据无法归属；非具身企业混入会改变技术需求分布。因此机构主数据是岗位更新的必要底座，但岗位更新仍必须使用JD级证据和跨时间比较。</w:t>
      </w:r>
    </w:p>
    <w:p>
      <w:pPr>
        <w:pStyle w:val="Heading2"/>
      </w:pPr>
      <w:r>
        <w:t>14.3 动态机构数据更新闭环</w:t>
      </w:r>
    </w:p>
    <w:p>
      <w:pPr>
        <w:pStyle w:val="BodyText"/>
        <w:ind w:left="360" w:hanging="360"/>
      </w:pPr>
      <w:r>
        <w:t>1.　采集新一批大会名单、官方名录、企业官网或人工核查结果。</w:t>
      </w:r>
    </w:p>
    <w:p>
      <w:pPr>
        <w:pStyle w:val="BodyText"/>
        <w:ind w:left="360" w:hanging="360"/>
      </w:pPr>
      <w:r>
        <w:t>2.　执行名称清洗、实体识别、机构库比对和业务分类，形成候选机构记录。</w:t>
      </w:r>
    </w:p>
    <w:p>
      <w:pPr>
        <w:pStyle w:val="BodyText"/>
        <w:ind w:left="360" w:hanging="360"/>
      </w:pPr>
      <w:r>
        <w:t>3.　保存带日期的机构库快照，并记录本轮数据来源和核查时间。</w:t>
      </w:r>
    </w:p>
    <w:p>
      <w:pPr>
        <w:pStyle w:val="BodyText"/>
        <w:ind w:left="360" w:hanging="360"/>
      </w:pPr>
      <w:r>
        <w:t>4.　对新旧快照执行字段级比较，生成ADD、UPDATE和EXPIRE变更日志。</w:t>
      </w:r>
    </w:p>
    <w:p>
      <w:pPr>
        <w:pStyle w:val="BodyText"/>
        <w:ind w:left="360" w:hanging="360"/>
      </w:pPr>
      <w:r>
        <w:t>5.　根据最后核查日期和字段风险计算复检优先级，高风险动态字段优先复核。</w:t>
      </w:r>
    </w:p>
    <w:p>
      <w:pPr>
        <w:pStyle w:val="BodyText"/>
        <w:ind w:left="360" w:hanging="360"/>
      </w:pPr>
      <w:r>
        <w:t>6.　人工确认主体更名、字段修正和失效记录后回写主数据，并保留旧值、新值和证据。</w:t>
      </w:r>
    </w:p>
    <w:p>
      <w:pPr>
        <w:pStyle w:val="Heading2"/>
      </w:pPr>
      <w:r>
        <w:t>14.4 变化检测与数据新鲜度</w:t>
      </w:r>
    </w:p>
    <w:p>
      <w:pPr>
        <w:pStyle w:val="BodyText"/>
        <w:ind w:firstLine="420"/>
      </w:pPr>
      <w:r>
        <w:t>skill中的detect_changes.py以规范化企业核心名匹配新旧快照，对新增主体记录ADD，对共有主体的字段变化记录UPDATE，对旧版存在而新版消失的主体记录EXPIRE。EXPIRE只表示需要确认，不能直接物理删除，因为它可能是更名、采集遗漏或真实注销。</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Freshness(field) = 1 - min(1, Δt / T_field)</w:t>
            </w:r>
            <w:r>
              <w:br/>
            </w:r>
            <w:r>
              <w:rPr>
                <w:rFonts w:ascii="Consolas" w:hAnsi="Consolas" w:eastAsia="等线"/>
                <w:sz w:val="17"/>
              </w:rPr>
              <w:t>Priority = OverdueDegree × RiskWeight</w:t>
            </w:r>
            <w:r>
              <w:br/>
            </w:r>
            <w:r>
              <w:rPr>
                <w:rFonts w:ascii="Consolas" w:hAnsi="Consolas" w:eastAsia="等线"/>
                <w:sz w:val="17"/>
              </w:rPr>
              <w:t>其中Δt为距最后一次可靠核查的时间，T_field为该字段的复检周期。</w:t>
            </w:r>
          </w:p>
        </w:tc>
      </w:tr>
    </w:tbl>
    <w:p>
      <w:pPr>
        <w:spacing w:after="0"/>
      </w:pPr>
    </w:p>
    <w:p>
      <w:pPr>
        <w:pStyle w:val="BodyText"/>
        <w:ind w:firstLine="420"/>
      </w:pPr>
      <w:r>
        <w:t>现有skill文档把融资、上市、量产和招聘链接列为高频字段，把产品、细分领域和别名列为中频字段，把总部、官网和机构类型列为低频字段。该分级是项目维护策略，不是行业统一标准；在正式系统中应根据真实变更日志重新估计复检周期。</w:t>
      </w:r>
    </w:p>
    <w:p>
      <w:pPr>
        <w:pStyle w:val="Heading2"/>
      </w:pPr>
      <w:r>
        <w:t>14.5 当前完成程度与缺口</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事项</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当前状态</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说明</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名单提取、清洗、比对和分类</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已有脚本与工作结果</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可作为已完成的数据处理工作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拟新增机构字段补全与复核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已有30条复核报告</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仍应保留原始表和证据链接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新旧快照变化检测</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需要用真实两版机构库做可复现实验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新鲜度和复检队列</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skill中已有规则和脚本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字段周期与权重尚需真实日志校准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自动写入项目数据库</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尚未完全打通</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现有skill主要输出Excel/CSV，不等于事务化数据库入库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既有岗位动态更新</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属于另一条算法链</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必须继续使用真实JD、时间窗口、能力差异和岗位版本</w:t>
            </w:r>
          </w:p>
        </w:tc>
      </w:tr>
    </w:tbl>
    <w:p>
      <w:pPr>
        <w:spacing w:after="0"/>
      </w:pPr>
    </w:p>
    <w:p>
      <w:pPr>
        <w:pStyle w:val="Heading2"/>
      </w:pPr>
      <w:r>
        <w:t>14.6 建议在比赛材料中的工作表述</w:t>
      </w:r>
    </w:p>
    <w:p>
      <w:pPr>
        <w:pStyle w:val="BodyText"/>
        <w:ind w:firstLine="420"/>
      </w:pPr>
      <w:r>
        <w:t>暑期补充开展了具身智能大会企业数据治理工作。围绕会展图片和企业名单，完成企业名称提取、OCR错误核验、非企业实体过滤、机构库去重比对、具身智能业务分类、产业链与技术标签映射、字段完整性检查及拟新增机构复核；同时整理企业数据快照比较和数据新鲜度规则，为机构库持续更新以及后续基于可信企业和真实JD的岗位能力演化分析提供数据基础。</w:t>
      </w:r>
    </w:p>
    <w:p>
      <w:pPr>
        <w:pStyle w:val="Heading1"/>
      </w:pPr>
      <w:r>
        <w:t>十五、数据库表设计与数据治理工作</w:t>
      </w:r>
    </w:p>
    <w:p>
      <w:pPr>
        <w:pStyle w:val="Heading2"/>
      </w:pPr>
      <w:r>
        <w:t>15.1 工作定位</w:t>
      </w:r>
    </w:p>
    <w:p>
      <w:pPr>
        <w:pStyle w:val="BodyText"/>
        <w:ind w:firstLine="420"/>
      </w:pPr>
      <w:r>
        <w:t>数据库工作不宜表述为简单的“建立了很多张表”，而应说明数据为什么分层、表之间如何关联、怎样防止覆盖历史数据以及怎样支撑复现和人工审核。结合当前项目代码，可将本人工作表述为参与并整理多源数据入库、机构主数据、来源版本、证据审核、岗位版本和人才匹配结果的数据模型设计。对于无法由代码或迁移文件证明的表，不写成已经落地。</w:t>
      </w:r>
    </w:p>
    <w:p>
      <w:pPr>
        <w:pStyle w:val="Heading2"/>
      </w:pPr>
      <w:r>
        <w:t>15.2 数据分层设计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数据层</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职责</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原始数据层 raw</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保存上传文件、电子表格原始行、来源文档及其版本，不覆盖原始事实</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raw_file_asset、raw_spreadsheet_row、raw_source_document、raw_source_document_version、raw_resume_document</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主数据层 md</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维护机构、别名、数据源、技术分类和岗位别名等稳定标识</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md_organization、md_organization_alias、md_data_source、md_technology_node、md_job_role_alias</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业务数据层 biz</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记录导入运行、抽取事实、质量检查、审核任务、岗位、画像和匹配运行</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biz_file_import_run、biz_extracted_fact、biz_job_posting、biz_candidate_profile_version、biz_candidate_match_run</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关系层 rel</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保存事实与证据、岗位与要求、技术与领域、画像与技能之间的多对多关系</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rel_fact_evidence、rel_job_requirement_evidence、rel_candidate_skill_evidence、rel_job_role_evidence</w:t>
            </w:r>
          </w:p>
        </w:tc>
      </w:tr>
    </w:tbl>
    <w:p>
      <w:pPr>
        <w:spacing w:after="0"/>
      </w:pPr>
    </w:p>
    <w:p>
      <w:pPr>
        <w:pStyle w:val="Heading2"/>
      </w:pPr>
      <w:r>
        <w:t>15.3 文件与表格入库模型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关键字段/机制</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设计目的</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raw_file_asset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文件类型、对象存储键、原文件名、SHA-256、病毒扫描状态</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同一文件可识别、可去重、可追溯</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biz_file_import_run</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导入器、映射版本、Schema哈希、幂等键、成功/跳过/失败行数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记录一次导入作业及其质量</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raw_spreadsheet_row</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Sheet、原始行号、外部键、行内容哈希、原始JSON、访问级别</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保存Excel原始行，清洗后仍可回看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biz_file_import_row_result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行状态、目标对象、错误字段、规范化JSON、重放关系</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支持逐行错误定位和重新处理</w:t>
            </w:r>
          </w:p>
        </w:tc>
      </w:tr>
    </w:tbl>
    <w:p>
      <w:pPr>
        <w:spacing w:after="0"/>
      </w:pPr>
    </w:p>
    <w:p>
      <w:pPr>
        <w:pStyle w:val="BodyText"/>
        <w:ind w:firstLine="420"/>
      </w:pPr>
      <w:r>
        <w:t>该设计使企业大会名单不需要直接写入正式机构表。文件先以不可变资产保存，随后每一行形成原始记录；清洗和分类结果作为导入行结果保存。只有通过校验与人工审核的记录，才进入机构主数据。</w:t>
      </w:r>
    </w:p>
    <w:p>
      <w:pPr>
        <w:pStyle w:val="Heading2"/>
      </w:pPr>
      <w:r>
        <w:t>15.4 机构主数据与来源版本</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核心内容</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与企业数据工作的关系</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规范名称、标准化名称、机构类型、地区、官网、行业和状态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大会企业通过审核后形成稳定organization_id</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md_organization_alias</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别名、标准化别名和别名来源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处理简称、英文名、旧名称和OCR修正名</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md_data_source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来源名称、类型、入口、权威等级、独立来源组、许可说明</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说明每条企业或JD数据从哪里来</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raw_source_document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来源记录键、规范URL、首次/最近发现时间和状态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识别同一企业网页或岗位页面</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raw_source_document_version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版本号、上一版本、采集时间、有效期、正文哈希和当前标记</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同一页面内容变化时生成新版本而不覆盖旧版</w:t>
            </w:r>
          </w:p>
        </w:tc>
      </w:tr>
    </w:tbl>
    <w:p>
      <w:pPr>
        <w:spacing w:after="0"/>
      </w:pPr>
    </w:p>
    <w:p>
      <w:pPr>
        <w:pStyle w:val="Heading2"/>
      </w:pPr>
      <w:r>
        <w:t>15.5 清洗、证据与人工审核模型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表组</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记录内容</w:t>
            </w:r>
          </w:p>
        </w:tc>
        <w:tc>
          <w:tcPr>
            <w:tcW w:type="dxa" w:w="26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治理作用</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biz_document_quality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时效、完整性、噪声、重复、AI生成和提示注入风险</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阻止低质量材料直接进入业务统计</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biz_duplicate_document_group / member</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重复组、代表文档、相似度和复制比例</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避免同一新闻转载或重复JD被多次计数</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biz_extraction_run / extracted_fact</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抽取器版本、输入哈希、规范化事实和置信度</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复现企业、岗位或里程碑事实的抽取过程</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 / biz_fact_validation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事实对应证据片段、验证状态和评分明细</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保证结构化结论能够回到来源文本</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biz_review_task / review_action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复核优先级、审核前后快照、操作人和意见</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承接UNKNOWN、主体冲突和过期字段</w:t>
            </w:r>
          </w:p>
        </w:tc>
      </w:tr>
    </w:tbl>
    <w:p>
      <w:pPr>
        <w:spacing w:after="0"/>
      </w:pPr>
    </w:p>
    <w:p>
      <w:pPr>
        <w:pStyle w:val="Heading2"/>
      </w:pPr>
      <w:r>
        <w:t>15.6 岗位动态与人岗匹配的数据模型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业务链</w:t>
            </w:r>
          </w:p>
        </w:tc>
        <w:tc>
          <w:tcPr>
            <w:tcW w:type="dxa" w:w="391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保存内容</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真实岗位证据</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biz_job_posting、biz_job_requirement、biz_job_responsibility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真实JD、必备/加分要求、职责、来源和时间</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岗位版本与演化</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biz_job_role_version、rel_job_role_version_requirement、biz_job_evolution_event/change</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岗位定义版本、能力差异和演化事件</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人才画像</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biz_candidate_profile、biz_candidate_profile_version、rel_candidate_skill_evidence</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不可变画像版本和技能证据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匹配运行</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biz_candidate_match_run/result、biz_match_dimension_result、biz_candidate_match_gap</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输入快照、十维区间、决策和差距</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biz_candidate_learning_path</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基于差距的版本化学习计划</w:t>
            </w:r>
          </w:p>
        </w:tc>
      </w:tr>
    </w:tbl>
    <w:p>
      <w:pPr>
        <w:spacing w:after="0"/>
      </w:pPr>
    </w:p>
    <w:p>
      <w:pPr>
        <w:pStyle w:val="Heading2"/>
      </w:pPr>
      <w:r>
        <w:t>15.7 数据库设计原则</w:t>
      </w:r>
    </w:p>
    <w:p>
      <w:pPr>
        <w:pStyle w:val="ListBullet"/>
      </w:pPr>
      <w:r>
        <w:t>原始数据不可变：保留原始文件、原始行、来源正文和证据片段。</w:t>
      </w:r>
    </w:p>
    <w:p>
      <w:pPr>
        <w:pStyle w:val="ListBullet"/>
      </w:pPr>
      <w:r>
        <w:t>主数据稳定：企业使用稳定机构ID，名称变化通过别名和状态管理。</w:t>
      </w:r>
    </w:p>
    <w:p>
      <w:pPr>
        <w:pStyle w:val="ListBullet"/>
      </w:pPr>
      <w:r>
        <w:t>版本而非覆盖：来源文档、岗位规则、人才画像和匹配运行均保留历史版本。</w:t>
      </w:r>
    </w:p>
    <w:p>
      <w:pPr>
        <w:pStyle w:val="ListBullet"/>
      </w:pPr>
      <w:r>
        <w:t>哈希和幂等：利用文件哈希、内容哈希、Schema哈希和幂等键避免重复导入。</w:t>
      </w:r>
    </w:p>
    <w:p>
      <w:pPr>
        <w:pStyle w:val="ListBullet"/>
      </w:pPr>
      <w:r>
        <w:t>事实与证据分离：结构化事实必须通过关系表指向来源片段。</w:t>
      </w:r>
    </w:p>
    <w:p>
      <w:pPr>
        <w:pStyle w:val="ListBullet"/>
      </w:pPr>
      <w:r>
        <w:t>候选与发布分离：模型抽取或关键词初判先进入候选状态，人工确认后再发布。</w:t>
      </w:r>
    </w:p>
    <w:p>
      <w:pPr>
        <w:pStyle w:val="ListBullet"/>
      </w:pPr>
      <w:r>
        <w:t>逻辑失效优于物理删除：EXPIRE、注销或不再出现的数据保留历史记录和处理原因。</w:t>
      </w:r>
    </w:p>
    <w:p>
      <w:pPr>
        <w:pStyle w:val="ListBullet"/>
      </w:pPr>
      <w:r>
        <w:t>运行可复现：记录算法版本、映射版本、参考日期、输入快照和审核动作。</w:t>
      </w:r>
    </w:p>
    <w:p>
      <w:pPr>
        <w:pStyle w:val="Heading2"/>
      </w:pPr>
      <w:r>
        <w:t>15.8 目前数据库相关差错与待完善事项</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当前判断</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后续处理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skill输出与数据库未完全打通</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脚本主要输出TXT/CSV/XLSX</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增加调用文件导入服务的适配器和事务化写入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企业动态字段缺少专用历史表</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可借用来源版本和审核快照，但查询不够直接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增加机构字段历史或统一变更事件表</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数据新鲜度规则未落到统一调度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skill已有计算规则</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写入审核任务队列并配置周期任务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分类依据可能只有名称关键词</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容易误判智能装备、贸易或软件公司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UNKNOWN和弱信号必须联网核查并保留证据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大会OCR名称错误率高</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内部报告显示大量名称需要修正</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官方名录优先，OCR只作为候选来源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工作归属容易与P2/P3混淆</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动态岗位更新原分工属于P2，数据底座原分工属于P3</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将本人内容写为暑期额外完成的数据治理与数据库协作</w:t>
            </w:r>
          </w:p>
        </w:tc>
      </w:tr>
    </w:tbl>
    <w:p>
      <w:pPr>
        <w:spacing w:after="0"/>
      </w:pPr>
    </w:p>
    <w:p>
      <w:pPr>
        <w:pStyle w:val="Heading1"/>
      </w:pPr>
      <w:r>
        <w:t>十六、建议写入比赛总文档的位置</w:t>
      </w:r>
    </w:p>
    <w:p>
      <w:pPr>
        <w:pStyle w:val="Heading2"/>
      </w:pPr>
      <w:r>
        <w:t>16.1 第4.3节“匹配算法组”</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16.2 第6.3节“人岗匹配诊断中心”</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16.3 第7.3节“创新点三”</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16.4 第八章“系统测试”</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16.5 原文档未充分呈现但暑期已完成的内容</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安全接受/拒绝</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