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FB8B1D">
      <w:pPr>
        <w:pStyle w:val="2"/>
        <w:spacing w:before="360" w:after="200"/>
      </w:pPr>
      <w:r>
        <w:rPr>
          <w:rFonts w:ascii="Arial" w:eastAsia="黑体"/>
          <w:b/>
          <w:bCs/>
          <w:sz w:val="30"/>
          <w:szCs w:val="30"/>
        </w:rPr>
        <w:t>4.1 算法一：新岗位发现与定义</w:t>
      </w:r>
    </w:p>
    <w:p w14:paraId="0B728421">
      <w:pPr>
        <w:spacing w:before="60" w:after="100" w:line="340" w:lineRule="auto"/>
        <w:jc w:val="both"/>
      </w:pPr>
      <w:r>
        <w:rPr>
          <w:rFonts w:ascii="Times New Roman" w:eastAsia="宋体"/>
          <w:sz w:val="21"/>
          <w:szCs w:val="21"/>
        </w:rPr>
        <w:t>本算法</w:t>
      </w:r>
      <w:r>
        <w:rPr>
          <w:rFonts w:hint="eastAsia"/>
          <w:sz w:val="21"/>
          <w:szCs w:val="21"/>
          <w:lang w:val="en-US" w:eastAsia="zh-CN"/>
        </w:rPr>
        <w:t>致力于</w:t>
      </w:r>
      <w:r>
        <w:rPr>
          <w:rFonts w:ascii="Times New Roman" w:eastAsia="宋体"/>
          <w:sz w:val="21"/>
          <w:szCs w:val="21"/>
        </w:rPr>
        <w:t>解决"定义难"痛点，要回答的问题是：</w:t>
      </w:r>
      <w:r>
        <w:rPr>
          <w:rFonts w:ascii="Times New Roman" w:eastAsia="宋体"/>
          <w:b/>
          <w:bCs/>
          <w:sz w:val="21"/>
          <w:szCs w:val="21"/>
        </w:rPr>
        <w:t>语料中是否出现了既有岗位的能力集合覆盖不了的能力组合？</w:t>
      </w:r>
    </w:p>
    <w:p w14:paraId="16B6938B">
      <w:pPr>
        <w:spacing w:before="60" w:after="100" w:line="340" w:lineRule="auto"/>
        <w:jc w:val="both"/>
      </w:pPr>
      <w:r>
        <w:rPr>
          <w:rFonts w:ascii="Times New Roman" w:eastAsia="宋体"/>
          <w:sz w:val="21"/>
          <w:szCs w:val="21"/>
        </w:rPr>
        <w:t>这一</w:t>
      </w:r>
      <w:r>
        <w:rPr>
          <w:rFonts w:hint="eastAsia"/>
          <w:sz w:val="21"/>
          <w:szCs w:val="21"/>
          <w:lang w:val="en-US" w:eastAsia="zh-CN"/>
        </w:rPr>
        <w:t>算法</w:t>
      </w:r>
      <w:r>
        <w:rPr>
          <w:rFonts w:ascii="Times New Roman" w:eastAsia="宋体"/>
          <w:sz w:val="21"/>
          <w:szCs w:val="21"/>
        </w:rPr>
        <w:t>包含一个基本前提——</w:t>
      </w:r>
      <w:r>
        <w:rPr>
          <w:rFonts w:ascii="Times New Roman" w:eastAsia="宋体"/>
          <w:b/>
          <w:bCs/>
          <w:sz w:val="21"/>
          <w:szCs w:val="21"/>
        </w:rPr>
        <w:t>岗位由能力集合定义，名称只是能力集合的一个不稳定标签</w:t>
      </w:r>
      <w:r>
        <w:rPr>
          <w:rFonts w:ascii="Times New Roman" w:eastAsia="宋体"/>
          <w:sz w:val="21"/>
          <w:szCs w:val="21"/>
        </w:rPr>
        <w:t>。在新一代信息技术领域，同一份工作可以叫"具身智能算法工程师""VLA 模型算法工程师""机器人大模型研究员"；反过来，同名的"算法工程师"在不同企业可能指完全不同的能力集合。因此新岗位必须定义为"新的能力组合"，而非"没见过的名称"。</w:t>
      </w:r>
    </w:p>
    <w:p w14:paraId="5D21BD28">
      <w:pPr>
        <w:spacing w:before="60" w:after="100" w:line="340" w:lineRule="auto"/>
        <w:jc w:val="both"/>
      </w:pPr>
      <w:r>
        <w:rPr>
          <w:rFonts w:ascii="Times New Roman" w:eastAsia="宋体"/>
          <w:sz w:val="21"/>
          <w:szCs w:val="21"/>
        </w:rPr>
        <w:t>算法的整体结构如图 4-1 所示：左侧为三类证据来源，中部为确定性的机械判定，右侧为人工决策；大模型仅出现在虚线框标出的表达层。</w:t>
      </w:r>
    </w:p>
    <w:p w14:paraId="540F3B31">
      <w:pPr>
        <w:spacing w:before="200" w:after="60"/>
        <w:jc w:val="center"/>
      </w:pPr>
      <w:r>
        <w:drawing>
          <wp:inline distT="0" distB="0" distL="0" distR="0">
            <wp:extent cx="5715000" cy="326707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a:srcRect/>
                    <a:stretch>
                      <a:fillRect/>
                    </a:stretch>
                  </pic:blipFill>
                  <pic:spPr>
                    <a:xfrm>
                      <a:off x="0" y="0"/>
                      <a:ext cx="5715000" cy="3267075"/>
                    </a:xfrm>
                    <a:prstGeom prst="rect">
                      <a:avLst/>
                    </a:prstGeom>
                  </pic:spPr>
                </pic:pic>
              </a:graphicData>
            </a:graphic>
          </wp:inline>
        </w:drawing>
      </w:r>
    </w:p>
    <w:p w14:paraId="23162380">
      <w:pPr>
        <w:spacing w:after="240"/>
        <w:jc w:val="center"/>
      </w:pPr>
      <w:r>
        <w:rPr>
          <w:rFonts w:ascii="Times New Roman" w:eastAsia="宋体"/>
          <w:color w:val="444444"/>
          <w:sz w:val="19"/>
          <w:szCs w:val="19"/>
        </w:rPr>
        <w:t>图 4-1　新岗位发现的证据链与门控</w:t>
      </w:r>
    </w:p>
    <w:p w14:paraId="4AA9C40F">
      <w:pPr>
        <w:pStyle w:val="3"/>
        <w:spacing w:before="280" w:after="140"/>
      </w:pPr>
      <w:r>
        <w:rPr>
          <w:rFonts w:ascii="Arial" w:eastAsia="黑体"/>
          <w:b/>
          <w:bCs/>
          <w:sz w:val="24"/>
          <w:szCs w:val="24"/>
        </w:rPr>
        <w:t>4.1.1 候选生成：频繁技术组合挖掘</w:t>
      </w:r>
    </w:p>
    <w:p w14:paraId="2F236F53">
      <w:pPr>
        <w:spacing w:before="60" w:after="100" w:line="340" w:lineRule="auto"/>
        <w:jc w:val="both"/>
      </w:pPr>
      <w:r>
        <w:rPr>
          <w:rFonts w:ascii="Times New Roman" w:eastAsia="宋体"/>
          <w:sz w:val="21"/>
          <w:szCs w:val="21"/>
        </w:rPr>
        <w:t>候选是"一组共同出现的技术点"。系统把每份 JD 的技术点集合视为一条事务，用逐层 Apriori 挖掘</w:t>
      </w:r>
      <w:r>
        <w:rPr>
          <w:rFonts w:ascii="Times New Roman" w:eastAsia="宋体"/>
          <w:b/>
          <w:bCs/>
          <w:sz w:val="21"/>
          <w:szCs w:val="21"/>
        </w:rPr>
        <w:t>频繁闭项集</w:t>
      </w:r>
      <w:r>
        <w:rPr>
          <w:rFonts w:ascii="Times New Roman" w:eastAsia="宋体"/>
          <w:sz w:val="21"/>
          <w:szCs w:val="21"/>
        </w:rPr>
        <w:t>，得到 2–5 个技术构成的能力组合。</w:t>
      </w:r>
    </w:p>
    <w:p w14:paraId="60F956B6">
      <w:pPr>
        <w:spacing w:before="60" w:after="100" w:line="340" w:lineRule="auto"/>
        <w:jc w:val="both"/>
      </w:pPr>
      <w:r>
        <w:rPr>
          <w:rFonts w:ascii="Times New Roman" w:eastAsia="宋体"/>
          <w:b/>
          <w:bCs/>
          <w:sz w:val="21"/>
          <w:szCs w:val="21"/>
        </w:rPr>
        <w:t>取闭项集而非全部频繁项集。</w:t>
      </w:r>
      <w:r>
        <w:rPr>
          <w:rFonts w:ascii="Times New Roman" w:eastAsia="宋体"/>
          <w:sz w:val="21"/>
          <w:szCs w:val="21"/>
        </w:rPr>
        <w:t xml:space="preserve"> 频繁项集天然冗余——若某三元组在 20 份 JD 中出现，其全部子集也至少出现 20 次，直接枚举会产出大量"同一批 JD 的不同切片"。闭项集（不存在与之支持度相同的超集）只保留每个支持度等价类中最大的那个，既消除冗余又不丢失支持度信息。</w:t>
      </w:r>
    </w:p>
    <w:p w14:paraId="3357E473">
      <w:pPr>
        <w:spacing w:before="60" w:after="100" w:line="340" w:lineRule="auto"/>
        <w:jc w:val="both"/>
      </w:pPr>
      <w:r>
        <w:rPr>
          <w:rFonts w:ascii="Times New Roman" w:eastAsia="宋体"/>
          <w:b/>
          <w:bCs/>
          <w:sz w:val="21"/>
          <w:szCs w:val="21"/>
        </w:rPr>
        <w:t>排序判据为「支撑 JD 数 × 组合大小」，而非单纯的支持度。</w:t>
      </w:r>
      <w:r>
        <w:rPr>
          <w:rFonts w:ascii="Times New Roman" w:eastAsia="宋体"/>
          <w:sz w:val="21"/>
          <w:szCs w:val="21"/>
        </w:rPr>
        <w:t xml:space="preserve"> 项集支持度沿子集单调不减，若按 JD 数排序，候选名额将几乎全部被最小组合占满，粒度提升无法兑现。乘以组合大小后，该量纲等价于组合在语料中支撑的"技术—岗位"证据格点数，同时奖励证据充足与能力集完整。</w:t>
      </w:r>
    </w:p>
    <w:p w14:paraId="24019FB3">
      <w:pPr>
        <w:spacing w:before="60" w:after="100" w:line="340" w:lineRule="auto"/>
        <w:jc w:val="both"/>
      </w:pPr>
      <w:r>
        <w:rPr>
          <w:rFonts w:ascii="Times New Roman" w:eastAsia="宋体"/>
          <w:sz w:val="21"/>
          <w:szCs w:val="21"/>
        </w:rPr>
        <w:t>技术点数量不足以构成组合的 JD，以其自身完整技术集合作为兜底键，既不伪造组合也不丢弃证据。</w:t>
      </w:r>
    </w:p>
    <w:p w14:paraId="03660ACB">
      <w:pPr>
        <w:pStyle w:val="3"/>
        <w:spacing w:before="280" w:after="140"/>
      </w:pPr>
      <w:r>
        <w:rPr>
          <w:rFonts w:ascii="Arial" w:eastAsia="黑体"/>
          <w:b/>
          <w:bCs/>
          <w:sz w:val="24"/>
          <w:szCs w:val="24"/>
        </w:rPr>
        <w:t>4.1.2 与既有岗位的距离：非对称覆盖率</w:t>
      </w:r>
    </w:p>
    <w:p w14:paraId="6300C301">
      <w:pPr>
        <w:spacing w:before="60" w:after="100" w:line="340" w:lineRule="auto"/>
        <w:jc w:val="both"/>
      </w:pPr>
      <w:r>
        <w:rPr>
          <w:rFonts w:ascii="Times New Roman" w:eastAsia="宋体"/>
          <w:sz w:val="21"/>
          <w:szCs w:val="21"/>
        </w:rPr>
        <w:t>判断"新"需要参照系。系统用</w:t>
      </w:r>
      <w:r>
        <w:rPr>
          <w:rFonts w:ascii="Times New Roman" w:eastAsia="宋体"/>
          <w:b/>
          <w:bCs/>
          <w:sz w:val="21"/>
          <w:szCs w:val="21"/>
        </w:rPr>
        <w:t>非对称覆盖率</w:t>
      </w:r>
      <w:r>
        <w:rPr>
          <w:rFonts w:ascii="Times New Roman" w:eastAsia="宋体"/>
          <w:sz w:val="21"/>
          <w:szCs w:val="21"/>
        </w:rPr>
        <w:t>衡量候选与既有岗位的距离：</w:t>
      </w:r>
    </w:p>
    <w:p w14:paraId="75A7DAB9">
      <w:pPr>
        <w:spacing w:before="160" w:after="160"/>
        <w:jc w:val="center"/>
      </w:pPr>
      <w:r>
        <w:rPr>
          <w:rFonts w:ascii="Cambria Math" w:eastAsia="宋体"/>
          <w:i/>
          <w:iCs/>
          <w:sz w:val="22"/>
          <w:szCs w:val="22"/>
        </w:rPr>
        <w:t>Coverage(c) = max(r ∈ R) (|T_c ∩ T_r|) / (|T_c|)</w:t>
      </w:r>
    </w:p>
    <w:p w14:paraId="20871919">
      <w:pPr>
        <w:spacing w:before="60" w:after="100" w:line="340" w:lineRule="auto"/>
        <w:jc w:val="both"/>
      </w:pPr>
      <w:r>
        <w:rPr>
          <w:rFonts w:ascii="Times New Roman" w:eastAsia="宋体"/>
          <w:sz w:val="21"/>
          <w:szCs w:val="21"/>
        </w:rPr>
        <w:t xml:space="preserve">其中 </w:t>
      </w:r>
      <w:r>
        <w:rPr>
          <w:rFonts w:ascii="Cambria Math" w:eastAsia="宋体"/>
          <w:i/>
          <w:iCs/>
          <w:sz w:val="21"/>
          <w:szCs w:val="21"/>
        </w:rPr>
        <w:t>T_c</w:t>
      </w:r>
      <w:r>
        <w:rPr>
          <w:rFonts w:ascii="Times New Roman" w:eastAsia="宋体"/>
          <w:sz w:val="21"/>
          <w:szCs w:val="21"/>
        </w:rPr>
        <w:t xml:space="preserve"> 为候选的技术点集合，</w:t>
      </w:r>
      <w:r>
        <w:rPr>
          <w:rFonts w:ascii="Cambria Math" w:eastAsia="宋体"/>
          <w:i/>
          <w:iCs/>
          <w:sz w:val="21"/>
          <w:szCs w:val="21"/>
        </w:rPr>
        <w:t>T_r</w:t>
      </w:r>
      <w:r>
        <w:rPr>
          <w:rFonts w:ascii="Times New Roman" w:eastAsia="宋体"/>
          <w:sz w:val="21"/>
          <w:szCs w:val="21"/>
        </w:rPr>
        <w:t xml:space="preserve"> 为既有岗位 </w:t>
      </w:r>
      <w:r>
        <w:rPr>
          <w:rFonts w:ascii="Cambria Math" w:eastAsia="宋体"/>
          <w:i/>
          <w:iCs/>
          <w:sz w:val="21"/>
          <w:szCs w:val="21"/>
        </w:rPr>
        <w:t>r</w:t>
      </w:r>
      <w:r>
        <w:rPr>
          <w:rFonts w:ascii="Times New Roman" w:eastAsia="宋体"/>
          <w:sz w:val="21"/>
          <w:szCs w:val="21"/>
        </w:rPr>
        <w:t xml:space="preserve"> 的能力画像，</w:t>
      </w:r>
      <w:r>
        <w:rPr>
          <w:rFonts w:ascii="Cambria Math" w:eastAsia="宋体"/>
          <w:i/>
          <w:iCs/>
          <w:sz w:val="21"/>
          <w:szCs w:val="21"/>
        </w:rPr>
        <w:t>R</w:t>
      </w:r>
      <w:r>
        <w:rPr>
          <w:rFonts w:ascii="Times New Roman" w:eastAsia="宋体"/>
          <w:sz w:val="21"/>
          <w:szCs w:val="21"/>
        </w:rPr>
        <w:t xml:space="preserve"> 为在目标日期生效的全部已批准岗位版本。</w:t>
      </w:r>
    </w:p>
    <w:p w14:paraId="2F955F7F">
      <w:pPr>
        <w:spacing w:before="60" w:after="100" w:line="340" w:lineRule="auto"/>
        <w:jc w:val="both"/>
      </w:pPr>
      <w:r>
        <w:rPr>
          <w:rFonts w:ascii="Times New Roman" w:eastAsia="宋体"/>
          <w:b/>
          <w:bCs/>
          <w:sz w:val="21"/>
          <w:szCs w:val="21"/>
        </w:rPr>
        <w:t>采用非对称覆盖率而非 Jaccard 系数</w:t>
      </w:r>
      <w:r>
        <w:rPr>
          <w:rFonts w:ascii="Times New Roman" w:eastAsia="宋体"/>
          <w:sz w:val="21"/>
          <w:szCs w:val="21"/>
        </w:rPr>
        <w:t xml:space="preserve">，因为所问的问题是"候选的能力有多少已被既有岗位吸收"，与该岗位自身还额外要求多少能力无关。Jaccard 会因岗位技术词更多而系统性压低覆盖率——候选 </w:t>
      </w:r>
      <w:r>
        <w:rPr>
          <w:rFonts w:ascii="Cambria Math" w:eastAsia="宋体"/>
          <w:i/>
          <w:iCs/>
          <w:sz w:val="21"/>
          <w:szCs w:val="21"/>
        </w:rPr>
        <w:t>{A,B}</w:t>
      </w:r>
      <w:r>
        <w:rPr>
          <w:rFonts w:ascii="Times New Roman" w:eastAsia="宋体"/>
          <w:sz w:val="21"/>
          <w:szCs w:val="21"/>
        </w:rPr>
        <w:t xml:space="preserve"> 面对要求 </w:t>
      </w:r>
      <w:r>
        <w:rPr>
          <w:rFonts w:ascii="Cambria Math" w:eastAsia="宋体"/>
          <w:i/>
          <w:iCs/>
          <w:sz w:val="21"/>
          <w:szCs w:val="21"/>
        </w:rPr>
        <w:t>{A,B,C,D}</w:t>
      </w:r>
      <w:r>
        <w:rPr>
          <w:rFonts w:ascii="Times New Roman" w:eastAsia="宋体"/>
          <w:sz w:val="21"/>
          <w:szCs w:val="21"/>
        </w:rPr>
        <w:t xml:space="preserve"> 的岗位实际已被完全覆盖，Jaccard 却只有 0.5，从而把既有岗位误判为新岗位。</w:t>
      </w:r>
    </w:p>
    <w:p w14:paraId="1D8A03D3">
      <w:pPr>
        <w:spacing w:before="60" w:after="100" w:line="340" w:lineRule="auto"/>
        <w:jc w:val="both"/>
      </w:pPr>
      <w:r>
        <w:rPr>
          <w:rFonts w:ascii="Times New Roman" w:eastAsia="宋体"/>
          <w:sz w:val="21"/>
          <w:szCs w:val="21"/>
        </w:rPr>
        <w:t>据此三档分类：</w:t>
      </w:r>
    </w:p>
    <w:tbl>
      <w:tblPr>
        <w:tblStyle w:val="11"/>
        <w:tblW w:w="9026"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3008"/>
        <w:gridCol w:w="3309"/>
        <w:gridCol w:w="2709"/>
      </w:tblGrid>
      <w:tr w14:paraId="781634BA">
        <w:trPr>
          <w:tblHeader/>
        </w:trPr>
        <w:tc>
          <w:tcPr>
            <w:tcW w:w="3008" w:type="dxa"/>
            <w:shd w:val="clear" w:color="auto" w:fill="EDF2F7"/>
            <w:tcMar>
              <w:top w:w="60" w:type="dxa"/>
              <w:left w:w="100" w:type="dxa"/>
              <w:bottom w:w="60" w:type="dxa"/>
              <w:right w:w="100" w:type="dxa"/>
            </w:tcMar>
          </w:tcPr>
          <w:p w14:paraId="548273B6">
            <w:pPr>
              <w:spacing w:before="0" w:after="0" w:line="300" w:lineRule="auto"/>
              <w:jc w:val="center"/>
            </w:pPr>
            <w:r>
              <w:rPr>
                <w:rFonts w:ascii="Times New Roman" w:eastAsia="宋体"/>
                <w:b/>
                <w:bCs/>
                <w:sz w:val="19"/>
                <w:szCs w:val="19"/>
              </w:rPr>
              <w:t>分类</w:t>
            </w:r>
          </w:p>
        </w:tc>
        <w:tc>
          <w:tcPr>
            <w:tcW w:w="3309" w:type="dxa"/>
            <w:shd w:val="clear" w:color="auto" w:fill="EDF2F7"/>
            <w:tcMar>
              <w:top w:w="60" w:type="dxa"/>
              <w:left w:w="100" w:type="dxa"/>
              <w:bottom w:w="60" w:type="dxa"/>
              <w:right w:w="100" w:type="dxa"/>
            </w:tcMar>
          </w:tcPr>
          <w:p w14:paraId="0C9D1CCF">
            <w:pPr>
              <w:spacing w:before="0" w:after="0" w:line="300" w:lineRule="auto"/>
              <w:jc w:val="center"/>
            </w:pPr>
            <w:r>
              <w:rPr>
                <w:rFonts w:ascii="Times New Roman" w:eastAsia="宋体"/>
                <w:b/>
                <w:bCs/>
                <w:sz w:val="19"/>
                <w:szCs w:val="19"/>
              </w:rPr>
              <w:t>条件</w:t>
            </w:r>
          </w:p>
        </w:tc>
        <w:tc>
          <w:tcPr>
            <w:tcW w:w="2709" w:type="dxa"/>
            <w:shd w:val="clear" w:color="auto" w:fill="EDF2F7"/>
            <w:tcMar>
              <w:top w:w="60" w:type="dxa"/>
              <w:left w:w="100" w:type="dxa"/>
              <w:bottom w:w="60" w:type="dxa"/>
              <w:right w:w="100" w:type="dxa"/>
            </w:tcMar>
          </w:tcPr>
          <w:p w14:paraId="14098F96">
            <w:pPr>
              <w:spacing w:before="0" w:after="0" w:line="300" w:lineRule="auto"/>
              <w:jc w:val="center"/>
            </w:pPr>
            <w:r>
              <w:rPr>
                <w:rFonts w:ascii="Times New Roman" w:eastAsia="宋体"/>
                <w:b/>
                <w:bCs/>
                <w:sz w:val="19"/>
                <w:szCs w:val="19"/>
              </w:rPr>
              <w:t>含义</w:t>
            </w:r>
          </w:p>
        </w:tc>
      </w:tr>
      <w:tr w14:paraId="226B338E">
        <w:tc>
          <w:tcPr>
            <w:tcW w:w="3008" w:type="dxa"/>
            <w:tcMar>
              <w:top w:w="60" w:type="dxa"/>
              <w:left w:w="100" w:type="dxa"/>
              <w:bottom w:w="60" w:type="dxa"/>
              <w:right w:w="100" w:type="dxa"/>
            </w:tcMar>
          </w:tcPr>
          <w:p w14:paraId="7EDF8EEF">
            <w:pPr>
              <w:spacing w:before="0" w:after="0" w:line="300" w:lineRule="auto"/>
              <w:jc w:val="left"/>
            </w:pPr>
            <w:r>
              <w:rPr>
                <w:rFonts w:ascii="Consolas" w:eastAsia="宋体"/>
                <w:sz w:val="17"/>
                <w:szCs w:val="17"/>
              </w:rPr>
              <w:t>existing_role</w:t>
            </w:r>
          </w:p>
        </w:tc>
        <w:tc>
          <w:tcPr>
            <w:tcW w:w="3309" w:type="dxa"/>
            <w:tcMar>
              <w:top w:w="60" w:type="dxa"/>
              <w:left w:w="100" w:type="dxa"/>
              <w:bottom w:w="60" w:type="dxa"/>
              <w:right w:w="100" w:type="dxa"/>
            </w:tcMar>
          </w:tcPr>
          <w:p w14:paraId="4627B255">
            <w:pPr>
              <w:spacing w:before="0" w:after="0" w:line="300" w:lineRule="auto"/>
              <w:jc w:val="left"/>
            </w:pPr>
            <w:r>
              <w:rPr>
                <w:rFonts w:ascii="Times New Roman" w:eastAsia="宋体"/>
                <w:sz w:val="19"/>
                <w:szCs w:val="19"/>
              </w:rPr>
              <w:t>Coverage ≥ 0.75</w:t>
            </w:r>
          </w:p>
        </w:tc>
        <w:tc>
          <w:tcPr>
            <w:tcW w:w="2709" w:type="dxa"/>
            <w:tcMar>
              <w:top w:w="60" w:type="dxa"/>
              <w:left w:w="100" w:type="dxa"/>
              <w:bottom w:w="60" w:type="dxa"/>
              <w:right w:w="100" w:type="dxa"/>
            </w:tcMar>
          </w:tcPr>
          <w:p w14:paraId="75B6FF6E">
            <w:pPr>
              <w:spacing w:before="0" w:after="0" w:line="300" w:lineRule="auto"/>
              <w:jc w:val="left"/>
            </w:pPr>
            <w:r>
              <w:rPr>
                <w:rFonts w:ascii="Times New Roman" w:eastAsia="宋体"/>
                <w:sz w:val="19"/>
                <w:szCs w:val="19"/>
              </w:rPr>
              <w:t>该能力组合已被既有岗位覆盖</w:t>
            </w:r>
          </w:p>
        </w:tc>
      </w:tr>
      <w:tr w14:paraId="3302FE3B">
        <w:tc>
          <w:tcPr>
            <w:tcW w:w="3008" w:type="dxa"/>
            <w:tcMar>
              <w:top w:w="60" w:type="dxa"/>
              <w:left w:w="100" w:type="dxa"/>
              <w:bottom w:w="60" w:type="dxa"/>
              <w:right w:w="100" w:type="dxa"/>
            </w:tcMar>
          </w:tcPr>
          <w:p w14:paraId="0C5D9428">
            <w:pPr>
              <w:spacing w:before="0" w:after="0" w:line="300" w:lineRule="auto"/>
              <w:jc w:val="left"/>
            </w:pPr>
            <w:r>
              <w:rPr>
                <w:rFonts w:ascii="Consolas" w:eastAsia="宋体"/>
                <w:sz w:val="17"/>
                <w:szCs w:val="17"/>
              </w:rPr>
              <w:t>role_evolution</w:t>
            </w:r>
          </w:p>
        </w:tc>
        <w:tc>
          <w:tcPr>
            <w:tcW w:w="3309" w:type="dxa"/>
            <w:tcMar>
              <w:top w:w="60" w:type="dxa"/>
              <w:left w:w="100" w:type="dxa"/>
              <w:bottom w:w="60" w:type="dxa"/>
              <w:right w:w="100" w:type="dxa"/>
            </w:tcMar>
          </w:tcPr>
          <w:p w14:paraId="4D3438AB">
            <w:pPr>
              <w:spacing w:before="0" w:after="0" w:line="300" w:lineRule="auto"/>
              <w:jc w:val="left"/>
            </w:pPr>
            <w:r>
              <w:rPr>
                <w:rFonts w:ascii="Times New Roman" w:eastAsia="宋体"/>
                <w:sz w:val="19"/>
                <w:szCs w:val="19"/>
              </w:rPr>
              <w:t>0.45 ≤ Coverage &lt; 0.75</w:t>
            </w:r>
          </w:p>
        </w:tc>
        <w:tc>
          <w:tcPr>
            <w:tcW w:w="2709" w:type="dxa"/>
            <w:tcMar>
              <w:top w:w="60" w:type="dxa"/>
              <w:left w:w="100" w:type="dxa"/>
              <w:bottom w:w="60" w:type="dxa"/>
              <w:right w:w="100" w:type="dxa"/>
            </w:tcMar>
          </w:tcPr>
          <w:p w14:paraId="4E01F4A6">
            <w:pPr>
              <w:spacing w:before="0" w:after="0" w:line="300" w:lineRule="auto"/>
              <w:jc w:val="left"/>
            </w:pPr>
            <w:r>
              <w:rPr>
                <w:rFonts w:ascii="Times New Roman" w:eastAsia="宋体"/>
                <w:sz w:val="19"/>
                <w:szCs w:val="19"/>
              </w:rPr>
              <w:t>部分覆盖，更可能是既有岗位的能力扩展</w:t>
            </w:r>
          </w:p>
        </w:tc>
      </w:tr>
      <w:tr w14:paraId="604D2A33">
        <w:tc>
          <w:tcPr>
            <w:tcW w:w="3008" w:type="dxa"/>
            <w:tcMar>
              <w:top w:w="60" w:type="dxa"/>
              <w:left w:w="100" w:type="dxa"/>
              <w:bottom w:w="60" w:type="dxa"/>
              <w:right w:w="100" w:type="dxa"/>
            </w:tcMar>
          </w:tcPr>
          <w:p w14:paraId="64186157">
            <w:pPr>
              <w:spacing w:before="0" w:after="0" w:line="300" w:lineRule="auto"/>
              <w:jc w:val="left"/>
            </w:pPr>
            <w:r>
              <w:rPr>
                <w:rFonts w:ascii="Consolas" w:eastAsia="宋体"/>
                <w:sz w:val="17"/>
                <w:szCs w:val="17"/>
              </w:rPr>
              <w:t>potential_new_role</w:t>
            </w:r>
          </w:p>
        </w:tc>
        <w:tc>
          <w:tcPr>
            <w:tcW w:w="3309" w:type="dxa"/>
            <w:tcMar>
              <w:top w:w="60" w:type="dxa"/>
              <w:left w:w="100" w:type="dxa"/>
              <w:bottom w:w="60" w:type="dxa"/>
              <w:right w:w="100" w:type="dxa"/>
            </w:tcMar>
          </w:tcPr>
          <w:p w14:paraId="79FA95EE">
            <w:pPr>
              <w:spacing w:before="0" w:after="0" w:line="300" w:lineRule="auto"/>
              <w:jc w:val="left"/>
            </w:pPr>
            <w:r>
              <w:rPr>
                <w:rFonts w:ascii="Times New Roman" w:eastAsia="宋体"/>
                <w:sz w:val="19"/>
                <w:szCs w:val="19"/>
              </w:rPr>
              <w:t>Coverage &lt; 0.45</w:t>
            </w:r>
          </w:p>
        </w:tc>
        <w:tc>
          <w:tcPr>
            <w:tcW w:w="2709" w:type="dxa"/>
            <w:tcMar>
              <w:top w:w="60" w:type="dxa"/>
              <w:left w:w="100" w:type="dxa"/>
              <w:bottom w:w="60" w:type="dxa"/>
              <w:right w:w="100" w:type="dxa"/>
            </w:tcMar>
          </w:tcPr>
          <w:p w14:paraId="37575DBB">
            <w:pPr>
              <w:spacing w:before="0" w:after="0" w:line="300" w:lineRule="auto"/>
              <w:jc w:val="left"/>
            </w:pPr>
            <w:r>
              <w:rPr>
                <w:rFonts w:ascii="Times New Roman" w:eastAsia="宋体"/>
                <w:sz w:val="19"/>
                <w:szCs w:val="19"/>
              </w:rPr>
              <w:t>既有岗位覆盖不了，进入新岗位候选流程</w:t>
            </w:r>
          </w:p>
        </w:tc>
      </w:tr>
    </w:tbl>
    <w:p w14:paraId="4D2CC7E9">
      <w:pPr>
        <w:spacing w:after="160"/>
      </w:pPr>
    </w:p>
    <w:p w14:paraId="38E29B52">
      <w:pPr>
        <w:spacing w:before="60" w:after="100" w:line="340" w:lineRule="auto"/>
        <w:jc w:val="both"/>
      </w:pPr>
      <w:r>
        <w:rPr>
          <w:rFonts w:ascii="Times New Roman" w:eastAsia="宋体"/>
          <w:b/>
          <w:bCs/>
          <w:sz w:val="21"/>
          <w:szCs w:val="21"/>
        </w:rPr>
        <w:t>候选粒度直接决定该测量的可用性。</w:t>
      </w:r>
      <w:r>
        <w:rPr>
          <w:rFonts w:ascii="Times New Roman" w:eastAsia="宋体"/>
          <w:sz w:val="21"/>
          <w:szCs w:val="21"/>
        </w:rPr>
        <w:t xml:space="preserve"> 当候选为技术对时分母恒为 2，覆盖率只能取 0、0.5、1.0 三个值，三档分类退化为"全覆盖 / 覆盖一半 / 不覆盖"，两个阈值失去区分能力。在同一份语料、同一套阈值下的对比如下（图 4-2）：</w:t>
      </w:r>
    </w:p>
    <w:tbl>
      <w:tblPr>
        <w:tblStyle w:val="11"/>
        <w:tblW w:w="9026"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739"/>
        <w:gridCol w:w="3255"/>
        <w:gridCol w:w="5032"/>
      </w:tblGrid>
      <w:tr w14:paraId="26025052">
        <w:trPr>
          <w:tblHeader/>
        </w:trPr>
        <w:tc>
          <w:tcPr>
            <w:tcW w:w="739" w:type="dxa"/>
            <w:shd w:val="clear" w:color="auto" w:fill="EDF2F7"/>
            <w:tcMar>
              <w:top w:w="60" w:type="dxa"/>
              <w:left w:w="100" w:type="dxa"/>
              <w:bottom w:w="60" w:type="dxa"/>
              <w:right w:w="100" w:type="dxa"/>
            </w:tcMar>
          </w:tcPr>
          <w:p w14:paraId="3DCEC87B">
            <w:pPr>
              <w:spacing w:before="0" w:after="0" w:line="300" w:lineRule="auto"/>
              <w:jc w:val="center"/>
            </w:pPr>
          </w:p>
        </w:tc>
        <w:tc>
          <w:tcPr>
            <w:tcW w:w="3255" w:type="dxa"/>
            <w:shd w:val="clear" w:color="auto" w:fill="EDF2F7"/>
            <w:tcMar>
              <w:top w:w="60" w:type="dxa"/>
              <w:left w:w="100" w:type="dxa"/>
              <w:bottom w:w="60" w:type="dxa"/>
              <w:right w:w="100" w:type="dxa"/>
            </w:tcMar>
          </w:tcPr>
          <w:p w14:paraId="522981FE">
            <w:pPr>
              <w:spacing w:before="0" w:after="0" w:line="300" w:lineRule="auto"/>
              <w:jc w:val="center"/>
            </w:pPr>
            <w:r>
              <w:rPr>
                <w:rFonts w:ascii="Times New Roman" w:eastAsia="宋体"/>
                <w:b/>
                <w:bCs/>
                <w:sz w:val="19"/>
                <w:szCs w:val="19"/>
              </w:rPr>
              <w:t>候选为技术对</w:t>
            </w:r>
          </w:p>
        </w:tc>
        <w:tc>
          <w:tcPr>
            <w:tcW w:w="5032" w:type="dxa"/>
            <w:shd w:val="clear" w:color="auto" w:fill="EDF2F7"/>
            <w:tcMar>
              <w:top w:w="60" w:type="dxa"/>
              <w:left w:w="100" w:type="dxa"/>
              <w:bottom w:w="60" w:type="dxa"/>
              <w:right w:w="100" w:type="dxa"/>
            </w:tcMar>
          </w:tcPr>
          <w:p w14:paraId="56C1B763">
            <w:pPr>
              <w:spacing w:before="0" w:after="0" w:line="300" w:lineRule="auto"/>
              <w:jc w:val="center"/>
            </w:pPr>
            <w:r>
              <w:rPr>
                <w:rFonts w:ascii="Times New Roman" w:eastAsia="宋体"/>
                <w:b/>
                <w:bCs/>
                <w:sz w:val="19"/>
                <w:szCs w:val="19"/>
              </w:rPr>
              <w:t>候选为频繁技术组合</w:t>
            </w:r>
          </w:p>
        </w:tc>
      </w:tr>
      <w:tr w14:paraId="6156D701">
        <w:tc>
          <w:tcPr>
            <w:tcW w:w="739" w:type="dxa"/>
            <w:tcMar>
              <w:top w:w="60" w:type="dxa"/>
              <w:left w:w="100" w:type="dxa"/>
              <w:bottom w:w="60" w:type="dxa"/>
              <w:right w:w="100" w:type="dxa"/>
            </w:tcMar>
          </w:tcPr>
          <w:p w14:paraId="32FFA26A">
            <w:pPr>
              <w:spacing w:before="0" w:after="0" w:line="300" w:lineRule="auto"/>
              <w:jc w:val="left"/>
            </w:pPr>
            <w:r>
              <w:rPr>
                <w:rFonts w:ascii="Times New Roman" w:eastAsia="宋体"/>
                <w:sz w:val="19"/>
                <w:szCs w:val="19"/>
              </w:rPr>
              <w:t>候选大小</w:t>
            </w:r>
          </w:p>
        </w:tc>
        <w:tc>
          <w:tcPr>
            <w:tcW w:w="3255" w:type="dxa"/>
            <w:tcMar>
              <w:top w:w="60" w:type="dxa"/>
              <w:left w:w="100" w:type="dxa"/>
              <w:bottom w:w="60" w:type="dxa"/>
              <w:right w:w="100" w:type="dxa"/>
            </w:tcMar>
          </w:tcPr>
          <w:p w14:paraId="5623DA3F">
            <w:pPr>
              <w:spacing w:before="0" w:after="0" w:line="300" w:lineRule="auto"/>
              <w:jc w:val="left"/>
            </w:pPr>
            <w:r>
              <w:rPr>
                <w:rFonts w:ascii="Times New Roman" w:eastAsia="宋体"/>
                <w:sz w:val="19"/>
                <w:szCs w:val="19"/>
              </w:rPr>
              <w:t>恒为 2</w:t>
            </w:r>
          </w:p>
        </w:tc>
        <w:tc>
          <w:tcPr>
            <w:tcW w:w="5032" w:type="dxa"/>
            <w:tcMar>
              <w:top w:w="60" w:type="dxa"/>
              <w:left w:w="100" w:type="dxa"/>
              <w:bottom w:w="60" w:type="dxa"/>
              <w:right w:w="100" w:type="dxa"/>
            </w:tcMar>
          </w:tcPr>
          <w:p w14:paraId="290850E0">
            <w:pPr>
              <w:spacing w:before="0" w:after="0" w:line="300" w:lineRule="auto"/>
              <w:jc w:val="left"/>
            </w:pPr>
            <w:r>
              <w:rPr>
                <w:rFonts w:ascii="Times New Roman" w:eastAsia="宋体"/>
                <w:sz w:val="19"/>
                <w:szCs w:val="19"/>
              </w:rPr>
              <w:t>3–5</w:t>
            </w:r>
          </w:p>
        </w:tc>
      </w:tr>
      <w:tr w14:paraId="69F9C4E9">
        <w:tc>
          <w:tcPr>
            <w:tcW w:w="739" w:type="dxa"/>
            <w:tcMar>
              <w:top w:w="60" w:type="dxa"/>
              <w:left w:w="100" w:type="dxa"/>
              <w:bottom w:w="60" w:type="dxa"/>
              <w:right w:w="100" w:type="dxa"/>
            </w:tcMar>
          </w:tcPr>
          <w:p w14:paraId="5AC7375B">
            <w:pPr>
              <w:spacing w:before="0" w:after="0" w:line="300" w:lineRule="auto"/>
              <w:jc w:val="left"/>
            </w:pPr>
            <w:r>
              <w:rPr>
                <w:rFonts w:ascii="Times New Roman" w:eastAsia="宋体"/>
                <w:sz w:val="19"/>
                <w:szCs w:val="19"/>
              </w:rPr>
              <w:t>覆盖率取值</w:t>
            </w:r>
          </w:p>
        </w:tc>
        <w:tc>
          <w:tcPr>
            <w:tcW w:w="3255" w:type="dxa"/>
            <w:tcMar>
              <w:top w:w="60" w:type="dxa"/>
              <w:left w:w="100" w:type="dxa"/>
              <w:bottom w:w="60" w:type="dxa"/>
              <w:right w:w="100" w:type="dxa"/>
            </w:tcMar>
          </w:tcPr>
          <w:p w14:paraId="56813D87">
            <w:pPr>
              <w:spacing w:before="0" w:after="0" w:line="300" w:lineRule="auto"/>
              <w:jc w:val="left"/>
            </w:pPr>
            <w:r>
              <w:rPr>
                <w:rFonts w:ascii="Times New Roman" w:eastAsia="宋体"/>
                <w:sz w:val="19"/>
                <w:szCs w:val="19"/>
              </w:rPr>
              <w:t>{0, 0.5, 1.0}</w:t>
            </w:r>
          </w:p>
        </w:tc>
        <w:tc>
          <w:tcPr>
            <w:tcW w:w="5032" w:type="dxa"/>
            <w:tcMar>
              <w:top w:w="60" w:type="dxa"/>
              <w:left w:w="100" w:type="dxa"/>
              <w:bottom w:w="60" w:type="dxa"/>
              <w:right w:w="100" w:type="dxa"/>
            </w:tcMar>
          </w:tcPr>
          <w:p w14:paraId="4283CF9D">
            <w:pPr>
              <w:spacing w:before="0" w:after="0" w:line="300" w:lineRule="auto"/>
              <w:jc w:val="left"/>
            </w:pPr>
            <w:r>
              <w:rPr>
                <w:rFonts w:ascii="Times New Roman" w:eastAsia="宋体"/>
                <w:sz w:val="19"/>
                <w:szCs w:val="19"/>
              </w:rPr>
              <w:t>{0.333, 0.667, 0.750, 0.800, 1.000}</w:t>
            </w:r>
          </w:p>
        </w:tc>
      </w:tr>
      <w:tr w14:paraId="45F200E7">
        <w:tc>
          <w:tcPr>
            <w:tcW w:w="739" w:type="dxa"/>
            <w:tcMar>
              <w:top w:w="60" w:type="dxa"/>
              <w:left w:w="100" w:type="dxa"/>
              <w:bottom w:w="60" w:type="dxa"/>
              <w:right w:w="100" w:type="dxa"/>
            </w:tcMar>
          </w:tcPr>
          <w:p w14:paraId="560586A9">
            <w:pPr>
              <w:spacing w:before="0" w:after="0" w:line="300" w:lineRule="auto"/>
              <w:jc w:val="left"/>
            </w:pPr>
            <w:r>
              <w:rPr>
                <w:rFonts w:ascii="Times New Roman" w:eastAsia="宋体"/>
                <w:sz w:val="19"/>
                <w:szCs w:val="19"/>
              </w:rPr>
              <w:t>实测分布</w:t>
            </w:r>
          </w:p>
        </w:tc>
        <w:tc>
          <w:tcPr>
            <w:tcW w:w="3255" w:type="dxa"/>
            <w:tcMar>
              <w:top w:w="60" w:type="dxa"/>
              <w:left w:w="100" w:type="dxa"/>
              <w:bottom w:w="60" w:type="dxa"/>
              <w:right w:w="100" w:type="dxa"/>
            </w:tcMar>
          </w:tcPr>
          <w:p w14:paraId="2B1BBB44">
            <w:pPr>
              <w:spacing w:before="0" w:after="0" w:line="300" w:lineRule="auto"/>
              <w:jc w:val="left"/>
            </w:pPr>
            <w:r>
              <w:rPr>
                <w:rFonts w:ascii="Times New Roman" w:eastAsia="宋体"/>
                <w:sz w:val="19"/>
                <w:szCs w:val="19"/>
              </w:rPr>
              <w:t>100 个候选中 91 个覆盖率恰为 1.0</w:t>
            </w:r>
          </w:p>
        </w:tc>
        <w:tc>
          <w:tcPr>
            <w:tcW w:w="5032" w:type="dxa"/>
            <w:tcMar>
              <w:top w:w="60" w:type="dxa"/>
              <w:left w:w="100" w:type="dxa"/>
              <w:bottom w:w="60" w:type="dxa"/>
              <w:right w:w="100" w:type="dxa"/>
            </w:tcMar>
          </w:tcPr>
          <w:p w14:paraId="5FE2DF8D">
            <w:pPr>
              <w:spacing w:before="0" w:after="0" w:line="300" w:lineRule="auto"/>
              <w:jc w:val="left"/>
            </w:pPr>
            <w:r>
              <w:rPr>
                <w:rFonts w:ascii="Times New Roman" w:eastAsia="宋体"/>
                <w:sz w:val="19"/>
                <w:szCs w:val="19"/>
              </w:rPr>
              <w:t>三档均有分布</w:t>
            </w:r>
          </w:p>
        </w:tc>
      </w:tr>
      <w:tr w14:paraId="41F45F4C">
        <w:tc>
          <w:tcPr>
            <w:tcW w:w="739" w:type="dxa"/>
            <w:tcMar>
              <w:top w:w="60" w:type="dxa"/>
              <w:left w:w="100" w:type="dxa"/>
              <w:bottom w:w="60" w:type="dxa"/>
              <w:right w:w="100" w:type="dxa"/>
            </w:tcMar>
          </w:tcPr>
          <w:p w14:paraId="3150388E">
            <w:pPr>
              <w:spacing w:before="0" w:after="0" w:line="300" w:lineRule="auto"/>
              <w:jc w:val="left"/>
            </w:pPr>
            <w:r>
              <w:rPr>
                <w:rFonts w:ascii="Times New Roman" w:eastAsia="宋体"/>
                <w:sz w:val="19"/>
                <w:szCs w:val="19"/>
              </w:rPr>
              <w:t>分类结果</w:t>
            </w:r>
          </w:p>
        </w:tc>
        <w:tc>
          <w:tcPr>
            <w:tcW w:w="3255" w:type="dxa"/>
            <w:tcMar>
              <w:top w:w="60" w:type="dxa"/>
              <w:left w:w="100" w:type="dxa"/>
              <w:bottom w:w="60" w:type="dxa"/>
              <w:right w:w="100" w:type="dxa"/>
            </w:tcMar>
          </w:tcPr>
          <w:p w14:paraId="752511F2">
            <w:pPr>
              <w:spacing w:before="0" w:after="0" w:line="300" w:lineRule="auto"/>
              <w:jc w:val="left"/>
            </w:pPr>
            <w:r>
              <w:rPr>
                <w:rFonts w:ascii="Times New Roman" w:eastAsia="宋体"/>
                <w:sz w:val="19"/>
                <w:szCs w:val="19"/>
              </w:rPr>
              <w:t xml:space="preserve">几乎全判为 </w:t>
            </w:r>
            <w:r>
              <w:rPr>
                <w:rFonts w:ascii="Consolas" w:eastAsia="宋体"/>
                <w:sz w:val="17"/>
                <w:szCs w:val="17"/>
              </w:rPr>
              <w:t>existing_role</w:t>
            </w:r>
          </w:p>
        </w:tc>
        <w:tc>
          <w:tcPr>
            <w:tcW w:w="5032" w:type="dxa"/>
            <w:tcMar>
              <w:top w:w="60" w:type="dxa"/>
              <w:left w:w="100" w:type="dxa"/>
              <w:bottom w:w="60" w:type="dxa"/>
              <w:right w:w="100" w:type="dxa"/>
            </w:tcMar>
          </w:tcPr>
          <w:p w14:paraId="70921E90">
            <w:pPr>
              <w:spacing w:before="0" w:after="0" w:line="300" w:lineRule="auto"/>
              <w:jc w:val="left"/>
            </w:pPr>
            <w:r>
              <w:rPr>
                <w:rFonts w:ascii="Times New Roman" w:eastAsia="宋体"/>
                <w:sz w:val="19"/>
                <w:szCs w:val="19"/>
              </w:rPr>
              <w:t>潜在新岗位 2 / 岗位演化 12 / 既有岗位 27</w:t>
            </w:r>
          </w:p>
        </w:tc>
      </w:tr>
    </w:tbl>
    <w:p w14:paraId="0CDC12A8">
      <w:pPr>
        <w:spacing w:after="160"/>
      </w:pPr>
    </w:p>
    <w:p w14:paraId="1EF93954">
      <w:pPr>
        <w:spacing w:before="200" w:after="60"/>
        <w:jc w:val="center"/>
      </w:pPr>
      <w:r>
        <w:drawing>
          <wp:inline distT="0" distB="0" distL="0" distR="0">
            <wp:extent cx="5715000" cy="2238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5"/>
                    <a:srcRect/>
                    <a:stretch>
                      <a:fillRect/>
                    </a:stretch>
                  </pic:blipFill>
                  <pic:spPr>
                    <a:xfrm>
                      <a:off x="0" y="0"/>
                      <a:ext cx="5715000" cy="2238375"/>
                    </a:xfrm>
                    <a:prstGeom prst="rect">
                      <a:avLst/>
                    </a:prstGeom>
                  </pic:spPr>
                </pic:pic>
              </a:graphicData>
            </a:graphic>
          </wp:inline>
        </w:drawing>
      </w:r>
    </w:p>
    <w:p w14:paraId="25597A5C">
      <w:pPr>
        <w:spacing w:after="240"/>
        <w:jc w:val="center"/>
      </w:pPr>
      <w:r>
        <w:rPr>
          <w:rFonts w:ascii="Times New Roman" w:eastAsia="宋体"/>
          <w:color w:val="444444"/>
          <w:sz w:val="19"/>
          <w:szCs w:val="19"/>
        </w:rPr>
        <w:t>图 4-2　候选粒度决定覆盖率测量的分辨率</w:t>
      </w:r>
    </w:p>
    <w:p w14:paraId="07C35F06">
      <w:pPr>
        <w:spacing w:before="60" w:after="100" w:line="340" w:lineRule="auto"/>
        <w:jc w:val="both"/>
      </w:pPr>
      <w:r>
        <w:rPr>
          <w:rFonts w:ascii="Times New Roman" w:eastAsia="宋体"/>
          <w:sz w:val="21"/>
          <w:szCs w:val="21"/>
        </w:rPr>
        <w:t>两条必要的资格线：技术点少于 2 个的岗位版本不参与比较（能力定义过薄，任何包含该技术点的组合与其重合度都会虚高）；系统支持将指定岗位集合"视为不存在"，用于反事实分析与留出验证。</w:t>
      </w:r>
    </w:p>
    <w:p w14:paraId="0E7A8BC9">
      <w:pPr>
        <w:spacing w:before="60" w:after="100" w:line="340" w:lineRule="auto"/>
        <w:jc w:val="both"/>
      </w:pPr>
      <w:r>
        <w:rPr>
          <w:rFonts w:ascii="Times New Roman" w:eastAsia="宋体"/>
          <w:sz w:val="21"/>
          <w:szCs w:val="21"/>
        </w:rPr>
        <w:t>岗位画像与候选的比较按</w:t>
      </w:r>
      <w:r>
        <w:rPr>
          <w:rFonts w:ascii="Times New Roman" w:eastAsia="宋体"/>
          <w:b/>
          <w:bCs/>
          <w:sz w:val="21"/>
          <w:szCs w:val="21"/>
        </w:rPr>
        <w:t>技术编码</w:t>
      </w:r>
      <w:r>
        <w:rPr>
          <w:rFonts w:ascii="Times New Roman" w:eastAsia="宋体"/>
          <w:sz w:val="21"/>
          <w:szCs w:val="21"/>
        </w:rPr>
        <w:t>而非内部节点标识进行，使比较在技术词表跨版本演进后仍然成立。</w:t>
      </w:r>
    </w:p>
    <w:p w14:paraId="77B4D7CE">
      <w:pPr>
        <w:pStyle w:val="3"/>
        <w:spacing w:before="280" w:after="140"/>
      </w:pPr>
      <w:r>
        <w:rPr>
          <w:rFonts w:ascii="Arial" w:eastAsia="黑体"/>
          <w:b/>
          <w:bCs/>
          <w:sz w:val="24"/>
          <w:szCs w:val="24"/>
        </w:rPr>
        <w:t>4.1.3 技术成熟度模型</w:t>
      </w:r>
    </w:p>
    <w:p w14:paraId="1E786A1C">
      <w:pPr>
        <w:spacing w:before="60" w:after="100" w:line="340" w:lineRule="auto"/>
        <w:jc w:val="both"/>
      </w:pPr>
      <w:r>
        <w:rPr>
          <w:rFonts w:ascii="Times New Roman" w:eastAsia="宋体"/>
          <w:sz w:val="21"/>
          <w:szCs w:val="21"/>
        </w:rPr>
        <w:t>候选的技术侧证据来自技术里程碑（论文、专利、工程突破、产品发布、标准政策等）的时间衰减累积：</w:t>
      </w:r>
    </w:p>
    <w:p w14:paraId="3F80C528">
      <w:pPr>
        <w:spacing w:before="160" w:after="160"/>
        <w:jc w:val="center"/>
      </w:pPr>
      <w:r>
        <w:rPr>
          <w:rFonts w:ascii="Cambria Math" w:eastAsia="宋体"/>
          <w:i/>
          <w:iCs/>
          <w:sz w:val="22"/>
          <w:szCs w:val="22"/>
        </w:rPr>
        <w:t>M = 1 - exp (-α Σ_i w_type(i) · rel_i · e^-λ · age_i · q_i )</w:t>
      </w:r>
    </w:p>
    <w:p w14:paraId="53EF5910">
      <w:pPr>
        <w:spacing w:before="60" w:after="100" w:line="340" w:lineRule="auto"/>
        <w:jc w:val="both"/>
      </w:pPr>
      <w:r>
        <w:rPr>
          <w:rFonts w:ascii="Times New Roman" w:eastAsia="宋体"/>
          <w:sz w:val="21"/>
          <w:szCs w:val="21"/>
        </w:rPr>
        <w:t xml:space="preserve">其中 </w:t>
      </w:r>
      <w:r>
        <w:rPr>
          <w:rFonts w:ascii="Cambria Math" w:eastAsia="宋体"/>
          <w:i/>
          <w:iCs/>
          <w:sz w:val="21"/>
          <w:szCs w:val="21"/>
        </w:rPr>
        <w:t>w_type</w:t>
      </w:r>
      <w:r>
        <w:rPr>
          <w:rFonts w:ascii="Times New Roman" w:eastAsia="宋体"/>
          <w:sz w:val="21"/>
          <w:szCs w:val="21"/>
        </w:rPr>
        <w:t xml:space="preserve"> 为事件类型权重，</w:t>
      </w:r>
      <w:r>
        <w:rPr>
          <w:rFonts w:ascii="Cambria Math" w:eastAsia="宋体"/>
          <w:i/>
          <w:iCs/>
          <w:sz w:val="21"/>
          <w:szCs w:val="21"/>
        </w:rPr>
        <w:t>rel</w:t>
      </w:r>
      <w:r>
        <w:rPr>
          <w:rFonts w:ascii="Times New Roman" w:eastAsia="宋体"/>
          <w:sz w:val="21"/>
          <w:szCs w:val="21"/>
        </w:rPr>
        <w:t xml:space="preserve"> 为事件与技术点的相关度，</w:t>
      </w:r>
      <w:r>
        <w:rPr>
          <w:rFonts w:ascii="Cambria Math" w:eastAsia="宋体"/>
          <w:i/>
          <w:iCs/>
          <w:sz w:val="21"/>
          <w:szCs w:val="21"/>
        </w:rPr>
        <w:t>age</w:t>
      </w:r>
      <w:r>
        <w:rPr>
          <w:rFonts w:ascii="Times New Roman" w:eastAsia="宋体"/>
          <w:sz w:val="21"/>
          <w:szCs w:val="21"/>
        </w:rPr>
        <w:t xml:space="preserve"> 为事件距目标日期的年数，</w:t>
      </w:r>
      <w:r>
        <w:rPr>
          <w:rFonts w:ascii="Cambria Math" w:eastAsia="宋体"/>
          <w:i/>
          <w:iCs/>
          <w:sz w:val="21"/>
          <w:szCs w:val="21"/>
        </w:rPr>
        <w:t>q</w:t>
      </w:r>
      <w:r>
        <w:rPr>
          <w:rFonts w:ascii="Times New Roman" w:eastAsia="宋体"/>
          <w:sz w:val="21"/>
          <w:szCs w:val="21"/>
        </w:rPr>
        <w:t xml:space="preserve"> 为来源可靠度，</w:t>
      </w:r>
      <w:r>
        <w:rPr>
          <w:rFonts w:ascii="Cambria Math" w:eastAsia="宋体"/>
          <w:i/>
          <w:iCs/>
          <w:sz w:val="21"/>
          <w:szCs w:val="21"/>
        </w:rPr>
        <w:t>λ = 0.35</w:t>
      </w:r>
      <w:r>
        <w:rPr>
          <w:rFonts w:ascii="Times New Roman" w:eastAsia="宋体"/>
          <w:sz w:val="21"/>
          <w:szCs w:val="21"/>
        </w:rPr>
        <w:t>。</w:t>
      </w:r>
    </w:p>
    <w:p w14:paraId="0ACE52D6">
      <w:pPr>
        <w:spacing w:before="60" w:after="100" w:line="340" w:lineRule="auto"/>
        <w:jc w:val="both"/>
      </w:pPr>
      <w:r>
        <w:rPr>
          <w:rFonts w:ascii="Times New Roman" w:eastAsia="宋体"/>
          <w:b/>
          <w:bCs/>
          <w:sz w:val="21"/>
          <w:szCs w:val="21"/>
        </w:rPr>
        <w:t>类型权重体现证据强度的递进</w:t>
      </w:r>
      <w:r>
        <w:rPr>
          <w:rFonts w:ascii="Times New Roman" w:eastAsia="宋体"/>
          <w:sz w:val="21"/>
          <w:szCs w:val="21"/>
        </w:rPr>
        <w:t>，排序依据为该类事件对"技术已可用于生产"的证明力：</w:t>
      </w:r>
    </w:p>
    <w:tbl>
      <w:tblPr>
        <w:tblStyle w:val="11"/>
        <w:tblW w:w="9026"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1244"/>
        <w:gridCol w:w="1244"/>
        <w:gridCol w:w="6538"/>
      </w:tblGrid>
      <w:tr w14:paraId="77DFA144">
        <w:trPr>
          <w:tblHeader/>
        </w:trPr>
        <w:tc>
          <w:tcPr>
            <w:tcW w:w="1244" w:type="dxa"/>
            <w:shd w:val="clear" w:color="auto" w:fill="EDF2F7"/>
            <w:tcMar>
              <w:top w:w="60" w:type="dxa"/>
              <w:left w:w="100" w:type="dxa"/>
              <w:bottom w:w="60" w:type="dxa"/>
              <w:right w:w="100" w:type="dxa"/>
            </w:tcMar>
          </w:tcPr>
          <w:p w14:paraId="385E59C2">
            <w:pPr>
              <w:spacing w:before="0" w:after="0" w:line="300" w:lineRule="auto"/>
              <w:jc w:val="center"/>
            </w:pPr>
            <w:r>
              <w:rPr>
                <w:rFonts w:ascii="Times New Roman" w:eastAsia="宋体"/>
                <w:b/>
                <w:bCs/>
                <w:sz w:val="19"/>
                <w:szCs w:val="19"/>
              </w:rPr>
              <w:t>事件类型</w:t>
            </w:r>
          </w:p>
        </w:tc>
        <w:tc>
          <w:tcPr>
            <w:tcW w:w="1244" w:type="dxa"/>
            <w:shd w:val="clear" w:color="auto" w:fill="EDF2F7"/>
            <w:tcMar>
              <w:top w:w="60" w:type="dxa"/>
              <w:left w:w="100" w:type="dxa"/>
              <w:bottom w:w="60" w:type="dxa"/>
              <w:right w:w="100" w:type="dxa"/>
            </w:tcMar>
          </w:tcPr>
          <w:p w14:paraId="2F10CF77">
            <w:pPr>
              <w:spacing w:before="0" w:after="0" w:line="300" w:lineRule="auto"/>
              <w:jc w:val="center"/>
            </w:pPr>
            <w:r>
              <w:rPr>
                <w:rFonts w:ascii="Times New Roman" w:eastAsia="宋体"/>
                <w:b/>
                <w:bCs/>
                <w:sz w:val="19"/>
                <w:szCs w:val="19"/>
              </w:rPr>
              <w:t>权重</w:t>
            </w:r>
          </w:p>
        </w:tc>
        <w:tc>
          <w:tcPr>
            <w:tcW w:w="6538" w:type="dxa"/>
            <w:shd w:val="clear" w:color="auto" w:fill="EDF2F7"/>
            <w:tcMar>
              <w:top w:w="60" w:type="dxa"/>
              <w:left w:w="100" w:type="dxa"/>
              <w:bottom w:w="60" w:type="dxa"/>
              <w:right w:w="100" w:type="dxa"/>
            </w:tcMar>
          </w:tcPr>
          <w:p w14:paraId="1A14388E">
            <w:pPr>
              <w:spacing w:before="0" w:after="0" w:line="300" w:lineRule="auto"/>
              <w:jc w:val="center"/>
            </w:pPr>
            <w:r>
              <w:rPr>
                <w:rFonts w:ascii="Times New Roman" w:eastAsia="宋体"/>
                <w:b/>
                <w:bCs/>
                <w:sz w:val="19"/>
                <w:szCs w:val="19"/>
              </w:rPr>
              <w:t>依据</w:t>
            </w:r>
          </w:p>
        </w:tc>
      </w:tr>
      <w:tr w14:paraId="74117BCC">
        <w:tc>
          <w:tcPr>
            <w:tcW w:w="1244" w:type="dxa"/>
            <w:tcMar>
              <w:top w:w="60" w:type="dxa"/>
              <w:left w:w="100" w:type="dxa"/>
              <w:bottom w:w="60" w:type="dxa"/>
              <w:right w:w="100" w:type="dxa"/>
            </w:tcMar>
          </w:tcPr>
          <w:p w14:paraId="3C251177">
            <w:pPr>
              <w:spacing w:before="0" w:after="0" w:line="300" w:lineRule="auto"/>
              <w:jc w:val="left"/>
            </w:pPr>
            <w:r>
              <w:rPr>
                <w:rFonts w:ascii="Times New Roman" w:eastAsia="宋体"/>
                <w:sz w:val="19"/>
                <w:szCs w:val="19"/>
              </w:rPr>
              <w:t>技术演示</w:t>
            </w:r>
          </w:p>
        </w:tc>
        <w:tc>
          <w:tcPr>
            <w:tcW w:w="1244" w:type="dxa"/>
            <w:tcMar>
              <w:top w:w="60" w:type="dxa"/>
              <w:left w:w="100" w:type="dxa"/>
              <w:bottom w:w="60" w:type="dxa"/>
              <w:right w:w="100" w:type="dxa"/>
            </w:tcMar>
          </w:tcPr>
          <w:p w14:paraId="3B047111">
            <w:pPr>
              <w:spacing w:before="0" w:after="0" w:line="300" w:lineRule="auto"/>
              <w:jc w:val="left"/>
            </w:pPr>
            <w:r>
              <w:rPr>
                <w:rFonts w:ascii="Times New Roman" w:eastAsia="宋体"/>
                <w:sz w:val="19"/>
                <w:szCs w:val="19"/>
              </w:rPr>
              <w:t>0.45</w:t>
            </w:r>
          </w:p>
        </w:tc>
        <w:tc>
          <w:tcPr>
            <w:tcW w:w="6538" w:type="dxa"/>
            <w:tcMar>
              <w:top w:w="60" w:type="dxa"/>
              <w:left w:w="100" w:type="dxa"/>
              <w:bottom w:w="60" w:type="dxa"/>
              <w:right w:w="100" w:type="dxa"/>
            </w:tcMar>
          </w:tcPr>
          <w:p w14:paraId="1B945247">
            <w:pPr>
              <w:spacing w:before="0" w:after="0" w:line="300" w:lineRule="auto"/>
              <w:jc w:val="left"/>
            </w:pPr>
            <w:r>
              <w:rPr>
                <w:rFonts w:ascii="Times New Roman" w:eastAsia="宋体"/>
                <w:sz w:val="19"/>
                <w:szCs w:val="19"/>
              </w:rPr>
              <w:t>证明概念可行，未必可复现</w:t>
            </w:r>
          </w:p>
        </w:tc>
      </w:tr>
      <w:tr w14:paraId="4E58F9A1">
        <w:tc>
          <w:tcPr>
            <w:tcW w:w="1244" w:type="dxa"/>
            <w:tcMar>
              <w:top w:w="60" w:type="dxa"/>
              <w:left w:w="100" w:type="dxa"/>
              <w:bottom w:w="60" w:type="dxa"/>
              <w:right w:w="100" w:type="dxa"/>
            </w:tcMar>
          </w:tcPr>
          <w:p w14:paraId="31730764">
            <w:pPr>
              <w:spacing w:before="0" w:after="0" w:line="300" w:lineRule="auto"/>
              <w:jc w:val="left"/>
            </w:pPr>
            <w:r>
              <w:rPr>
                <w:rFonts w:ascii="Times New Roman" w:eastAsia="宋体"/>
                <w:sz w:val="19"/>
                <w:szCs w:val="19"/>
              </w:rPr>
              <w:t>论文</w:t>
            </w:r>
          </w:p>
        </w:tc>
        <w:tc>
          <w:tcPr>
            <w:tcW w:w="1244" w:type="dxa"/>
            <w:tcMar>
              <w:top w:w="60" w:type="dxa"/>
              <w:left w:w="100" w:type="dxa"/>
              <w:bottom w:w="60" w:type="dxa"/>
              <w:right w:w="100" w:type="dxa"/>
            </w:tcMar>
          </w:tcPr>
          <w:p w14:paraId="5373BA65">
            <w:pPr>
              <w:spacing w:before="0" w:after="0" w:line="300" w:lineRule="auto"/>
              <w:jc w:val="left"/>
            </w:pPr>
            <w:r>
              <w:rPr>
                <w:rFonts w:ascii="Times New Roman" w:eastAsia="宋体"/>
                <w:sz w:val="19"/>
                <w:szCs w:val="19"/>
              </w:rPr>
              <w:t>0.55</w:t>
            </w:r>
          </w:p>
        </w:tc>
        <w:tc>
          <w:tcPr>
            <w:tcW w:w="6538" w:type="dxa"/>
            <w:tcMar>
              <w:top w:w="60" w:type="dxa"/>
              <w:left w:w="100" w:type="dxa"/>
              <w:bottom w:w="60" w:type="dxa"/>
              <w:right w:w="100" w:type="dxa"/>
            </w:tcMar>
          </w:tcPr>
          <w:p w14:paraId="2D1A7F71">
            <w:pPr>
              <w:spacing w:before="0" w:after="0" w:line="300" w:lineRule="auto"/>
              <w:jc w:val="left"/>
            </w:pPr>
            <w:r>
              <w:rPr>
                <w:rFonts w:ascii="Times New Roman" w:eastAsia="宋体"/>
                <w:sz w:val="19"/>
                <w:szCs w:val="19"/>
              </w:rPr>
              <w:t>方法可行且经同行评议</w:t>
            </w:r>
          </w:p>
        </w:tc>
      </w:tr>
      <w:tr w14:paraId="42D722C0">
        <w:tc>
          <w:tcPr>
            <w:tcW w:w="1244" w:type="dxa"/>
            <w:tcMar>
              <w:top w:w="60" w:type="dxa"/>
              <w:left w:w="100" w:type="dxa"/>
              <w:bottom w:w="60" w:type="dxa"/>
              <w:right w:w="100" w:type="dxa"/>
            </w:tcMar>
          </w:tcPr>
          <w:p w14:paraId="0F8B9054">
            <w:pPr>
              <w:spacing w:before="0" w:after="0" w:line="300" w:lineRule="auto"/>
              <w:jc w:val="left"/>
            </w:pPr>
            <w:r>
              <w:rPr>
                <w:rFonts w:ascii="Times New Roman" w:eastAsia="宋体"/>
                <w:sz w:val="19"/>
                <w:szCs w:val="19"/>
              </w:rPr>
              <w:t>专利</w:t>
            </w:r>
          </w:p>
        </w:tc>
        <w:tc>
          <w:tcPr>
            <w:tcW w:w="1244" w:type="dxa"/>
            <w:tcMar>
              <w:top w:w="60" w:type="dxa"/>
              <w:left w:w="100" w:type="dxa"/>
              <w:bottom w:w="60" w:type="dxa"/>
              <w:right w:w="100" w:type="dxa"/>
            </w:tcMar>
          </w:tcPr>
          <w:p w14:paraId="609EF4B4">
            <w:pPr>
              <w:spacing w:before="0" w:after="0" w:line="300" w:lineRule="auto"/>
              <w:jc w:val="left"/>
            </w:pPr>
            <w:r>
              <w:rPr>
                <w:rFonts w:ascii="Times New Roman" w:eastAsia="宋体"/>
                <w:sz w:val="19"/>
                <w:szCs w:val="19"/>
              </w:rPr>
              <w:t>0.60</w:t>
            </w:r>
          </w:p>
        </w:tc>
        <w:tc>
          <w:tcPr>
            <w:tcW w:w="6538" w:type="dxa"/>
            <w:tcMar>
              <w:top w:w="60" w:type="dxa"/>
              <w:left w:w="100" w:type="dxa"/>
              <w:bottom w:w="60" w:type="dxa"/>
              <w:right w:w="100" w:type="dxa"/>
            </w:tcMar>
          </w:tcPr>
          <w:p w14:paraId="26EF245E">
            <w:pPr>
              <w:spacing w:before="0" w:after="0" w:line="300" w:lineRule="auto"/>
              <w:jc w:val="left"/>
            </w:pPr>
            <w:r>
              <w:rPr>
                <w:rFonts w:ascii="Times New Roman" w:eastAsia="宋体"/>
                <w:sz w:val="19"/>
                <w:szCs w:val="19"/>
              </w:rPr>
              <w:t>技术可实现，但未必已部署</w:t>
            </w:r>
          </w:p>
        </w:tc>
      </w:tr>
      <w:tr w14:paraId="4B930476">
        <w:tc>
          <w:tcPr>
            <w:tcW w:w="1244" w:type="dxa"/>
            <w:tcMar>
              <w:top w:w="60" w:type="dxa"/>
              <w:left w:w="100" w:type="dxa"/>
              <w:bottom w:w="60" w:type="dxa"/>
              <w:right w:w="100" w:type="dxa"/>
            </w:tcMar>
          </w:tcPr>
          <w:p w14:paraId="21DEDFD9">
            <w:pPr>
              <w:spacing w:before="0" w:after="0" w:line="300" w:lineRule="auto"/>
              <w:jc w:val="left"/>
            </w:pPr>
            <w:r>
              <w:rPr>
                <w:rFonts w:ascii="Times New Roman" w:eastAsia="宋体"/>
                <w:sz w:val="19"/>
                <w:szCs w:val="19"/>
              </w:rPr>
              <w:t>工程突破</w:t>
            </w:r>
          </w:p>
        </w:tc>
        <w:tc>
          <w:tcPr>
            <w:tcW w:w="1244" w:type="dxa"/>
            <w:tcMar>
              <w:top w:w="60" w:type="dxa"/>
              <w:left w:w="100" w:type="dxa"/>
              <w:bottom w:w="60" w:type="dxa"/>
              <w:right w:w="100" w:type="dxa"/>
            </w:tcMar>
          </w:tcPr>
          <w:p w14:paraId="47E4627D">
            <w:pPr>
              <w:spacing w:before="0" w:after="0" w:line="300" w:lineRule="auto"/>
              <w:jc w:val="left"/>
            </w:pPr>
            <w:r>
              <w:rPr>
                <w:rFonts w:ascii="Times New Roman" w:eastAsia="宋体"/>
                <w:sz w:val="19"/>
                <w:szCs w:val="19"/>
              </w:rPr>
              <w:t>0.68</w:t>
            </w:r>
          </w:p>
        </w:tc>
        <w:tc>
          <w:tcPr>
            <w:tcW w:w="6538" w:type="dxa"/>
            <w:tcMar>
              <w:top w:w="60" w:type="dxa"/>
              <w:left w:w="100" w:type="dxa"/>
              <w:bottom w:w="60" w:type="dxa"/>
              <w:right w:w="100" w:type="dxa"/>
            </w:tcMar>
          </w:tcPr>
          <w:p w14:paraId="2DB96D7E">
            <w:pPr>
              <w:spacing w:before="0" w:after="0" w:line="300" w:lineRule="auto"/>
              <w:jc w:val="left"/>
            </w:pPr>
            <w:r>
              <w:rPr>
                <w:rFonts w:ascii="Times New Roman" w:eastAsia="宋体"/>
                <w:sz w:val="19"/>
                <w:szCs w:val="19"/>
              </w:rPr>
              <w:t>已解决工程化问题</w:t>
            </w:r>
          </w:p>
        </w:tc>
      </w:tr>
      <w:tr w14:paraId="1277F19B">
        <w:tc>
          <w:tcPr>
            <w:tcW w:w="1244" w:type="dxa"/>
            <w:tcMar>
              <w:top w:w="60" w:type="dxa"/>
              <w:left w:w="100" w:type="dxa"/>
              <w:bottom w:w="60" w:type="dxa"/>
              <w:right w:w="100" w:type="dxa"/>
            </w:tcMar>
          </w:tcPr>
          <w:p w14:paraId="39D77E2C">
            <w:pPr>
              <w:spacing w:before="0" w:after="0" w:line="300" w:lineRule="auto"/>
              <w:jc w:val="left"/>
            </w:pPr>
            <w:r>
              <w:rPr>
                <w:rFonts w:ascii="Times New Roman" w:eastAsia="宋体"/>
                <w:sz w:val="19"/>
                <w:szCs w:val="19"/>
              </w:rPr>
              <w:t>融资</w:t>
            </w:r>
          </w:p>
        </w:tc>
        <w:tc>
          <w:tcPr>
            <w:tcW w:w="1244" w:type="dxa"/>
            <w:tcMar>
              <w:top w:w="60" w:type="dxa"/>
              <w:left w:w="100" w:type="dxa"/>
              <w:bottom w:w="60" w:type="dxa"/>
              <w:right w:w="100" w:type="dxa"/>
            </w:tcMar>
          </w:tcPr>
          <w:p w14:paraId="60EF1768">
            <w:pPr>
              <w:spacing w:before="0" w:after="0" w:line="300" w:lineRule="auto"/>
              <w:jc w:val="left"/>
            </w:pPr>
            <w:r>
              <w:rPr>
                <w:rFonts w:ascii="Times New Roman" w:eastAsia="宋体"/>
                <w:sz w:val="19"/>
                <w:szCs w:val="19"/>
              </w:rPr>
              <w:t>0.70</w:t>
            </w:r>
          </w:p>
        </w:tc>
        <w:tc>
          <w:tcPr>
            <w:tcW w:w="6538" w:type="dxa"/>
            <w:tcMar>
              <w:top w:w="60" w:type="dxa"/>
              <w:left w:w="100" w:type="dxa"/>
              <w:bottom w:w="60" w:type="dxa"/>
              <w:right w:w="100" w:type="dxa"/>
            </w:tcMar>
          </w:tcPr>
          <w:p w14:paraId="2D028D06">
            <w:pPr>
              <w:spacing w:before="0" w:after="0" w:line="300" w:lineRule="auto"/>
              <w:jc w:val="left"/>
            </w:pPr>
            <w:r>
              <w:rPr>
                <w:rFonts w:ascii="Times New Roman" w:eastAsia="宋体"/>
                <w:sz w:val="19"/>
                <w:szCs w:val="19"/>
              </w:rPr>
              <w:t>资本对商业化前景的判断，对岗位涌现具前瞻性</w:t>
            </w:r>
          </w:p>
        </w:tc>
      </w:tr>
      <w:tr w14:paraId="1567376E">
        <w:tc>
          <w:tcPr>
            <w:tcW w:w="1244" w:type="dxa"/>
            <w:tcMar>
              <w:top w:w="60" w:type="dxa"/>
              <w:left w:w="100" w:type="dxa"/>
              <w:bottom w:w="60" w:type="dxa"/>
              <w:right w:w="100" w:type="dxa"/>
            </w:tcMar>
          </w:tcPr>
          <w:p w14:paraId="369FB568">
            <w:pPr>
              <w:spacing w:before="0" w:after="0" w:line="300" w:lineRule="auto"/>
              <w:jc w:val="left"/>
            </w:pPr>
            <w:r>
              <w:rPr>
                <w:rFonts w:ascii="Times New Roman" w:eastAsia="宋体"/>
                <w:sz w:val="19"/>
                <w:szCs w:val="19"/>
              </w:rPr>
              <w:t>标准政策</w:t>
            </w:r>
          </w:p>
        </w:tc>
        <w:tc>
          <w:tcPr>
            <w:tcW w:w="1244" w:type="dxa"/>
            <w:tcMar>
              <w:top w:w="60" w:type="dxa"/>
              <w:left w:w="100" w:type="dxa"/>
              <w:bottom w:w="60" w:type="dxa"/>
              <w:right w:w="100" w:type="dxa"/>
            </w:tcMar>
          </w:tcPr>
          <w:p w14:paraId="0C84365A">
            <w:pPr>
              <w:spacing w:before="0" w:after="0" w:line="300" w:lineRule="auto"/>
              <w:jc w:val="left"/>
            </w:pPr>
            <w:r>
              <w:rPr>
                <w:rFonts w:ascii="Times New Roman" w:eastAsia="宋体"/>
                <w:sz w:val="19"/>
                <w:szCs w:val="19"/>
              </w:rPr>
              <w:t>0.72</w:t>
            </w:r>
          </w:p>
        </w:tc>
        <w:tc>
          <w:tcPr>
            <w:tcW w:w="6538" w:type="dxa"/>
            <w:tcMar>
              <w:top w:w="60" w:type="dxa"/>
              <w:left w:w="100" w:type="dxa"/>
              <w:bottom w:w="60" w:type="dxa"/>
              <w:right w:w="100" w:type="dxa"/>
            </w:tcMar>
          </w:tcPr>
          <w:p w14:paraId="0EA1B805">
            <w:pPr>
              <w:spacing w:before="0" w:after="0" w:line="300" w:lineRule="auto"/>
              <w:jc w:val="left"/>
            </w:pPr>
            <w:r>
              <w:rPr>
                <w:rFonts w:ascii="Times New Roman" w:eastAsia="宋体"/>
                <w:sz w:val="19"/>
                <w:szCs w:val="19"/>
              </w:rPr>
              <w:t>技术已进入规模化阶段</w:t>
            </w:r>
          </w:p>
        </w:tc>
      </w:tr>
    </w:tbl>
    <w:p w14:paraId="1FBD5CA4">
      <w:pPr>
        <w:spacing w:after="160"/>
      </w:pPr>
    </w:p>
    <w:p w14:paraId="3D58032F">
      <w:pPr>
        <w:spacing w:before="60" w:after="100" w:line="340" w:lineRule="auto"/>
        <w:jc w:val="both"/>
      </w:pPr>
      <w:r>
        <w:rPr>
          <w:rFonts w:ascii="Times New Roman" w:eastAsia="宋体"/>
          <w:b/>
          <w:bCs/>
          <w:sz w:val="21"/>
          <w:szCs w:val="21"/>
        </w:rPr>
        <w:t xml:space="preserve">饱和系数 </w:t>
      </w:r>
      <w:r>
        <w:rPr>
          <w:rFonts w:ascii="Cambria Math" w:eastAsia="宋体"/>
          <w:b/>
          <w:bCs/>
          <w:i/>
          <w:iCs/>
          <w:sz w:val="21"/>
          <w:szCs w:val="21"/>
        </w:rPr>
        <w:t>α</w:t>
      </w:r>
      <w:r>
        <w:rPr>
          <w:rFonts w:ascii="Times New Roman" w:eastAsia="宋体"/>
          <w:b/>
          <w:bCs/>
          <w:sz w:val="21"/>
          <w:szCs w:val="21"/>
        </w:rPr>
        <w:t xml:space="preserve"> 由数据标定确定。</w:t>
      </w:r>
      <w:r>
        <w:rPr>
          <w:rFonts w:ascii="Times New Roman" w:eastAsia="宋体"/>
          <w:sz w:val="21"/>
          <w:szCs w:val="21"/>
        </w:rPr>
        <w:t xml:space="preserve"> 该系数决定成熟度曲线的饱和速度：取值过大时，累积量超过一定水平的技术会全部被压至上限而彼此无法区分，成熟度这一维随之失效。依据语料中证据累积量的实际分布（1.3–17.3）标定为 </w:t>
      </w:r>
      <w:r>
        <w:rPr>
          <w:rFonts w:ascii="Cambria Math" w:eastAsia="宋体"/>
          <w:i/>
          <w:iCs/>
          <w:sz w:val="21"/>
          <w:szCs w:val="21"/>
        </w:rPr>
        <w:t>α = 0.17</w:t>
      </w:r>
      <w:r>
        <w:rPr>
          <w:rFonts w:ascii="Times New Roman" w:eastAsia="宋体"/>
          <w:sz w:val="21"/>
          <w:szCs w:val="21"/>
        </w:rPr>
        <w:t>，使该区间映射到约 0.20–0.95，上限不再构成绑定约束。</w:t>
      </w:r>
    </w:p>
    <w:p w14:paraId="14B5DC9B">
      <w:pPr>
        <w:spacing w:before="60" w:after="100" w:line="340" w:lineRule="auto"/>
        <w:jc w:val="both"/>
      </w:pPr>
      <w:r>
        <w:rPr>
          <w:rFonts w:ascii="Times New Roman" w:eastAsia="宋体"/>
          <w:b/>
          <w:bCs/>
          <w:sz w:val="21"/>
          <w:szCs w:val="21"/>
        </w:rPr>
        <w:t>祖先继承机制</w:t>
      </w:r>
      <w:r>
        <w:rPr>
          <w:rFonts w:ascii="Times New Roman" w:eastAsia="宋体"/>
          <w:sz w:val="21"/>
          <w:szCs w:val="21"/>
        </w:rPr>
        <w:t>：技术里程碑通常挂载在较粗的技术类上，而 JD 证据落在具体技术点上。无直接证据的节点沿父链继承祖先证据，每上溯一层按 0.6 折减，保证有直接证据的节点始终排在继承者之前。</w:t>
      </w:r>
    </w:p>
    <w:p w14:paraId="148E4C99">
      <w:pPr>
        <w:spacing w:before="60" w:after="100" w:line="340" w:lineRule="auto"/>
        <w:jc w:val="both"/>
      </w:pPr>
      <w:r>
        <w:rPr>
          <w:rFonts w:ascii="Times New Roman" w:eastAsia="宋体"/>
          <w:sz w:val="21"/>
          <w:szCs w:val="21"/>
        </w:rPr>
        <w:t>系统当前已导入 427 条技术里程碑，产出 9,032 条成熟度快照。</w:t>
      </w:r>
    </w:p>
    <w:p w14:paraId="436EBB7C">
      <w:pPr>
        <w:pStyle w:val="3"/>
        <w:spacing w:before="280" w:after="140"/>
      </w:pPr>
      <w:r>
        <w:rPr>
          <w:rFonts w:ascii="Arial" w:eastAsia="黑体"/>
          <w:b/>
          <w:bCs/>
          <w:sz w:val="24"/>
          <w:szCs w:val="24"/>
        </w:rPr>
        <w:t>4.1.4 证据门控的成熟度分档</w:t>
      </w:r>
    </w:p>
    <w:p w14:paraId="3048F89F">
      <w:pPr>
        <w:spacing w:before="60" w:after="100" w:line="340" w:lineRule="auto"/>
        <w:jc w:val="both"/>
      </w:pPr>
      <w:r>
        <w:rPr>
          <w:rFonts w:ascii="Times New Roman" w:eastAsia="宋体"/>
          <w:b/>
          <w:bCs/>
          <w:sz w:val="21"/>
          <w:szCs w:val="21"/>
        </w:rPr>
        <w:t>"这是一个新岗位"是一个需要多重独立证据同时成立的结论，而非评分达标即可。</w:t>
      </w:r>
      <w:r>
        <w:rPr>
          <w:rFonts w:ascii="Times New Roman" w:eastAsia="宋体"/>
          <w:sz w:val="21"/>
          <w:szCs w:val="21"/>
        </w:rPr>
        <w:t xml:space="preserve"> 因此分档独立于评分，由证据条件的合取门控：</w:t>
      </w:r>
    </w:p>
    <w:tbl>
      <w:tblPr>
        <w:tblStyle w:val="11"/>
        <w:tblW w:w="9026"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2354"/>
        <w:gridCol w:w="6672"/>
      </w:tblGrid>
      <w:tr w14:paraId="51122155">
        <w:trPr>
          <w:tblHeader/>
        </w:trPr>
        <w:tc>
          <w:tcPr>
            <w:tcW w:w="2354" w:type="dxa"/>
            <w:shd w:val="clear" w:color="auto" w:fill="EDF2F7"/>
            <w:tcMar>
              <w:top w:w="60" w:type="dxa"/>
              <w:left w:w="100" w:type="dxa"/>
              <w:bottom w:w="60" w:type="dxa"/>
              <w:right w:w="100" w:type="dxa"/>
            </w:tcMar>
          </w:tcPr>
          <w:p w14:paraId="30975B4D">
            <w:pPr>
              <w:spacing w:before="0" w:after="0" w:line="300" w:lineRule="auto"/>
              <w:jc w:val="center"/>
            </w:pPr>
            <w:r>
              <w:rPr>
                <w:rFonts w:ascii="Times New Roman" w:eastAsia="宋体"/>
                <w:b/>
                <w:bCs/>
                <w:sz w:val="19"/>
                <w:szCs w:val="19"/>
              </w:rPr>
              <w:t>档位</w:t>
            </w:r>
          </w:p>
        </w:tc>
        <w:tc>
          <w:tcPr>
            <w:tcW w:w="6672" w:type="dxa"/>
            <w:shd w:val="clear" w:color="auto" w:fill="EDF2F7"/>
            <w:tcMar>
              <w:top w:w="60" w:type="dxa"/>
              <w:left w:w="100" w:type="dxa"/>
              <w:bottom w:w="60" w:type="dxa"/>
              <w:right w:w="100" w:type="dxa"/>
            </w:tcMar>
          </w:tcPr>
          <w:p w14:paraId="248AABA0">
            <w:pPr>
              <w:spacing w:before="0" w:after="0" w:line="300" w:lineRule="auto"/>
              <w:jc w:val="center"/>
            </w:pPr>
            <w:r>
              <w:rPr>
                <w:rFonts w:ascii="Times New Roman" w:eastAsia="宋体"/>
                <w:b/>
                <w:bCs/>
                <w:sz w:val="19"/>
                <w:szCs w:val="19"/>
              </w:rPr>
              <w:t>门控条件（须全部满足方可升档）</w:t>
            </w:r>
          </w:p>
        </w:tc>
      </w:tr>
      <w:tr w14:paraId="5CA516C3">
        <w:tc>
          <w:tcPr>
            <w:tcW w:w="2354" w:type="dxa"/>
            <w:tcMar>
              <w:top w:w="60" w:type="dxa"/>
              <w:left w:w="100" w:type="dxa"/>
              <w:bottom w:w="60" w:type="dxa"/>
              <w:right w:w="100" w:type="dxa"/>
            </w:tcMar>
          </w:tcPr>
          <w:p w14:paraId="0F08B993">
            <w:pPr>
              <w:spacing w:before="0" w:after="0" w:line="300" w:lineRule="auto"/>
              <w:jc w:val="left"/>
            </w:pPr>
            <w:r>
              <w:rPr>
                <w:rFonts w:ascii="Times New Roman" w:eastAsia="宋体"/>
                <w:b/>
                <w:bCs/>
                <w:sz w:val="19"/>
                <w:szCs w:val="19"/>
              </w:rPr>
              <w:t>potential</w:t>
            </w:r>
            <w:r>
              <w:rPr>
                <w:rFonts w:ascii="Times New Roman" w:eastAsia="宋体"/>
                <w:sz w:val="19"/>
                <w:szCs w:val="19"/>
              </w:rPr>
              <w:t xml:space="preserve"> 潜在</w:t>
            </w:r>
          </w:p>
        </w:tc>
        <w:tc>
          <w:tcPr>
            <w:tcW w:w="6672" w:type="dxa"/>
            <w:tcMar>
              <w:top w:w="60" w:type="dxa"/>
              <w:left w:w="100" w:type="dxa"/>
              <w:bottom w:w="60" w:type="dxa"/>
              <w:right w:w="100" w:type="dxa"/>
            </w:tcMar>
          </w:tcPr>
          <w:p w14:paraId="692D9714">
            <w:pPr>
              <w:spacing w:before="0" w:after="0" w:line="300" w:lineRule="auto"/>
              <w:jc w:val="left"/>
            </w:pPr>
            <w:r>
              <w:rPr>
                <w:rFonts w:ascii="Times New Roman" w:eastAsia="宋体"/>
                <w:sz w:val="19"/>
                <w:szCs w:val="19"/>
              </w:rPr>
              <w:t>默认档</w:t>
            </w:r>
          </w:p>
        </w:tc>
      </w:tr>
      <w:tr w14:paraId="28997E41">
        <w:tc>
          <w:tcPr>
            <w:tcW w:w="2354" w:type="dxa"/>
            <w:tcMar>
              <w:top w:w="60" w:type="dxa"/>
              <w:left w:w="100" w:type="dxa"/>
              <w:bottom w:w="60" w:type="dxa"/>
              <w:right w:w="100" w:type="dxa"/>
            </w:tcMar>
          </w:tcPr>
          <w:p w14:paraId="79B6A1AE">
            <w:pPr>
              <w:spacing w:before="0" w:after="0" w:line="300" w:lineRule="auto"/>
              <w:jc w:val="left"/>
            </w:pPr>
            <w:r>
              <w:rPr>
                <w:rFonts w:ascii="Times New Roman" w:eastAsia="宋体"/>
                <w:b/>
                <w:bCs/>
                <w:sz w:val="19"/>
                <w:szCs w:val="19"/>
              </w:rPr>
              <w:t>budding</w:t>
            </w:r>
            <w:r>
              <w:rPr>
                <w:rFonts w:ascii="Times New Roman" w:eastAsia="宋体"/>
                <w:sz w:val="19"/>
                <w:szCs w:val="19"/>
              </w:rPr>
              <w:t xml:space="preserve"> 萌芽</w:t>
            </w:r>
          </w:p>
        </w:tc>
        <w:tc>
          <w:tcPr>
            <w:tcW w:w="6672" w:type="dxa"/>
            <w:tcMar>
              <w:top w:w="60" w:type="dxa"/>
              <w:left w:w="100" w:type="dxa"/>
              <w:bottom w:w="60" w:type="dxa"/>
              <w:right w:w="100" w:type="dxa"/>
            </w:tcMar>
          </w:tcPr>
          <w:p w14:paraId="31FA657A">
            <w:pPr>
              <w:spacing w:before="0" w:after="0" w:line="300" w:lineRule="auto"/>
              <w:jc w:val="left"/>
            </w:pPr>
            <w:r>
              <w:rPr>
                <w:rFonts w:ascii="Times New Roman" w:eastAsia="宋体"/>
                <w:sz w:val="19"/>
                <w:szCs w:val="19"/>
              </w:rPr>
              <w:t xml:space="preserve">评分 ≥ 45 </w:t>
            </w:r>
            <w:r>
              <w:rPr>
                <w:rFonts w:ascii="Times New Roman" w:eastAsia="宋体"/>
                <w:b/>
                <w:bCs/>
                <w:sz w:val="19"/>
                <w:szCs w:val="19"/>
              </w:rPr>
              <w:t>且</w:t>
            </w:r>
            <w:r>
              <w:rPr>
                <w:rFonts w:ascii="Times New Roman" w:eastAsia="宋体"/>
                <w:sz w:val="19"/>
                <w:szCs w:val="19"/>
              </w:rPr>
              <w:t xml:space="preserve"> 支撑 JD ≥ 3 份 </w:t>
            </w:r>
            <w:r>
              <w:rPr>
                <w:rFonts w:ascii="Times New Roman" w:eastAsia="宋体"/>
                <w:b/>
                <w:bCs/>
                <w:sz w:val="19"/>
                <w:szCs w:val="19"/>
              </w:rPr>
              <w:t>且</w:t>
            </w:r>
            <w:r>
              <w:rPr>
                <w:rFonts w:ascii="Times New Roman" w:eastAsia="宋体"/>
                <w:sz w:val="19"/>
                <w:szCs w:val="19"/>
              </w:rPr>
              <w:t xml:space="preserve"> 发布企业 ≥ 2 家 </w:t>
            </w:r>
            <w:r>
              <w:rPr>
                <w:rFonts w:ascii="Times New Roman" w:eastAsia="宋体"/>
                <w:b/>
                <w:bCs/>
                <w:sz w:val="19"/>
                <w:szCs w:val="19"/>
              </w:rPr>
              <w:t>且</w:t>
            </w:r>
            <w:r>
              <w:rPr>
                <w:rFonts w:ascii="Times New Roman" w:eastAsia="宋体"/>
                <w:sz w:val="19"/>
                <w:szCs w:val="19"/>
              </w:rPr>
              <w:t xml:space="preserve"> 观测窗 ≥ 2 期 </w:t>
            </w:r>
            <w:r>
              <w:rPr>
                <w:rFonts w:ascii="Times New Roman" w:eastAsia="宋体"/>
                <w:b/>
                <w:bCs/>
                <w:sz w:val="19"/>
                <w:szCs w:val="19"/>
              </w:rPr>
              <w:t>且</w:t>
            </w:r>
            <w:r>
              <w:rPr>
                <w:rFonts w:ascii="Times New Roman" w:eastAsia="宋体"/>
                <w:sz w:val="19"/>
                <w:szCs w:val="19"/>
              </w:rPr>
              <w:t xml:space="preserve"> 技术已验证</w:t>
            </w:r>
          </w:p>
        </w:tc>
      </w:tr>
      <w:tr w14:paraId="612CE0F9">
        <w:tc>
          <w:tcPr>
            <w:tcW w:w="2354" w:type="dxa"/>
            <w:tcMar>
              <w:top w:w="60" w:type="dxa"/>
              <w:left w:w="100" w:type="dxa"/>
              <w:bottom w:w="60" w:type="dxa"/>
              <w:right w:w="100" w:type="dxa"/>
            </w:tcMar>
          </w:tcPr>
          <w:p w14:paraId="0503A222">
            <w:pPr>
              <w:spacing w:before="0" w:after="0" w:line="300" w:lineRule="auto"/>
              <w:jc w:val="left"/>
            </w:pPr>
            <w:r>
              <w:rPr>
                <w:rFonts w:ascii="Times New Roman" w:eastAsia="宋体"/>
                <w:b/>
                <w:bCs/>
                <w:sz w:val="19"/>
                <w:szCs w:val="19"/>
              </w:rPr>
              <w:t>emerging</w:t>
            </w:r>
            <w:r>
              <w:rPr>
                <w:rFonts w:ascii="Times New Roman" w:eastAsia="宋体"/>
                <w:sz w:val="19"/>
                <w:szCs w:val="19"/>
              </w:rPr>
              <w:t xml:space="preserve"> 涌现</w:t>
            </w:r>
          </w:p>
        </w:tc>
        <w:tc>
          <w:tcPr>
            <w:tcW w:w="6672" w:type="dxa"/>
            <w:tcMar>
              <w:top w:w="60" w:type="dxa"/>
              <w:left w:w="100" w:type="dxa"/>
              <w:bottom w:w="60" w:type="dxa"/>
              <w:right w:w="100" w:type="dxa"/>
            </w:tcMar>
          </w:tcPr>
          <w:p w14:paraId="30A7BC26">
            <w:pPr>
              <w:spacing w:before="0" w:after="0" w:line="300" w:lineRule="auto"/>
              <w:jc w:val="left"/>
            </w:pPr>
            <w:r>
              <w:rPr>
                <w:rFonts w:ascii="Times New Roman" w:eastAsia="宋体"/>
                <w:sz w:val="19"/>
                <w:szCs w:val="19"/>
              </w:rPr>
              <w:t xml:space="preserve">评分 ≥ 65 </w:t>
            </w:r>
            <w:r>
              <w:rPr>
                <w:rFonts w:ascii="Times New Roman" w:eastAsia="宋体"/>
                <w:b/>
                <w:bCs/>
                <w:sz w:val="19"/>
                <w:szCs w:val="19"/>
              </w:rPr>
              <w:t>且</w:t>
            </w:r>
            <w:r>
              <w:rPr>
                <w:rFonts w:ascii="Times New Roman" w:eastAsia="宋体"/>
                <w:sz w:val="19"/>
                <w:szCs w:val="19"/>
              </w:rPr>
              <w:t xml:space="preserve"> 数据来源 ≥ 2 </w:t>
            </w:r>
            <w:r>
              <w:rPr>
                <w:rFonts w:ascii="Times New Roman" w:eastAsia="宋体"/>
                <w:b/>
                <w:bCs/>
                <w:sz w:val="19"/>
                <w:szCs w:val="19"/>
              </w:rPr>
              <w:t>且</w:t>
            </w:r>
            <w:r>
              <w:rPr>
                <w:rFonts w:ascii="Times New Roman" w:eastAsia="宋体"/>
                <w:sz w:val="19"/>
                <w:szCs w:val="19"/>
              </w:rPr>
              <w:t xml:space="preserve"> 应用证据 ≥ 1 </w:t>
            </w:r>
            <w:r>
              <w:rPr>
                <w:rFonts w:ascii="Times New Roman" w:eastAsia="宋体"/>
                <w:b/>
                <w:bCs/>
                <w:sz w:val="19"/>
                <w:szCs w:val="19"/>
              </w:rPr>
              <w:t>且</w:t>
            </w:r>
            <w:r>
              <w:rPr>
                <w:rFonts w:ascii="Times New Roman" w:eastAsia="宋体"/>
                <w:sz w:val="19"/>
                <w:szCs w:val="19"/>
              </w:rPr>
              <w:t xml:space="preserve"> 技术成熟度 ≥ 0.35 </w:t>
            </w:r>
            <w:r>
              <w:rPr>
                <w:rFonts w:ascii="Times New Roman" w:eastAsia="宋体"/>
                <w:b/>
                <w:bCs/>
                <w:sz w:val="19"/>
                <w:szCs w:val="19"/>
              </w:rPr>
              <w:t>且</w:t>
            </w:r>
            <w:r>
              <w:rPr>
                <w:rFonts w:ascii="Times New Roman" w:eastAsia="宋体"/>
                <w:sz w:val="19"/>
                <w:szCs w:val="19"/>
              </w:rPr>
              <w:t xml:space="preserve"> 学术产业落差 ≥ 0.25 </w:t>
            </w:r>
            <w:r>
              <w:rPr>
                <w:rFonts w:ascii="Times New Roman" w:eastAsia="宋体"/>
                <w:b/>
                <w:bCs/>
                <w:sz w:val="19"/>
                <w:szCs w:val="19"/>
              </w:rPr>
              <w:t>且</w:t>
            </w:r>
            <w:r>
              <w:rPr>
                <w:rFonts w:ascii="Times New Roman" w:eastAsia="宋体"/>
                <w:sz w:val="19"/>
                <w:szCs w:val="19"/>
              </w:rPr>
              <w:t xml:space="preserve"> 观测窗 ≥ 3 期</w:t>
            </w:r>
          </w:p>
        </w:tc>
      </w:tr>
    </w:tbl>
    <w:p w14:paraId="43C8F7DF">
      <w:pPr>
        <w:spacing w:after="160"/>
      </w:pPr>
    </w:p>
    <w:p w14:paraId="614AD059">
      <w:pPr>
        <w:spacing w:before="60" w:after="100" w:line="340" w:lineRule="auto"/>
        <w:jc w:val="both"/>
      </w:pPr>
      <w:r>
        <w:rPr>
          <w:rFonts w:ascii="Times New Roman" w:eastAsia="宋体"/>
          <w:sz w:val="21"/>
          <w:szCs w:val="21"/>
        </w:rPr>
        <w:t>合取门控相对"单一评分阈值"的优势在于</w:t>
      </w:r>
      <w:r>
        <w:rPr>
          <w:rFonts w:ascii="Times New Roman" w:eastAsia="宋体"/>
          <w:b/>
          <w:bCs/>
          <w:sz w:val="21"/>
          <w:szCs w:val="21"/>
        </w:rPr>
        <w:t>抗特定偏差</w:t>
      </w:r>
      <w:r>
        <w:rPr>
          <w:rFonts w:ascii="Times New Roman" w:eastAsia="宋体"/>
          <w:sz w:val="21"/>
          <w:szCs w:val="21"/>
        </w:rPr>
        <w:t>：单一企业的一次特殊招聘无法凭高分升档，因为它无法通过企业数这一条件；单一来源的信息同理。凡未满足的条件均转化为显式的</w:t>
      </w:r>
      <w:r>
        <w:rPr>
          <w:rFonts w:ascii="Times New Roman" w:eastAsia="宋体"/>
          <w:b/>
          <w:bCs/>
          <w:sz w:val="21"/>
          <w:szCs w:val="21"/>
        </w:rPr>
        <w:t>风险旗标</w:t>
      </w:r>
      <w:r>
        <w:rPr>
          <w:rFonts w:ascii="Times New Roman" w:eastAsia="宋体"/>
          <w:sz w:val="21"/>
          <w:szCs w:val="21"/>
        </w:rPr>
        <w:t>（单一企业信号、单一来源信号、时序历史不足、缺少应用证据等），随候选一并呈现给审核者，而不是被折算进一个分数后消失。</w:t>
      </w:r>
    </w:p>
    <w:p w14:paraId="4B18CB73">
      <w:pPr>
        <w:spacing w:before="60" w:after="100" w:line="340" w:lineRule="auto"/>
        <w:jc w:val="both"/>
      </w:pPr>
      <w:r>
        <w:rPr>
          <w:rFonts w:ascii="Times New Roman" w:eastAsia="宋体"/>
          <w:sz w:val="21"/>
          <w:szCs w:val="21"/>
        </w:rPr>
        <w:t>候选评分本身为 8 个正向维度的加权和减去 5 项惩罚：</w:t>
      </w:r>
    </w:p>
    <w:tbl>
      <w:tblPr>
        <w:tblStyle w:val="11"/>
        <w:tblW w:w="9026"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2527"/>
        <w:gridCol w:w="1444"/>
        <w:gridCol w:w="1444"/>
        <w:gridCol w:w="2166"/>
        <w:gridCol w:w="1445"/>
      </w:tblGrid>
      <w:tr w14:paraId="0ED23DEB">
        <w:trPr>
          <w:tblHeader/>
        </w:trPr>
        <w:tc>
          <w:tcPr>
            <w:tcW w:w="2527" w:type="dxa"/>
            <w:shd w:val="clear" w:color="auto" w:fill="EDF2F7"/>
            <w:tcMar>
              <w:top w:w="60" w:type="dxa"/>
              <w:left w:w="100" w:type="dxa"/>
              <w:bottom w:w="60" w:type="dxa"/>
              <w:right w:w="100" w:type="dxa"/>
            </w:tcMar>
          </w:tcPr>
          <w:p w14:paraId="1135FC5D">
            <w:pPr>
              <w:spacing w:before="0" w:after="0" w:line="300" w:lineRule="auto"/>
              <w:jc w:val="center"/>
            </w:pPr>
            <w:r>
              <w:rPr>
                <w:rFonts w:ascii="Times New Roman" w:eastAsia="宋体"/>
                <w:b/>
                <w:bCs/>
                <w:sz w:val="19"/>
                <w:szCs w:val="19"/>
              </w:rPr>
              <w:t>正向维度</w:t>
            </w:r>
          </w:p>
        </w:tc>
        <w:tc>
          <w:tcPr>
            <w:tcW w:w="1444" w:type="dxa"/>
            <w:shd w:val="clear" w:color="auto" w:fill="EDF2F7"/>
            <w:tcMar>
              <w:top w:w="60" w:type="dxa"/>
              <w:left w:w="100" w:type="dxa"/>
              <w:bottom w:w="60" w:type="dxa"/>
              <w:right w:w="100" w:type="dxa"/>
            </w:tcMar>
          </w:tcPr>
          <w:p w14:paraId="472262C0">
            <w:pPr>
              <w:spacing w:before="0" w:after="0" w:line="300" w:lineRule="auto"/>
              <w:jc w:val="center"/>
            </w:pPr>
            <w:r>
              <w:rPr>
                <w:rFonts w:ascii="Times New Roman" w:eastAsia="宋体"/>
                <w:b/>
                <w:bCs/>
                <w:sz w:val="19"/>
                <w:szCs w:val="19"/>
              </w:rPr>
              <w:t>权重</w:t>
            </w:r>
          </w:p>
        </w:tc>
        <w:tc>
          <w:tcPr>
            <w:tcW w:w="1444" w:type="dxa"/>
            <w:shd w:val="clear" w:color="auto" w:fill="EDF2F7"/>
            <w:tcMar>
              <w:top w:w="60" w:type="dxa"/>
              <w:left w:w="100" w:type="dxa"/>
              <w:bottom w:w="60" w:type="dxa"/>
              <w:right w:w="100" w:type="dxa"/>
            </w:tcMar>
          </w:tcPr>
          <w:p w14:paraId="073D356A">
            <w:pPr>
              <w:spacing w:before="0" w:after="0" w:line="300" w:lineRule="auto"/>
              <w:jc w:val="center"/>
            </w:pPr>
          </w:p>
        </w:tc>
        <w:tc>
          <w:tcPr>
            <w:tcW w:w="2166" w:type="dxa"/>
            <w:shd w:val="clear" w:color="auto" w:fill="EDF2F7"/>
            <w:tcMar>
              <w:top w:w="60" w:type="dxa"/>
              <w:left w:w="100" w:type="dxa"/>
              <w:bottom w:w="60" w:type="dxa"/>
              <w:right w:w="100" w:type="dxa"/>
            </w:tcMar>
          </w:tcPr>
          <w:p w14:paraId="5465FB77">
            <w:pPr>
              <w:spacing w:before="0" w:after="0" w:line="300" w:lineRule="auto"/>
              <w:jc w:val="center"/>
            </w:pPr>
            <w:r>
              <w:rPr>
                <w:rFonts w:ascii="Times New Roman" w:eastAsia="宋体"/>
                <w:b/>
                <w:bCs/>
                <w:sz w:val="19"/>
                <w:szCs w:val="19"/>
              </w:rPr>
              <w:t>惩罚项</w:t>
            </w:r>
          </w:p>
        </w:tc>
        <w:tc>
          <w:tcPr>
            <w:tcW w:w="1445" w:type="dxa"/>
            <w:shd w:val="clear" w:color="auto" w:fill="EDF2F7"/>
            <w:tcMar>
              <w:top w:w="60" w:type="dxa"/>
              <w:left w:w="100" w:type="dxa"/>
              <w:bottom w:w="60" w:type="dxa"/>
              <w:right w:w="100" w:type="dxa"/>
            </w:tcMar>
          </w:tcPr>
          <w:p w14:paraId="28ED517B">
            <w:pPr>
              <w:spacing w:before="0" w:after="0" w:line="300" w:lineRule="auto"/>
              <w:jc w:val="center"/>
            </w:pPr>
            <w:r>
              <w:rPr>
                <w:rFonts w:ascii="Times New Roman" w:eastAsia="宋体"/>
                <w:b/>
                <w:bCs/>
                <w:sz w:val="19"/>
                <w:szCs w:val="19"/>
              </w:rPr>
              <w:t>扣分</w:t>
            </w:r>
          </w:p>
        </w:tc>
      </w:tr>
      <w:tr w14:paraId="159105CD">
        <w:tc>
          <w:tcPr>
            <w:tcW w:w="2527" w:type="dxa"/>
            <w:tcMar>
              <w:top w:w="60" w:type="dxa"/>
              <w:left w:w="100" w:type="dxa"/>
              <w:bottom w:w="60" w:type="dxa"/>
              <w:right w:w="100" w:type="dxa"/>
            </w:tcMar>
          </w:tcPr>
          <w:p w14:paraId="4DD32B30">
            <w:pPr>
              <w:spacing w:before="0" w:after="0" w:line="300" w:lineRule="auto"/>
              <w:jc w:val="left"/>
            </w:pPr>
            <w:r>
              <w:rPr>
                <w:rFonts w:ascii="Times New Roman" w:eastAsia="宋体"/>
                <w:sz w:val="19"/>
                <w:szCs w:val="19"/>
              </w:rPr>
              <w:t>学术—产业落差</w:t>
            </w:r>
          </w:p>
        </w:tc>
        <w:tc>
          <w:tcPr>
            <w:tcW w:w="1444" w:type="dxa"/>
            <w:tcMar>
              <w:top w:w="60" w:type="dxa"/>
              <w:left w:w="100" w:type="dxa"/>
              <w:bottom w:w="60" w:type="dxa"/>
              <w:right w:w="100" w:type="dxa"/>
            </w:tcMar>
          </w:tcPr>
          <w:p w14:paraId="136A197C">
            <w:pPr>
              <w:spacing w:before="0" w:after="0" w:line="300" w:lineRule="auto"/>
              <w:jc w:val="left"/>
            </w:pPr>
            <w:r>
              <w:rPr>
                <w:rFonts w:ascii="Times New Roman" w:eastAsia="宋体"/>
                <w:sz w:val="19"/>
                <w:szCs w:val="19"/>
              </w:rPr>
              <w:t>0.22</w:t>
            </w:r>
          </w:p>
        </w:tc>
        <w:tc>
          <w:tcPr>
            <w:tcW w:w="1444" w:type="dxa"/>
            <w:tcMar>
              <w:top w:w="60" w:type="dxa"/>
              <w:left w:w="100" w:type="dxa"/>
              <w:bottom w:w="60" w:type="dxa"/>
              <w:right w:w="100" w:type="dxa"/>
            </w:tcMar>
          </w:tcPr>
          <w:p w14:paraId="1DF33344">
            <w:pPr>
              <w:spacing w:before="0" w:after="0" w:line="300" w:lineRule="auto"/>
              <w:jc w:val="left"/>
            </w:pPr>
          </w:p>
        </w:tc>
        <w:tc>
          <w:tcPr>
            <w:tcW w:w="2166" w:type="dxa"/>
            <w:tcMar>
              <w:top w:w="60" w:type="dxa"/>
              <w:left w:w="100" w:type="dxa"/>
              <w:bottom w:w="60" w:type="dxa"/>
              <w:right w:w="100" w:type="dxa"/>
            </w:tcMar>
          </w:tcPr>
          <w:p w14:paraId="50B2E884">
            <w:pPr>
              <w:spacing w:before="0" w:after="0" w:line="300" w:lineRule="auto"/>
              <w:jc w:val="left"/>
            </w:pPr>
            <w:r>
              <w:rPr>
                <w:rFonts w:ascii="Times New Roman" w:eastAsia="宋体"/>
                <w:sz w:val="19"/>
                <w:szCs w:val="19"/>
              </w:rPr>
              <w:t>技术未经验证</w:t>
            </w:r>
          </w:p>
        </w:tc>
        <w:tc>
          <w:tcPr>
            <w:tcW w:w="1445" w:type="dxa"/>
            <w:tcMar>
              <w:top w:w="60" w:type="dxa"/>
              <w:left w:w="100" w:type="dxa"/>
              <w:bottom w:w="60" w:type="dxa"/>
              <w:right w:w="100" w:type="dxa"/>
            </w:tcMar>
          </w:tcPr>
          <w:p w14:paraId="19D12397">
            <w:pPr>
              <w:spacing w:before="0" w:after="0" w:line="300" w:lineRule="auto"/>
              <w:jc w:val="left"/>
            </w:pPr>
            <w:r>
              <w:rPr>
                <w:rFonts w:ascii="Times New Roman" w:eastAsia="宋体"/>
                <w:sz w:val="19"/>
                <w:szCs w:val="19"/>
              </w:rPr>
              <w:t>0.20</w:t>
            </w:r>
          </w:p>
        </w:tc>
      </w:tr>
      <w:tr w14:paraId="355E37DC">
        <w:tc>
          <w:tcPr>
            <w:tcW w:w="2527" w:type="dxa"/>
            <w:tcMar>
              <w:top w:w="60" w:type="dxa"/>
              <w:left w:w="100" w:type="dxa"/>
              <w:bottom w:w="60" w:type="dxa"/>
              <w:right w:w="100" w:type="dxa"/>
            </w:tcMar>
          </w:tcPr>
          <w:p w14:paraId="56577DC0">
            <w:pPr>
              <w:spacing w:before="0" w:after="0" w:line="300" w:lineRule="auto"/>
              <w:jc w:val="left"/>
            </w:pPr>
            <w:r>
              <w:rPr>
                <w:rFonts w:ascii="Times New Roman" w:eastAsia="宋体"/>
                <w:sz w:val="19"/>
                <w:szCs w:val="19"/>
              </w:rPr>
              <w:t>技术相关度</w:t>
            </w:r>
          </w:p>
        </w:tc>
        <w:tc>
          <w:tcPr>
            <w:tcW w:w="1444" w:type="dxa"/>
            <w:tcMar>
              <w:top w:w="60" w:type="dxa"/>
              <w:left w:w="100" w:type="dxa"/>
              <w:bottom w:w="60" w:type="dxa"/>
              <w:right w:w="100" w:type="dxa"/>
            </w:tcMar>
          </w:tcPr>
          <w:p w14:paraId="39C63A0A">
            <w:pPr>
              <w:spacing w:before="0" w:after="0" w:line="300" w:lineRule="auto"/>
              <w:jc w:val="left"/>
            </w:pPr>
            <w:r>
              <w:rPr>
                <w:rFonts w:ascii="Times New Roman" w:eastAsia="宋体"/>
                <w:sz w:val="19"/>
                <w:szCs w:val="19"/>
              </w:rPr>
              <w:t>0.15</w:t>
            </w:r>
          </w:p>
        </w:tc>
        <w:tc>
          <w:tcPr>
            <w:tcW w:w="1444" w:type="dxa"/>
            <w:tcMar>
              <w:top w:w="60" w:type="dxa"/>
              <w:left w:w="100" w:type="dxa"/>
              <w:bottom w:w="60" w:type="dxa"/>
              <w:right w:w="100" w:type="dxa"/>
            </w:tcMar>
          </w:tcPr>
          <w:p w14:paraId="47939198">
            <w:pPr>
              <w:spacing w:before="0" w:after="0" w:line="300" w:lineRule="auto"/>
              <w:jc w:val="left"/>
            </w:pPr>
          </w:p>
        </w:tc>
        <w:tc>
          <w:tcPr>
            <w:tcW w:w="2166" w:type="dxa"/>
            <w:tcMar>
              <w:top w:w="60" w:type="dxa"/>
              <w:left w:w="100" w:type="dxa"/>
              <w:bottom w:w="60" w:type="dxa"/>
              <w:right w:w="100" w:type="dxa"/>
            </w:tcMar>
          </w:tcPr>
          <w:p w14:paraId="314171F2">
            <w:pPr>
              <w:spacing w:before="0" w:after="0" w:line="300" w:lineRule="auto"/>
              <w:jc w:val="left"/>
            </w:pPr>
            <w:r>
              <w:rPr>
                <w:rFonts w:ascii="Times New Roman" w:eastAsia="宋体"/>
                <w:sz w:val="19"/>
                <w:szCs w:val="19"/>
              </w:rPr>
              <w:t>纯营销语料</w:t>
            </w:r>
          </w:p>
        </w:tc>
        <w:tc>
          <w:tcPr>
            <w:tcW w:w="1445" w:type="dxa"/>
            <w:tcMar>
              <w:top w:w="60" w:type="dxa"/>
              <w:left w:w="100" w:type="dxa"/>
              <w:bottom w:w="60" w:type="dxa"/>
              <w:right w:w="100" w:type="dxa"/>
            </w:tcMar>
          </w:tcPr>
          <w:p w14:paraId="782CF244">
            <w:pPr>
              <w:spacing w:before="0" w:after="0" w:line="300" w:lineRule="auto"/>
              <w:jc w:val="left"/>
            </w:pPr>
            <w:r>
              <w:rPr>
                <w:rFonts w:ascii="Times New Roman" w:eastAsia="宋体"/>
                <w:sz w:val="19"/>
                <w:szCs w:val="19"/>
              </w:rPr>
              <w:t>0.15</w:t>
            </w:r>
          </w:p>
        </w:tc>
      </w:tr>
      <w:tr w14:paraId="04CEEE61">
        <w:tc>
          <w:tcPr>
            <w:tcW w:w="2527" w:type="dxa"/>
            <w:tcMar>
              <w:top w:w="60" w:type="dxa"/>
              <w:left w:w="100" w:type="dxa"/>
              <w:bottom w:w="60" w:type="dxa"/>
              <w:right w:w="100" w:type="dxa"/>
            </w:tcMar>
          </w:tcPr>
          <w:p w14:paraId="20C15E37">
            <w:pPr>
              <w:spacing w:before="0" w:after="0" w:line="300" w:lineRule="auto"/>
              <w:jc w:val="left"/>
            </w:pPr>
            <w:r>
              <w:rPr>
                <w:rFonts w:ascii="Times New Roman" w:eastAsia="宋体"/>
                <w:sz w:val="19"/>
                <w:szCs w:val="19"/>
              </w:rPr>
              <w:t>市场支撑</w:t>
            </w:r>
          </w:p>
        </w:tc>
        <w:tc>
          <w:tcPr>
            <w:tcW w:w="1444" w:type="dxa"/>
            <w:tcMar>
              <w:top w:w="60" w:type="dxa"/>
              <w:left w:w="100" w:type="dxa"/>
              <w:bottom w:w="60" w:type="dxa"/>
              <w:right w:w="100" w:type="dxa"/>
            </w:tcMar>
          </w:tcPr>
          <w:p w14:paraId="1C6B29D5">
            <w:pPr>
              <w:spacing w:before="0" w:after="0" w:line="300" w:lineRule="auto"/>
              <w:jc w:val="left"/>
            </w:pPr>
            <w:r>
              <w:rPr>
                <w:rFonts w:ascii="Times New Roman" w:eastAsia="宋体"/>
                <w:sz w:val="19"/>
                <w:szCs w:val="19"/>
              </w:rPr>
              <w:t>0.14</w:t>
            </w:r>
          </w:p>
        </w:tc>
        <w:tc>
          <w:tcPr>
            <w:tcW w:w="1444" w:type="dxa"/>
            <w:tcMar>
              <w:top w:w="60" w:type="dxa"/>
              <w:left w:w="100" w:type="dxa"/>
              <w:bottom w:w="60" w:type="dxa"/>
              <w:right w:w="100" w:type="dxa"/>
            </w:tcMar>
          </w:tcPr>
          <w:p w14:paraId="7775DB8D">
            <w:pPr>
              <w:spacing w:before="0" w:after="0" w:line="300" w:lineRule="auto"/>
              <w:jc w:val="left"/>
            </w:pPr>
          </w:p>
        </w:tc>
        <w:tc>
          <w:tcPr>
            <w:tcW w:w="2166" w:type="dxa"/>
            <w:tcMar>
              <w:top w:w="60" w:type="dxa"/>
              <w:left w:w="100" w:type="dxa"/>
              <w:bottom w:w="60" w:type="dxa"/>
              <w:right w:w="100" w:type="dxa"/>
            </w:tcMar>
          </w:tcPr>
          <w:p w14:paraId="524372E4">
            <w:pPr>
              <w:spacing w:before="0" w:after="0" w:line="300" w:lineRule="auto"/>
              <w:jc w:val="left"/>
            </w:pPr>
            <w:r>
              <w:rPr>
                <w:rFonts w:ascii="Times New Roman" w:eastAsia="宋体"/>
                <w:sz w:val="19"/>
                <w:szCs w:val="19"/>
              </w:rPr>
              <w:t>证据自相矛盾</w:t>
            </w:r>
          </w:p>
        </w:tc>
        <w:tc>
          <w:tcPr>
            <w:tcW w:w="1445" w:type="dxa"/>
            <w:tcMar>
              <w:top w:w="60" w:type="dxa"/>
              <w:left w:w="100" w:type="dxa"/>
              <w:bottom w:w="60" w:type="dxa"/>
              <w:right w:w="100" w:type="dxa"/>
            </w:tcMar>
          </w:tcPr>
          <w:p w14:paraId="309D9EE4">
            <w:pPr>
              <w:spacing w:before="0" w:after="0" w:line="300" w:lineRule="auto"/>
              <w:jc w:val="left"/>
            </w:pPr>
            <w:r>
              <w:rPr>
                <w:rFonts w:ascii="Times New Roman" w:eastAsia="宋体"/>
                <w:sz w:val="19"/>
                <w:szCs w:val="19"/>
              </w:rPr>
              <w:t>0.12</w:t>
            </w:r>
          </w:p>
        </w:tc>
      </w:tr>
      <w:tr w14:paraId="2D6FFF2E">
        <w:tc>
          <w:tcPr>
            <w:tcW w:w="2527" w:type="dxa"/>
            <w:tcMar>
              <w:top w:w="60" w:type="dxa"/>
              <w:left w:w="100" w:type="dxa"/>
              <w:bottom w:w="60" w:type="dxa"/>
              <w:right w:w="100" w:type="dxa"/>
            </w:tcMar>
          </w:tcPr>
          <w:p w14:paraId="363FE76B">
            <w:pPr>
              <w:spacing w:before="0" w:after="0" w:line="300" w:lineRule="auto"/>
              <w:jc w:val="left"/>
            </w:pPr>
            <w:r>
              <w:rPr>
                <w:rFonts w:ascii="Times New Roman" w:eastAsia="宋体"/>
                <w:sz w:val="19"/>
                <w:szCs w:val="19"/>
              </w:rPr>
              <w:t>社区内聚度</w:t>
            </w:r>
          </w:p>
        </w:tc>
        <w:tc>
          <w:tcPr>
            <w:tcW w:w="1444" w:type="dxa"/>
            <w:tcMar>
              <w:top w:w="60" w:type="dxa"/>
              <w:left w:w="100" w:type="dxa"/>
              <w:bottom w:w="60" w:type="dxa"/>
              <w:right w:w="100" w:type="dxa"/>
            </w:tcMar>
          </w:tcPr>
          <w:p w14:paraId="6847888F">
            <w:pPr>
              <w:spacing w:before="0" w:after="0" w:line="300" w:lineRule="auto"/>
              <w:jc w:val="left"/>
            </w:pPr>
            <w:r>
              <w:rPr>
                <w:rFonts w:ascii="Times New Roman" w:eastAsia="宋体"/>
                <w:sz w:val="19"/>
                <w:szCs w:val="19"/>
              </w:rPr>
              <w:t>0.12</w:t>
            </w:r>
          </w:p>
        </w:tc>
        <w:tc>
          <w:tcPr>
            <w:tcW w:w="1444" w:type="dxa"/>
            <w:tcMar>
              <w:top w:w="60" w:type="dxa"/>
              <w:left w:w="100" w:type="dxa"/>
              <w:bottom w:w="60" w:type="dxa"/>
              <w:right w:w="100" w:type="dxa"/>
            </w:tcMar>
          </w:tcPr>
          <w:p w14:paraId="423949C1">
            <w:pPr>
              <w:spacing w:before="0" w:after="0" w:line="300" w:lineRule="auto"/>
              <w:jc w:val="left"/>
            </w:pPr>
          </w:p>
        </w:tc>
        <w:tc>
          <w:tcPr>
            <w:tcW w:w="2166" w:type="dxa"/>
            <w:tcMar>
              <w:top w:w="60" w:type="dxa"/>
              <w:left w:w="100" w:type="dxa"/>
              <w:bottom w:w="60" w:type="dxa"/>
              <w:right w:w="100" w:type="dxa"/>
            </w:tcMar>
          </w:tcPr>
          <w:p w14:paraId="1AAFCDFE">
            <w:pPr>
              <w:spacing w:before="0" w:after="0" w:line="300" w:lineRule="auto"/>
              <w:jc w:val="left"/>
            </w:pPr>
            <w:r>
              <w:rPr>
                <w:rFonts w:ascii="Times New Roman" w:eastAsia="宋体"/>
                <w:sz w:val="19"/>
                <w:szCs w:val="19"/>
              </w:rPr>
              <w:t>单一企业信号</w:t>
            </w:r>
          </w:p>
        </w:tc>
        <w:tc>
          <w:tcPr>
            <w:tcW w:w="1445" w:type="dxa"/>
            <w:tcMar>
              <w:top w:w="60" w:type="dxa"/>
              <w:left w:w="100" w:type="dxa"/>
              <w:bottom w:w="60" w:type="dxa"/>
              <w:right w:w="100" w:type="dxa"/>
            </w:tcMar>
          </w:tcPr>
          <w:p w14:paraId="0723E1F2">
            <w:pPr>
              <w:spacing w:before="0" w:after="0" w:line="300" w:lineRule="auto"/>
              <w:jc w:val="left"/>
            </w:pPr>
            <w:r>
              <w:rPr>
                <w:rFonts w:ascii="Times New Roman" w:eastAsia="宋体"/>
                <w:sz w:val="19"/>
                <w:szCs w:val="19"/>
              </w:rPr>
              <w:t>0.10</w:t>
            </w:r>
          </w:p>
        </w:tc>
      </w:tr>
      <w:tr w14:paraId="519EFE98">
        <w:tc>
          <w:tcPr>
            <w:tcW w:w="2527" w:type="dxa"/>
            <w:tcMar>
              <w:top w:w="60" w:type="dxa"/>
              <w:left w:w="100" w:type="dxa"/>
              <w:bottom w:w="60" w:type="dxa"/>
              <w:right w:w="100" w:type="dxa"/>
            </w:tcMar>
          </w:tcPr>
          <w:p w14:paraId="67E71E46">
            <w:pPr>
              <w:spacing w:before="0" w:after="0" w:line="300" w:lineRule="auto"/>
              <w:jc w:val="left"/>
            </w:pPr>
            <w:r>
              <w:rPr>
                <w:rFonts w:ascii="Times New Roman" w:eastAsia="宋体"/>
                <w:sz w:val="19"/>
                <w:szCs w:val="19"/>
              </w:rPr>
              <w:t>技术成熟度</w:t>
            </w:r>
          </w:p>
        </w:tc>
        <w:tc>
          <w:tcPr>
            <w:tcW w:w="1444" w:type="dxa"/>
            <w:tcMar>
              <w:top w:w="60" w:type="dxa"/>
              <w:left w:w="100" w:type="dxa"/>
              <w:bottom w:w="60" w:type="dxa"/>
              <w:right w:w="100" w:type="dxa"/>
            </w:tcMar>
          </w:tcPr>
          <w:p w14:paraId="10D360AE">
            <w:pPr>
              <w:spacing w:before="0" w:after="0" w:line="300" w:lineRule="auto"/>
              <w:jc w:val="left"/>
            </w:pPr>
            <w:r>
              <w:rPr>
                <w:rFonts w:ascii="Times New Roman" w:eastAsia="宋体"/>
                <w:sz w:val="19"/>
                <w:szCs w:val="19"/>
              </w:rPr>
              <w:t>0.10</w:t>
            </w:r>
          </w:p>
        </w:tc>
        <w:tc>
          <w:tcPr>
            <w:tcW w:w="1444" w:type="dxa"/>
            <w:tcMar>
              <w:top w:w="60" w:type="dxa"/>
              <w:left w:w="100" w:type="dxa"/>
              <w:bottom w:w="60" w:type="dxa"/>
              <w:right w:w="100" w:type="dxa"/>
            </w:tcMar>
          </w:tcPr>
          <w:p w14:paraId="18DCBFC2">
            <w:pPr>
              <w:spacing w:before="0" w:after="0" w:line="300" w:lineRule="auto"/>
              <w:jc w:val="left"/>
            </w:pPr>
          </w:p>
        </w:tc>
        <w:tc>
          <w:tcPr>
            <w:tcW w:w="2166" w:type="dxa"/>
            <w:tcMar>
              <w:top w:w="60" w:type="dxa"/>
              <w:left w:w="100" w:type="dxa"/>
              <w:bottom w:w="60" w:type="dxa"/>
              <w:right w:w="100" w:type="dxa"/>
            </w:tcMar>
          </w:tcPr>
          <w:p w14:paraId="6CBFC3BF">
            <w:pPr>
              <w:spacing w:before="0" w:after="0" w:line="300" w:lineRule="auto"/>
              <w:jc w:val="left"/>
            </w:pPr>
            <w:r>
              <w:rPr>
                <w:rFonts w:ascii="Times New Roman" w:eastAsia="宋体"/>
                <w:sz w:val="19"/>
                <w:szCs w:val="19"/>
              </w:rPr>
              <w:t>单一来源信号</w:t>
            </w:r>
          </w:p>
        </w:tc>
        <w:tc>
          <w:tcPr>
            <w:tcW w:w="1445" w:type="dxa"/>
            <w:tcMar>
              <w:top w:w="60" w:type="dxa"/>
              <w:left w:w="100" w:type="dxa"/>
              <w:bottom w:w="60" w:type="dxa"/>
              <w:right w:w="100" w:type="dxa"/>
            </w:tcMar>
          </w:tcPr>
          <w:p w14:paraId="0658F400">
            <w:pPr>
              <w:spacing w:before="0" w:after="0" w:line="300" w:lineRule="auto"/>
              <w:jc w:val="left"/>
            </w:pPr>
            <w:r>
              <w:rPr>
                <w:rFonts w:ascii="Times New Roman" w:eastAsia="宋体"/>
                <w:sz w:val="19"/>
                <w:szCs w:val="19"/>
              </w:rPr>
              <w:t>0.05</w:t>
            </w:r>
          </w:p>
        </w:tc>
      </w:tr>
      <w:tr w14:paraId="222A58A2">
        <w:tc>
          <w:tcPr>
            <w:tcW w:w="2527" w:type="dxa"/>
            <w:tcMar>
              <w:top w:w="60" w:type="dxa"/>
              <w:left w:w="100" w:type="dxa"/>
              <w:bottom w:w="60" w:type="dxa"/>
              <w:right w:w="100" w:type="dxa"/>
            </w:tcMar>
          </w:tcPr>
          <w:p w14:paraId="664F84CD">
            <w:pPr>
              <w:spacing w:before="0" w:after="0" w:line="300" w:lineRule="auto"/>
              <w:jc w:val="left"/>
            </w:pPr>
            <w:r>
              <w:rPr>
                <w:rFonts w:ascii="Times New Roman" w:eastAsia="宋体"/>
                <w:sz w:val="19"/>
                <w:szCs w:val="19"/>
              </w:rPr>
              <w:t>时序稳定性</w:t>
            </w:r>
          </w:p>
        </w:tc>
        <w:tc>
          <w:tcPr>
            <w:tcW w:w="1444" w:type="dxa"/>
            <w:tcMar>
              <w:top w:w="60" w:type="dxa"/>
              <w:left w:w="100" w:type="dxa"/>
              <w:bottom w:w="60" w:type="dxa"/>
              <w:right w:w="100" w:type="dxa"/>
            </w:tcMar>
          </w:tcPr>
          <w:p w14:paraId="6DDDB92A">
            <w:pPr>
              <w:spacing w:before="0" w:after="0" w:line="300" w:lineRule="auto"/>
              <w:jc w:val="left"/>
            </w:pPr>
            <w:r>
              <w:rPr>
                <w:rFonts w:ascii="Times New Roman" w:eastAsia="宋体"/>
                <w:sz w:val="19"/>
                <w:szCs w:val="19"/>
              </w:rPr>
              <w:t>0.10</w:t>
            </w:r>
          </w:p>
        </w:tc>
        <w:tc>
          <w:tcPr>
            <w:tcW w:w="1444" w:type="dxa"/>
            <w:tcMar>
              <w:top w:w="60" w:type="dxa"/>
              <w:left w:w="100" w:type="dxa"/>
              <w:bottom w:w="60" w:type="dxa"/>
              <w:right w:w="100" w:type="dxa"/>
            </w:tcMar>
          </w:tcPr>
          <w:p w14:paraId="4E1B693F">
            <w:pPr>
              <w:spacing w:before="0" w:after="0" w:line="300" w:lineRule="auto"/>
              <w:jc w:val="left"/>
            </w:pPr>
          </w:p>
        </w:tc>
        <w:tc>
          <w:tcPr>
            <w:tcW w:w="2166" w:type="dxa"/>
            <w:tcMar>
              <w:top w:w="60" w:type="dxa"/>
              <w:left w:w="100" w:type="dxa"/>
              <w:bottom w:w="60" w:type="dxa"/>
              <w:right w:w="100" w:type="dxa"/>
            </w:tcMar>
          </w:tcPr>
          <w:p w14:paraId="5B897FE2">
            <w:pPr>
              <w:spacing w:before="0" w:after="0" w:line="300" w:lineRule="auto"/>
              <w:jc w:val="left"/>
            </w:pPr>
          </w:p>
        </w:tc>
        <w:tc>
          <w:tcPr>
            <w:tcW w:w="1445" w:type="dxa"/>
            <w:tcMar>
              <w:top w:w="60" w:type="dxa"/>
              <w:left w:w="100" w:type="dxa"/>
              <w:bottom w:w="60" w:type="dxa"/>
              <w:right w:w="100" w:type="dxa"/>
            </w:tcMar>
          </w:tcPr>
          <w:p w14:paraId="7AB2218D">
            <w:pPr>
              <w:spacing w:before="0" w:after="0" w:line="300" w:lineRule="auto"/>
              <w:jc w:val="left"/>
            </w:pPr>
          </w:p>
        </w:tc>
      </w:tr>
      <w:tr w14:paraId="43FD31B4">
        <w:tc>
          <w:tcPr>
            <w:tcW w:w="2527" w:type="dxa"/>
            <w:tcMar>
              <w:top w:w="60" w:type="dxa"/>
              <w:left w:w="100" w:type="dxa"/>
              <w:bottom w:w="60" w:type="dxa"/>
              <w:right w:w="100" w:type="dxa"/>
            </w:tcMar>
          </w:tcPr>
          <w:p w14:paraId="5A2C9131">
            <w:pPr>
              <w:spacing w:before="0" w:after="0" w:line="300" w:lineRule="auto"/>
              <w:jc w:val="left"/>
            </w:pPr>
            <w:r>
              <w:rPr>
                <w:rFonts w:ascii="Times New Roman" w:eastAsia="宋体"/>
                <w:sz w:val="19"/>
                <w:szCs w:val="19"/>
              </w:rPr>
              <w:t>证据完整度</w:t>
            </w:r>
          </w:p>
        </w:tc>
        <w:tc>
          <w:tcPr>
            <w:tcW w:w="1444" w:type="dxa"/>
            <w:tcMar>
              <w:top w:w="60" w:type="dxa"/>
              <w:left w:w="100" w:type="dxa"/>
              <w:bottom w:w="60" w:type="dxa"/>
              <w:right w:w="100" w:type="dxa"/>
            </w:tcMar>
          </w:tcPr>
          <w:p w14:paraId="4F11EAF5">
            <w:pPr>
              <w:spacing w:before="0" w:after="0" w:line="300" w:lineRule="auto"/>
              <w:jc w:val="left"/>
            </w:pPr>
            <w:r>
              <w:rPr>
                <w:rFonts w:ascii="Times New Roman" w:eastAsia="宋体"/>
                <w:sz w:val="19"/>
                <w:szCs w:val="19"/>
              </w:rPr>
              <w:t>0.10</w:t>
            </w:r>
          </w:p>
        </w:tc>
        <w:tc>
          <w:tcPr>
            <w:tcW w:w="1444" w:type="dxa"/>
            <w:tcMar>
              <w:top w:w="60" w:type="dxa"/>
              <w:left w:w="100" w:type="dxa"/>
              <w:bottom w:w="60" w:type="dxa"/>
              <w:right w:w="100" w:type="dxa"/>
            </w:tcMar>
          </w:tcPr>
          <w:p w14:paraId="35132931">
            <w:pPr>
              <w:spacing w:before="0" w:after="0" w:line="300" w:lineRule="auto"/>
              <w:jc w:val="left"/>
            </w:pPr>
          </w:p>
        </w:tc>
        <w:tc>
          <w:tcPr>
            <w:tcW w:w="2166" w:type="dxa"/>
            <w:tcMar>
              <w:top w:w="60" w:type="dxa"/>
              <w:left w:w="100" w:type="dxa"/>
              <w:bottom w:w="60" w:type="dxa"/>
              <w:right w:w="100" w:type="dxa"/>
            </w:tcMar>
          </w:tcPr>
          <w:p w14:paraId="26D73983">
            <w:pPr>
              <w:spacing w:before="0" w:after="0" w:line="300" w:lineRule="auto"/>
              <w:jc w:val="left"/>
            </w:pPr>
          </w:p>
        </w:tc>
        <w:tc>
          <w:tcPr>
            <w:tcW w:w="1445" w:type="dxa"/>
            <w:tcMar>
              <w:top w:w="60" w:type="dxa"/>
              <w:left w:w="100" w:type="dxa"/>
              <w:bottom w:w="60" w:type="dxa"/>
              <w:right w:w="100" w:type="dxa"/>
            </w:tcMar>
          </w:tcPr>
          <w:p w14:paraId="0D2D3056">
            <w:pPr>
              <w:spacing w:before="0" w:after="0" w:line="300" w:lineRule="auto"/>
              <w:jc w:val="left"/>
            </w:pPr>
          </w:p>
        </w:tc>
      </w:tr>
      <w:tr w14:paraId="7B7E4348">
        <w:tc>
          <w:tcPr>
            <w:tcW w:w="2527" w:type="dxa"/>
            <w:tcMar>
              <w:top w:w="60" w:type="dxa"/>
              <w:left w:w="100" w:type="dxa"/>
              <w:bottom w:w="60" w:type="dxa"/>
              <w:right w:w="100" w:type="dxa"/>
            </w:tcMar>
          </w:tcPr>
          <w:p w14:paraId="66009973">
            <w:pPr>
              <w:spacing w:before="0" w:after="0" w:line="300" w:lineRule="auto"/>
              <w:jc w:val="left"/>
            </w:pPr>
            <w:r>
              <w:rPr>
                <w:rFonts w:ascii="Times New Roman" w:eastAsia="宋体"/>
                <w:sz w:val="19"/>
                <w:szCs w:val="19"/>
              </w:rPr>
              <w:t>新颖度</w:t>
            </w:r>
          </w:p>
        </w:tc>
        <w:tc>
          <w:tcPr>
            <w:tcW w:w="1444" w:type="dxa"/>
            <w:tcMar>
              <w:top w:w="60" w:type="dxa"/>
              <w:left w:w="100" w:type="dxa"/>
              <w:bottom w:w="60" w:type="dxa"/>
              <w:right w:w="100" w:type="dxa"/>
            </w:tcMar>
          </w:tcPr>
          <w:p w14:paraId="438BAF2C">
            <w:pPr>
              <w:spacing w:before="0" w:after="0" w:line="300" w:lineRule="auto"/>
              <w:jc w:val="left"/>
            </w:pPr>
            <w:r>
              <w:rPr>
                <w:rFonts w:ascii="Times New Roman" w:eastAsia="宋体"/>
                <w:sz w:val="19"/>
                <w:szCs w:val="19"/>
              </w:rPr>
              <w:t>0.07</w:t>
            </w:r>
          </w:p>
        </w:tc>
        <w:tc>
          <w:tcPr>
            <w:tcW w:w="1444" w:type="dxa"/>
            <w:tcMar>
              <w:top w:w="60" w:type="dxa"/>
              <w:left w:w="100" w:type="dxa"/>
              <w:bottom w:w="60" w:type="dxa"/>
              <w:right w:w="100" w:type="dxa"/>
            </w:tcMar>
          </w:tcPr>
          <w:p w14:paraId="08116219">
            <w:pPr>
              <w:spacing w:before="0" w:after="0" w:line="300" w:lineRule="auto"/>
              <w:jc w:val="left"/>
            </w:pPr>
          </w:p>
        </w:tc>
        <w:tc>
          <w:tcPr>
            <w:tcW w:w="2166" w:type="dxa"/>
            <w:tcMar>
              <w:top w:w="60" w:type="dxa"/>
              <w:left w:w="100" w:type="dxa"/>
              <w:bottom w:w="60" w:type="dxa"/>
              <w:right w:w="100" w:type="dxa"/>
            </w:tcMar>
          </w:tcPr>
          <w:p w14:paraId="635B469C">
            <w:pPr>
              <w:spacing w:before="0" w:after="0" w:line="300" w:lineRule="auto"/>
              <w:jc w:val="left"/>
            </w:pPr>
          </w:p>
        </w:tc>
        <w:tc>
          <w:tcPr>
            <w:tcW w:w="1445" w:type="dxa"/>
            <w:tcMar>
              <w:top w:w="60" w:type="dxa"/>
              <w:left w:w="100" w:type="dxa"/>
              <w:bottom w:w="60" w:type="dxa"/>
              <w:right w:w="100" w:type="dxa"/>
            </w:tcMar>
          </w:tcPr>
          <w:p w14:paraId="3B701DE9">
            <w:pPr>
              <w:spacing w:before="0" w:after="0" w:line="300" w:lineRule="auto"/>
              <w:jc w:val="left"/>
            </w:pPr>
          </w:p>
        </w:tc>
      </w:tr>
    </w:tbl>
    <w:p w14:paraId="7F015CF4">
      <w:pPr>
        <w:spacing w:after="160"/>
      </w:pPr>
    </w:p>
    <w:p w14:paraId="07F87DDC">
      <w:pPr>
        <w:spacing w:before="60" w:after="100" w:line="340" w:lineRule="auto"/>
        <w:jc w:val="both"/>
      </w:pPr>
      <w:r>
        <w:rPr>
          <w:rFonts w:ascii="Times New Roman" w:eastAsia="宋体"/>
          <w:sz w:val="21"/>
          <w:szCs w:val="21"/>
        </w:rPr>
        <w:t>其中</w:t>
      </w:r>
      <w:r>
        <w:rPr>
          <w:rFonts w:ascii="Times New Roman" w:eastAsia="宋体"/>
          <w:b/>
          <w:bCs/>
          <w:sz w:val="21"/>
          <w:szCs w:val="21"/>
        </w:rPr>
        <w:t>学术—产业落差</w:t>
      </w:r>
      <w:r>
        <w:rPr>
          <w:rFonts w:ascii="Times New Roman" w:eastAsia="宋体"/>
          <w:sz w:val="21"/>
          <w:szCs w:val="21"/>
        </w:rPr>
        <w:t>权重最高，它刻画的正是"产业端技术信号已密集出现、而招聘端尚未形成标准化岗位定义"这一新兴岗位的典型特征。</w:t>
      </w:r>
    </w:p>
    <w:p w14:paraId="14F7DFC2">
      <w:pPr>
        <w:spacing w:before="60" w:after="100" w:line="340" w:lineRule="auto"/>
        <w:jc w:val="both"/>
      </w:pPr>
      <w:r>
        <w:rPr>
          <w:rFonts w:ascii="Times New Roman" w:eastAsia="宋体"/>
          <w:sz w:val="21"/>
          <w:szCs w:val="21"/>
        </w:rPr>
        <w:t>系统当前产出 227 个岗位候选，其中潜在 6 个、萌芽 218 个、涌现 3 个。</w:t>
      </w:r>
    </w:p>
    <w:p w14:paraId="7AF7E49B">
      <w:pPr>
        <w:pStyle w:val="3"/>
        <w:spacing w:before="280" w:after="140"/>
      </w:pPr>
      <w:r>
        <w:rPr>
          <w:rFonts w:ascii="Arial" w:eastAsia="黑体"/>
          <w:b/>
          <w:bCs/>
          <w:sz w:val="24"/>
          <w:szCs w:val="24"/>
        </w:rPr>
        <w:t>4.1.5 标准化 JD 生成：机械事实与表达层分离</w:t>
      </w:r>
    </w:p>
    <w:p w14:paraId="53D9E60A">
      <w:pPr>
        <w:spacing w:before="60" w:after="100" w:line="340" w:lineRule="auto"/>
        <w:jc w:val="both"/>
      </w:pPr>
      <w:r>
        <w:rPr>
          <w:rFonts w:ascii="Times New Roman" w:eastAsia="宋体"/>
          <w:sz w:val="21"/>
          <w:szCs w:val="21"/>
        </w:rPr>
        <w:t>生成分为两步，二者之间设有严格边界。</w:t>
      </w:r>
    </w:p>
    <w:p w14:paraId="315F46DB">
      <w:pPr>
        <w:spacing w:before="60" w:after="100" w:line="340" w:lineRule="auto"/>
        <w:jc w:val="both"/>
      </w:pPr>
      <w:r>
        <w:rPr>
          <w:rFonts w:ascii="Times New Roman" w:eastAsia="宋体"/>
          <w:b/>
          <w:bCs/>
          <w:sz w:val="21"/>
          <w:szCs w:val="21"/>
        </w:rPr>
        <w:t>第一步（机械）</w:t>
      </w:r>
      <w:r>
        <w:rPr>
          <w:rFonts w:ascii="Times New Roman" w:eastAsia="宋体"/>
          <w:sz w:val="21"/>
          <w:szCs w:val="21"/>
        </w:rPr>
        <w:t>：由算法产出</w:t>
      </w:r>
      <w:r>
        <w:rPr>
          <w:rFonts w:ascii="Times New Roman" w:eastAsia="宋体"/>
          <w:b/>
          <w:bCs/>
          <w:sz w:val="21"/>
          <w:szCs w:val="21"/>
        </w:rPr>
        <w:t>机械事实卡</w:t>
      </w:r>
      <w:r>
        <w:rPr>
          <w:rFonts w:ascii="Times New Roman" w:eastAsia="宋体"/>
          <w:sz w:val="21"/>
          <w:szCs w:val="21"/>
        </w:rPr>
        <w:t>，内容全部可溯源——技术点组合、代表性职责语句、支撑 JD 数、企业数、来源数、观测窗数、成熟度、覆盖率、风险旗标。事实卡标注每条事实的来源类型（取自真实 JD 职责，或因无可用职责而由技术名拼接兜底），使不确定性显式传递而非被掩盖。</w:t>
      </w:r>
    </w:p>
    <w:p w14:paraId="7A4C2501">
      <w:pPr>
        <w:spacing w:before="60" w:after="100" w:line="340" w:lineRule="auto"/>
        <w:jc w:val="both"/>
      </w:pPr>
      <w:r>
        <w:rPr>
          <w:rFonts w:ascii="Times New Roman" w:eastAsia="宋体"/>
          <w:b/>
          <w:bCs/>
          <w:sz w:val="21"/>
          <w:szCs w:val="21"/>
        </w:rPr>
        <w:t>第二步（表达）</w:t>
      </w:r>
      <w:r>
        <w:rPr>
          <w:rFonts w:ascii="Times New Roman" w:eastAsia="宋体"/>
          <w:sz w:val="21"/>
          <w:szCs w:val="21"/>
        </w:rPr>
        <w:t>：大模型将机械事实卡改写为人类可读的岗位名称、一句话定义、形成原因、与既有岗位的差异说明。改写结果须逐条引用机械事实，校验不通过则降级为规则模板输出。</w:t>
      </w:r>
    </w:p>
    <w:p w14:paraId="748048E1">
      <w:pPr>
        <w:spacing w:before="60" w:after="100" w:line="340" w:lineRule="auto"/>
        <w:jc w:val="both"/>
      </w:pPr>
      <w:r>
        <w:rPr>
          <w:rFonts w:ascii="Times New Roman" w:eastAsia="宋体"/>
          <w:sz w:val="21"/>
          <w:szCs w:val="21"/>
        </w:rPr>
        <w:t>设置这道边界的理由是</w:t>
      </w:r>
      <w:r>
        <w:rPr>
          <w:rFonts w:ascii="Times New Roman" w:eastAsia="宋体"/>
          <w:b/>
          <w:bCs/>
          <w:sz w:val="21"/>
          <w:szCs w:val="21"/>
        </w:rPr>
        <w:t>可重放性</w:t>
      </w:r>
      <w:r>
        <w:rPr>
          <w:rFonts w:ascii="Times New Roman" w:eastAsia="宋体"/>
          <w:sz w:val="21"/>
          <w:szCs w:val="21"/>
        </w:rPr>
        <w:t>：大模型输出不稳定，一旦进入决策路径，"同输入、同版本、同参数得到同结果"即不再成立，整条证据链的可信基础随之瓦解。因此系统规定：</w:t>
      </w:r>
    </w:p>
    <w:p w14:paraId="611348E1">
      <w:pPr>
        <w:pBdr>
          <w:left w:val="single" w:color="3F7CC4" w:sz="18" w:space="12"/>
        </w:pBdr>
        <w:shd w:val="clear" w:color="auto" w:fill="F5F7FA"/>
        <w:spacing w:before="140" w:after="140" w:line="340" w:lineRule="auto"/>
        <w:ind w:left="320"/>
      </w:pPr>
      <w:r>
        <w:rPr>
          <w:rFonts w:ascii="Times New Roman" w:eastAsia="宋体"/>
          <w:b/>
          <w:bCs/>
          <w:sz w:val="21"/>
          <w:szCs w:val="21"/>
        </w:rPr>
        <w:t>大模型不得决定簇归属、技术编码、评分或分档。</w:t>
      </w:r>
      <w:r>
        <w:rPr>
          <w:rFonts w:ascii="Times New Roman" w:eastAsia="宋体"/>
          <w:sz w:val="21"/>
          <w:szCs w:val="21"/>
        </w:rPr>
        <w:t xml:space="preserve"> 其合法位置只有两处——表达层改写，以及离线批处理后物化为带版本的数据表（机械流程只读冻结结果，不在循环内调用）。</w:t>
      </w:r>
    </w:p>
    <w:p w14:paraId="34BFBF38">
      <w:pPr>
        <w:pStyle w:val="3"/>
        <w:spacing w:before="280" w:after="140"/>
      </w:pPr>
      <w:r>
        <w:rPr>
          <w:rFonts w:ascii="Arial" w:eastAsia="黑体"/>
          <w:b/>
          <w:bCs/>
          <w:sz w:val="24"/>
          <w:szCs w:val="24"/>
        </w:rPr>
        <w:t>4.1.6 人工审核接口</w:t>
      </w:r>
    </w:p>
    <w:p w14:paraId="12A114A1">
      <w:pPr>
        <w:spacing w:before="60" w:after="100" w:line="340" w:lineRule="auto"/>
        <w:jc w:val="both"/>
      </w:pPr>
      <w:r>
        <w:rPr>
          <w:rFonts w:ascii="Times New Roman" w:eastAsia="宋体"/>
          <w:sz w:val="21"/>
          <w:szCs w:val="21"/>
        </w:rPr>
        <w:t xml:space="preserve">候选进入审核队列，走"认领 → 通过 / 驳回 / 打回修改"的工作流。审核者看到机械事实卡、表达层文本、完整证据链与风险旗标，可逐条下钻至原始 JD 的具体语句。批准后发布为标注 </w:t>
      </w:r>
      <w:r>
        <w:rPr>
          <w:rFonts w:ascii="Consolas" w:eastAsia="宋体"/>
          <w:sz w:val="19"/>
          <w:szCs w:val="19"/>
        </w:rPr>
        <w:t>inference_derived</w:t>
      </w:r>
      <w:r>
        <w:rPr>
          <w:rFonts w:ascii="Times New Roman" w:eastAsia="宋体"/>
          <w:sz w:val="21"/>
          <w:szCs w:val="21"/>
        </w:rPr>
        <w:t xml:space="preserve"> 来源类型的岗位，与聚类派生的岗位并列但可区分。</w:t>
      </w:r>
    </w:p>
    <w:p w14:paraId="4FD066F9">
      <w:pPr>
        <w:spacing w:before="60" w:after="100" w:line="340" w:lineRule="auto"/>
        <w:jc w:val="both"/>
      </w:pPr>
      <w:r>
        <w:rPr>
          <w:rFonts w:ascii="Times New Roman" w:eastAsia="宋体"/>
          <w:b/>
          <w:bCs/>
          <w:sz w:val="21"/>
          <w:szCs w:val="21"/>
        </w:rPr>
        <w:t>候选按稳定键去重</w:t>
      </w:r>
      <w:r>
        <w:rPr>
          <w:rFonts w:ascii="Times New Roman" w:eastAsia="宋体"/>
          <w:sz w:val="21"/>
          <w:szCs w:val="21"/>
        </w:rPr>
        <w:t>：键由"推演模式 + 技术组合"派生，同一组合在后续运行中复用既有候选——已处置（批准 / 合并 / 驳回）的直接跳过，未决状态就地刷新，保证反复运行不产生重复候选。</w:t>
      </w:r>
    </w:p>
    <w:p w14:paraId="08CB4D56">
      <w:pPr>
        <w:pBdr>
          <w:bottom w:val="single" w:color="CCCCCC" w:sz="6" w:space="1"/>
        </w:pBdr>
        <w:spacing w:before="120" w:after="120"/>
      </w:pPr>
    </w:p>
    <w:p w14:paraId="36653068">
      <w:pPr>
        <w:pStyle w:val="2"/>
        <w:spacing w:before="360" w:after="200"/>
      </w:pPr>
      <w:r>
        <w:rPr>
          <w:rFonts w:ascii="Arial" w:eastAsia="黑体"/>
          <w:b/>
          <w:bCs/>
          <w:sz w:val="30"/>
          <w:szCs w:val="30"/>
        </w:rPr>
        <w:t>4.2 算法二：既有岗位能力动态更新</w:t>
      </w:r>
    </w:p>
    <w:p w14:paraId="02C36680">
      <w:pPr>
        <w:spacing w:before="60" w:after="100" w:line="340" w:lineRule="auto"/>
        <w:jc w:val="both"/>
      </w:pPr>
      <w:r>
        <w:rPr>
          <w:rFonts w:ascii="Times New Roman" w:eastAsia="宋体"/>
          <w:sz w:val="21"/>
          <w:szCs w:val="21"/>
        </w:rPr>
        <w:t>本算法要回答的问题是：</w:t>
      </w:r>
      <w:r>
        <w:rPr>
          <w:rFonts w:ascii="Times New Roman" w:eastAsia="宋体"/>
          <w:b/>
          <w:bCs/>
          <w:sz w:val="21"/>
          <w:szCs w:val="21"/>
        </w:rPr>
        <w:t>同一个岗位在两个观测时点上的能力要求变了吗？变在哪里？凭什么说这是变化而非噪声？</w:t>
      </w:r>
    </w:p>
    <w:p w14:paraId="1DCA8B92">
      <w:pPr>
        <w:pStyle w:val="3"/>
        <w:spacing w:before="280" w:after="140"/>
      </w:pPr>
      <w:r>
        <w:rPr>
          <w:rFonts w:ascii="Arial" w:eastAsia="黑体"/>
          <w:b/>
          <w:bCs/>
          <w:sz w:val="24"/>
          <w:szCs w:val="24"/>
        </w:rPr>
        <w:t>4.2.1 核心难点：岗位连续性的判定</w:t>
      </w:r>
    </w:p>
    <w:p w14:paraId="2D40A1C2">
      <w:pPr>
        <w:spacing w:before="60" w:after="100" w:line="340" w:lineRule="auto"/>
        <w:jc w:val="both"/>
      </w:pPr>
      <w:r>
        <w:rPr>
          <w:rFonts w:ascii="Times New Roman" w:eastAsia="宋体"/>
          <w:sz w:val="21"/>
          <w:szCs w:val="21"/>
        </w:rPr>
        <w:t>每次聚类产出的是一批全新的对象。要谈"同一个岗位的变化"，必须先解决"哪个是哪个的延续"。</w:t>
      </w:r>
    </w:p>
    <w:p w14:paraId="3A905ED1">
      <w:pPr>
        <w:spacing w:before="60" w:after="100" w:line="340" w:lineRule="auto"/>
        <w:jc w:val="both"/>
      </w:pPr>
      <w:r>
        <w:rPr>
          <w:rFonts w:ascii="Times New Roman" w:eastAsia="宋体"/>
          <w:sz w:val="21"/>
          <w:szCs w:val="21"/>
        </w:rPr>
        <w:t>按 4.1 确立的前提，连续性</w:t>
      </w:r>
      <w:r>
        <w:rPr>
          <w:rFonts w:ascii="Times New Roman" w:eastAsia="宋体"/>
          <w:b/>
          <w:bCs/>
          <w:sz w:val="21"/>
          <w:szCs w:val="21"/>
        </w:rPr>
        <w:t>不能用名称判定</w:t>
      </w:r>
      <w:r>
        <w:rPr>
          <w:rFonts w:ascii="Times New Roman" w:eastAsia="宋体"/>
          <w:sz w:val="21"/>
          <w:szCs w:val="21"/>
        </w:rPr>
        <w:t>，只能用</w:t>
      </w:r>
      <w:r>
        <w:rPr>
          <w:rFonts w:ascii="Times New Roman" w:eastAsia="宋体"/>
          <w:b/>
          <w:bCs/>
          <w:sz w:val="21"/>
          <w:szCs w:val="21"/>
        </w:rPr>
        <w:t>成员集合</w:t>
      </w:r>
      <w:r>
        <w:rPr>
          <w:rFonts w:ascii="Times New Roman" w:eastAsia="宋体"/>
          <w:sz w:val="21"/>
          <w:szCs w:val="21"/>
        </w:rPr>
        <w:t>：</w:t>
      </w:r>
    </w:p>
    <w:p w14:paraId="4CB4CEC1">
      <w:pPr>
        <w:spacing w:before="160" w:after="160"/>
        <w:jc w:val="center"/>
      </w:pPr>
      <w:r>
        <w:rPr>
          <w:rFonts w:ascii="Cambria Math" w:eastAsia="宋体"/>
          <w:i/>
          <w:iCs/>
          <w:sz w:val="22"/>
          <w:szCs w:val="22"/>
        </w:rPr>
        <w:t>J(c_new, c_old) = (|M_new ∩ M_old|) / (|M_new ∪ M_old|) ≥ 0.55 ⇒ 判定为延续</w:t>
      </w:r>
    </w:p>
    <w:p w14:paraId="39301BA4">
      <w:pPr>
        <w:spacing w:before="60" w:after="100" w:line="340" w:lineRule="auto"/>
        <w:jc w:val="both"/>
      </w:pPr>
      <w:r>
        <w:rPr>
          <w:rFonts w:ascii="Times New Roman" w:eastAsia="宋体"/>
          <w:sz w:val="21"/>
          <w:szCs w:val="21"/>
        </w:rPr>
        <w:t>由此定义五种谱系关系：</w:t>
      </w:r>
    </w:p>
    <w:tbl>
      <w:tblPr>
        <w:tblStyle w:val="11"/>
        <w:tblW w:w="9026" w:type="dxa"/>
        <w:tblInd w:w="0" w:type="dxa"/>
        <w:tblBorders>
          <w:top w:val="single" w:color="AAAAAA" w:sz="4" w:space="0"/>
          <w:left w:val="single" w:color="AAAAAA" w:sz="4" w:space="0"/>
          <w:bottom w:val="single" w:color="AAAAAA" w:sz="4" w:space="0"/>
          <w:right w:val="single" w:color="AAAAAA" w:sz="4" w:space="0"/>
          <w:insideH w:val="single" w:color="AAAAAA" w:sz="4" w:space="0"/>
          <w:insideV w:val="single" w:color="AAAAAA" w:sz="4" w:space="0"/>
        </w:tblBorders>
        <w:tblLayout w:type="autofit"/>
        <w:tblCellMar>
          <w:top w:w="0" w:type="dxa"/>
          <w:left w:w="10" w:type="dxa"/>
          <w:bottom w:w="0" w:type="dxa"/>
          <w:right w:w="10" w:type="dxa"/>
        </w:tblCellMar>
      </w:tblPr>
      <w:tblGrid>
        <w:gridCol w:w="2683"/>
        <w:gridCol w:w="2683"/>
        <w:gridCol w:w="3660"/>
      </w:tblGrid>
      <w:tr w14:paraId="795A3F95">
        <w:trPr>
          <w:tblHeader/>
        </w:trPr>
        <w:tc>
          <w:tcPr>
            <w:tcW w:w="2683" w:type="dxa"/>
            <w:shd w:val="clear" w:color="auto" w:fill="EDF2F7"/>
            <w:tcMar>
              <w:top w:w="60" w:type="dxa"/>
              <w:left w:w="100" w:type="dxa"/>
              <w:bottom w:w="60" w:type="dxa"/>
              <w:right w:w="100" w:type="dxa"/>
            </w:tcMar>
          </w:tcPr>
          <w:p w14:paraId="6F3A6ECF">
            <w:pPr>
              <w:spacing w:before="0" w:after="0" w:line="300" w:lineRule="auto"/>
              <w:jc w:val="center"/>
            </w:pPr>
            <w:r>
              <w:rPr>
                <w:rFonts w:ascii="Times New Roman" w:eastAsia="宋体"/>
                <w:b/>
                <w:bCs/>
                <w:sz w:val="19"/>
                <w:szCs w:val="19"/>
              </w:rPr>
              <w:t>关系</w:t>
            </w:r>
          </w:p>
        </w:tc>
        <w:tc>
          <w:tcPr>
            <w:tcW w:w="2683" w:type="dxa"/>
            <w:shd w:val="clear" w:color="auto" w:fill="EDF2F7"/>
            <w:tcMar>
              <w:top w:w="60" w:type="dxa"/>
              <w:left w:w="100" w:type="dxa"/>
              <w:bottom w:w="60" w:type="dxa"/>
              <w:right w:w="100" w:type="dxa"/>
            </w:tcMar>
          </w:tcPr>
          <w:p w14:paraId="0A954FC2">
            <w:pPr>
              <w:spacing w:before="0" w:after="0" w:line="300" w:lineRule="auto"/>
              <w:jc w:val="center"/>
            </w:pPr>
            <w:r>
              <w:rPr>
                <w:rFonts w:ascii="Times New Roman" w:eastAsia="宋体"/>
                <w:b/>
                <w:bCs/>
                <w:sz w:val="19"/>
                <w:szCs w:val="19"/>
              </w:rPr>
              <w:t>判定</w:t>
            </w:r>
          </w:p>
        </w:tc>
        <w:tc>
          <w:tcPr>
            <w:tcW w:w="3660" w:type="dxa"/>
            <w:shd w:val="clear" w:color="auto" w:fill="EDF2F7"/>
            <w:tcMar>
              <w:top w:w="60" w:type="dxa"/>
              <w:left w:w="100" w:type="dxa"/>
              <w:bottom w:w="60" w:type="dxa"/>
              <w:right w:w="100" w:type="dxa"/>
            </w:tcMar>
          </w:tcPr>
          <w:p w14:paraId="6DB53BAF">
            <w:pPr>
              <w:spacing w:before="0" w:after="0" w:line="300" w:lineRule="auto"/>
              <w:jc w:val="center"/>
            </w:pPr>
            <w:r>
              <w:rPr>
                <w:rFonts w:ascii="Times New Roman" w:eastAsia="宋体"/>
                <w:b/>
                <w:bCs/>
                <w:sz w:val="19"/>
                <w:szCs w:val="19"/>
              </w:rPr>
              <w:t>语义</w:t>
            </w:r>
          </w:p>
        </w:tc>
      </w:tr>
      <w:tr w14:paraId="6891355C">
        <w:tc>
          <w:tcPr>
            <w:tcW w:w="2683" w:type="dxa"/>
            <w:tcMar>
              <w:top w:w="60" w:type="dxa"/>
              <w:left w:w="100" w:type="dxa"/>
              <w:bottom w:w="60" w:type="dxa"/>
              <w:right w:w="100" w:type="dxa"/>
            </w:tcMar>
          </w:tcPr>
          <w:p w14:paraId="45C92071">
            <w:pPr>
              <w:spacing w:before="0" w:after="0" w:line="300" w:lineRule="auto"/>
              <w:jc w:val="left"/>
            </w:pPr>
            <w:r>
              <w:rPr>
                <w:rFonts w:ascii="Consolas" w:eastAsia="宋体"/>
                <w:sz w:val="17"/>
                <w:szCs w:val="17"/>
              </w:rPr>
              <w:t>continued</w:t>
            </w:r>
          </w:p>
        </w:tc>
        <w:tc>
          <w:tcPr>
            <w:tcW w:w="2683" w:type="dxa"/>
            <w:tcMar>
              <w:top w:w="60" w:type="dxa"/>
              <w:left w:w="100" w:type="dxa"/>
              <w:bottom w:w="60" w:type="dxa"/>
              <w:right w:w="100" w:type="dxa"/>
            </w:tcMar>
          </w:tcPr>
          <w:p w14:paraId="4F150FBF">
            <w:pPr>
              <w:spacing w:before="0" w:after="0" w:line="300" w:lineRule="auto"/>
              <w:jc w:val="left"/>
            </w:pPr>
            <w:r>
              <w:rPr>
                <w:rFonts w:ascii="Times New Roman" w:eastAsia="宋体"/>
                <w:sz w:val="19"/>
                <w:szCs w:val="19"/>
              </w:rPr>
              <w:t>一对一匹配</w:t>
            </w:r>
          </w:p>
        </w:tc>
        <w:tc>
          <w:tcPr>
            <w:tcW w:w="3660" w:type="dxa"/>
            <w:tcMar>
              <w:top w:w="60" w:type="dxa"/>
              <w:left w:w="100" w:type="dxa"/>
              <w:bottom w:w="60" w:type="dxa"/>
              <w:right w:w="100" w:type="dxa"/>
            </w:tcMar>
          </w:tcPr>
          <w:p w14:paraId="3B96BB6D">
            <w:pPr>
              <w:spacing w:before="0" w:after="0" w:line="300" w:lineRule="auto"/>
              <w:jc w:val="left"/>
            </w:pPr>
            <w:r>
              <w:rPr>
                <w:rFonts w:ascii="Times New Roman" w:eastAsia="宋体"/>
                <w:sz w:val="19"/>
                <w:szCs w:val="19"/>
              </w:rPr>
              <w:t xml:space="preserve">同一岗位的延续 → </w:t>
            </w:r>
            <w:r>
              <w:rPr>
                <w:rFonts w:ascii="Times New Roman" w:eastAsia="宋体"/>
                <w:b/>
                <w:bCs/>
                <w:sz w:val="19"/>
                <w:szCs w:val="19"/>
              </w:rPr>
              <w:t>产生新版本</w:t>
            </w:r>
          </w:p>
        </w:tc>
      </w:tr>
      <w:tr w14:paraId="56413E8F">
        <w:tc>
          <w:tcPr>
            <w:tcW w:w="2683" w:type="dxa"/>
            <w:tcMar>
              <w:top w:w="60" w:type="dxa"/>
              <w:left w:w="100" w:type="dxa"/>
              <w:bottom w:w="60" w:type="dxa"/>
              <w:right w:w="100" w:type="dxa"/>
            </w:tcMar>
          </w:tcPr>
          <w:p w14:paraId="1974FEDE">
            <w:pPr>
              <w:spacing w:before="0" w:after="0" w:line="300" w:lineRule="auto"/>
              <w:jc w:val="left"/>
            </w:pPr>
            <w:r>
              <w:rPr>
                <w:rFonts w:ascii="Consolas" w:eastAsia="宋体"/>
                <w:sz w:val="17"/>
                <w:szCs w:val="17"/>
              </w:rPr>
              <w:t>born</w:t>
            </w:r>
          </w:p>
        </w:tc>
        <w:tc>
          <w:tcPr>
            <w:tcW w:w="2683" w:type="dxa"/>
            <w:tcMar>
              <w:top w:w="60" w:type="dxa"/>
              <w:left w:w="100" w:type="dxa"/>
              <w:bottom w:w="60" w:type="dxa"/>
              <w:right w:w="100" w:type="dxa"/>
            </w:tcMar>
          </w:tcPr>
          <w:p w14:paraId="23505D58">
            <w:pPr>
              <w:spacing w:before="0" w:after="0" w:line="300" w:lineRule="auto"/>
              <w:jc w:val="left"/>
            </w:pPr>
            <w:r>
              <w:rPr>
                <w:rFonts w:ascii="Times New Roman" w:eastAsia="宋体"/>
                <w:sz w:val="19"/>
                <w:szCs w:val="19"/>
              </w:rPr>
              <w:t>新簇无匹配前身</w:t>
            </w:r>
          </w:p>
        </w:tc>
        <w:tc>
          <w:tcPr>
            <w:tcW w:w="3660" w:type="dxa"/>
            <w:tcMar>
              <w:top w:w="60" w:type="dxa"/>
              <w:left w:w="100" w:type="dxa"/>
              <w:bottom w:w="60" w:type="dxa"/>
              <w:right w:w="100" w:type="dxa"/>
            </w:tcMar>
          </w:tcPr>
          <w:p w14:paraId="0CE054BD">
            <w:pPr>
              <w:spacing w:before="0" w:after="0" w:line="300" w:lineRule="auto"/>
              <w:jc w:val="left"/>
            </w:pPr>
            <w:r>
              <w:rPr>
                <w:rFonts w:ascii="Times New Roman" w:eastAsia="宋体"/>
                <w:sz w:val="19"/>
                <w:szCs w:val="19"/>
              </w:rPr>
              <w:t>新岗位出现</w:t>
            </w:r>
          </w:p>
        </w:tc>
      </w:tr>
      <w:tr w14:paraId="0816A26F">
        <w:tc>
          <w:tcPr>
            <w:tcW w:w="2683" w:type="dxa"/>
            <w:tcMar>
              <w:top w:w="60" w:type="dxa"/>
              <w:left w:w="100" w:type="dxa"/>
              <w:bottom w:w="60" w:type="dxa"/>
              <w:right w:w="100" w:type="dxa"/>
            </w:tcMar>
          </w:tcPr>
          <w:p w14:paraId="10F0BF5F">
            <w:pPr>
              <w:spacing w:before="0" w:after="0" w:line="300" w:lineRule="auto"/>
              <w:jc w:val="left"/>
            </w:pPr>
            <w:r>
              <w:rPr>
                <w:rFonts w:ascii="Consolas" w:eastAsia="宋体"/>
                <w:sz w:val="17"/>
                <w:szCs w:val="17"/>
              </w:rPr>
              <w:t>ended</w:t>
            </w:r>
          </w:p>
        </w:tc>
        <w:tc>
          <w:tcPr>
            <w:tcW w:w="2683" w:type="dxa"/>
            <w:tcMar>
              <w:top w:w="60" w:type="dxa"/>
              <w:left w:w="100" w:type="dxa"/>
              <w:bottom w:w="60" w:type="dxa"/>
              <w:right w:w="100" w:type="dxa"/>
            </w:tcMar>
          </w:tcPr>
          <w:p w14:paraId="6572131F">
            <w:pPr>
              <w:spacing w:before="0" w:after="0" w:line="300" w:lineRule="auto"/>
              <w:jc w:val="left"/>
            </w:pPr>
            <w:r>
              <w:rPr>
                <w:rFonts w:ascii="Times New Roman" w:eastAsia="宋体"/>
                <w:sz w:val="19"/>
                <w:szCs w:val="19"/>
              </w:rPr>
              <w:t>旧簇无匹配后继</w:t>
            </w:r>
          </w:p>
        </w:tc>
        <w:tc>
          <w:tcPr>
            <w:tcW w:w="3660" w:type="dxa"/>
            <w:tcMar>
              <w:top w:w="60" w:type="dxa"/>
              <w:left w:w="100" w:type="dxa"/>
              <w:bottom w:w="60" w:type="dxa"/>
              <w:right w:w="100" w:type="dxa"/>
            </w:tcMar>
          </w:tcPr>
          <w:p w14:paraId="7D4FF87D">
            <w:pPr>
              <w:spacing w:before="0" w:after="0" w:line="300" w:lineRule="auto"/>
              <w:jc w:val="left"/>
            </w:pPr>
            <w:r>
              <w:rPr>
                <w:rFonts w:ascii="Times New Roman" w:eastAsia="宋体"/>
                <w:sz w:val="19"/>
                <w:szCs w:val="19"/>
              </w:rPr>
              <w:t>岗位转为非活跃</w:t>
            </w:r>
          </w:p>
        </w:tc>
      </w:tr>
      <w:tr w14:paraId="288712E9">
        <w:tc>
          <w:tcPr>
            <w:tcW w:w="2683" w:type="dxa"/>
            <w:tcMar>
              <w:top w:w="60" w:type="dxa"/>
              <w:left w:w="100" w:type="dxa"/>
              <w:bottom w:w="60" w:type="dxa"/>
              <w:right w:w="100" w:type="dxa"/>
            </w:tcMar>
          </w:tcPr>
          <w:p w14:paraId="00543A74">
            <w:pPr>
              <w:spacing w:before="0" w:after="0" w:line="300" w:lineRule="auto"/>
              <w:jc w:val="left"/>
            </w:pPr>
            <w:r>
              <w:rPr>
                <w:rFonts w:ascii="Consolas" w:eastAsia="宋体"/>
                <w:sz w:val="17"/>
                <w:szCs w:val="17"/>
              </w:rPr>
              <w:t>split</w:t>
            </w:r>
          </w:p>
        </w:tc>
        <w:tc>
          <w:tcPr>
            <w:tcW w:w="2683" w:type="dxa"/>
            <w:tcMar>
              <w:top w:w="60" w:type="dxa"/>
              <w:left w:w="100" w:type="dxa"/>
              <w:bottom w:w="60" w:type="dxa"/>
              <w:right w:w="100" w:type="dxa"/>
            </w:tcMar>
          </w:tcPr>
          <w:p w14:paraId="27CE2DDC">
            <w:pPr>
              <w:spacing w:before="0" w:after="0" w:line="300" w:lineRule="auto"/>
              <w:jc w:val="left"/>
            </w:pPr>
            <w:r>
              <w:rPr>
                <w:rFonts w:ascii="Times New Roman" w:eastAsia="宋体"/>
                <w:sz w:val="19"/>
                <w:szCs w:val="19"/>
              </w:rPr>
              <w:t>一个旧簇匹配到多个新簇</w:t>
            </w:r>
          </w:p>
        </w:tc>
        <w:tc>
          <w:tcPr>
            <w:tcW w:w="3660" w:type="dxa"/>
            <w:tcMar>
              <w:top w:w="60" w:type="dxa"/>
              <w:left w:w="100" w:type="dxa"/>
              <w:bottom w:w="60" w:type="dxa"/>
              <w:right w:w="100" w:type="dxa"/>
            </w:tcMar>
          </w:tcPr>
          <w:p w14:paraId="1565E07F">
            <w:pPr>
              <w:spacing w:before="0" w:after="0" w:line="300" w:lineRule="auto"/>
              <w:jc w:val="left"/>
            </w:pPr>
            <w:r>
              <w:rPr>
                <w:rFonts w:ascii="Times New Roman" w:eastAsia="宋体"/>
                <w:sz w:val="19"/>
                <w:szCs w:val="19"/>
              </w:rPr>
              <w:t>岗位分化</w:t>
            </w:r>
          </w:p>
        </w:tc>
      </w:tr>
      <w:tr w14:paraId="17B59F5F">
        <w:tc>
          <w:tcPr>
            <w:tcW w:w="2683" w:type="dxa"/>
            <w:tcMar>
              <w:top w:w="60" w:type="dxa"/>
              <w:left w:w="100" w:type="dxa"/>
              <w:bottom w:w="60" w:type="dxa"/>
              <w:right w:w="100" w:type="dxa"/>
            </w:tcMar>
          </w:tcPr>
          <w:p w14:paraId="081FDB4A">
            <w:pPr>
              <w:spacing w:before="0" w:after="0" w:line="300" w:lineRule="auto"/>
              <w:jc w:val="left"/>
            </w:pPr>
            <w:r>
              <w:rPr>
                <w:rFonts w:ascii="Consolas" w:eastAsia="宋体"/>
                <w:sz w:val="17"/>
                <w:szCs w:val="17"/>
              </w:rPr>
              <w:t>merged</w:t>
            </w:r>
          </w:p>
        </w:tc>
        <w:tc>
          <w:tcPr>
            <w:tcW w:w="2683" w:type="dxa"/>
            <w:tcMar>
              <w:top w:w="60" w:type="dxa"/>
              <w:left w:w="100" w:type="dxa"/>
              <w:bottom w:w="60" w:type="dxa"/>
              <w:right w:w="100" w:type="dxa"/>
            </w:tcMar>
          </w:tcPr>
          <w:p w14:paraId="152D4D07">
            <w:pPr>
              <w:spacing w:before="0" w:after="0" w:line="300" w:lineRule="auto"/>
              <w:jc w:val="left"/>
            </w:pPr>
            <w:r>
              <w:rPr>
                <w:rFonts w:ascii="Times New Roman" w:eastAsia="宋体"/>
                <w:sz w:val="19"/>
                <w:szCs w:val="19"/>
              </w:rPr>
              <w:t>多个旧簇匹配到一个新簇</w:t>
            </w:r>
          </w:p>
        </w:tc>
        <w:tc>
          <w:tcPr>
            <w:tcW w:w="3660" w:type="dxa"/>
            <w:tcMar>
              <w:top w:w="60" w:type="dxa"/>
              <w:left w:w="100" w:type="dxa"/>
              <w:bottom w:w="60" w:type="dxa"/>
              <w:right w:w="100" w:type="dxa"/>
            </w:tcMar>
          </w:tcPr>
          <w:p w14:paraId="0F1A6CD9">
            <w:pPr>
              <w:spacing w:before="0" w:after="0" w:line="300" w:lineRule="auto"/>
              <w:jc w:val="left"/>
            </w:pPr>
            <w:r>
              <w:rPr>
                <w:rFonts w:ascii="Times New Roman" w:eastAsia="宋体"/>
                <w:sz w:val="19"/>
                <w:szCs w:val="19"/>
              </w:rPr>
              <w:t>岗位合并</w:t>
            </w:r>
          </w:p>
        </w:tc>
      </w:tr>
    </w:tbl>
    <w:p w14:paraId="13952244">
      <w:pPr>
        <w:spacing w:after="160"/>
      </w:pPr>
    </w:p>
    <w:p w14:paraId="138C0C44">
      <w:pPr>
        <w:spacing w:before="60" w:after="100" w:line="340" w:lineRule="auto"/>
        <w:jc w:val="both"/>
      </w:pPr>
      <w:r>
        <w:rPr>
          <w:rFonts w:ascii="Times New Roman" w:eastAsia="宋体"/>
          <w:b/>
          <w:bCs/>
          <w:sz w:val="21"/>
          <w:szCs w:val="21"/>
        </w:rPr>
        <w:t>"岗位演化"由此获得严格定义</w:t>
      </w:r>
      <w:r>
        <w:rPr>
          <w:rFonts w:ascii="Times New Roman" w:eastAsia="宋体"/>
          <w:sz w:val="21"/>
          <w:szCs w:val="21"/>
        </w:rPr>
        <w:t>：同一岗位标识下相邻两个版本之间的能力要求差异。图 4-3 给出一个典型情形——簇的名称从"具身算法工程师"变为"VLA 模型算法工程师"，但成员重合度达 0.87，仍判定为同一岗位的延续。</w:t>
      </w:r>
    </w:p>
    <w:p w14:paraId="7C03E20F">
      <w:pPr>
        <w:spacing w:before="200" w:after="60"/>
        <w:jc w:val="center"/>
      </w:pPr>
      <w:r>
        <w:drawing>
          <wp:inline distT="0" distB="0" distL="0" distR="0">
            <wp:extent cx="5715000" cy="28575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6"/>
                    <a:srcRect/>
                    <a:stretch>
                      <a:fillRect/>
                    </a:stretch>
                  </pic:blipFill>
                  <pic:spPr>
                    <a:xfrm>
                      <a:off x="0" y="0"/>
                      <a:ext cx="5715000" cy="2857500"/>
                    </a:xfrm>
                    <a:prstGeom prst="rect">
                      <a:avLst/>
                    </a:prstGeom>
                  </pic:spPr>
                </pic:pic>
              </a:graphicData>
            </a:graphic>
          </wp:inline>
        </w:drawing>
      </w:r>
    </w:p>
    <w:p w14:paraId="51560F44">
      <w:pPr>
        <w:spacing w:after="240"/>
        <w:jc w:val="center"/>
      </w:pPr>
      <w:r>
        <w:rPr>
          <w:rFonts w:ascii="Times New Roman" w:eastAsia="宋体"/>
          <w:color w:val="444444"/>
          <w:sz w:val="19"/>
          <w:szCs w:val="19"/>
        </w:rPr>
        <w:t>图 4-3　岗位连续性的判定：以成员集合而非名称</w:t>
      </w:r>
    </w:p>
    <w:p w14:paraId="1729E119">
      <w:pPr>
        <w:pStyle w:val="3"/>
        <w:spacing w:before="280" w:after="140"/>
      </w:pPr>
      <w:r>
        <w:rPr>
          <w:rFonts w:ascii="Arial" w:eastAsia="黑体"/>
          <w:b/>
          <w:bCs/>
          <w:sz w:val="24"/>
          <w:szCs w:val="24"/>
        </w:rPr>
        <w:t>4.2.2 能力画像与版本化</w:t>
      </w:r>
    </w:p>
    <w:p w14:paraId="1D7F9742">
      <w:pPr>
        <w:spacing w:before="60" w:after="100" w:line="340" w:lineRule="auto"/>
        <w:jc w:val="both"/>
      </w:pPr>
      <w:r>
        <w:rPr>
          <w:rFonts w:ascii="Times New Roman" w:eastAsia="宋体"/>
          <w:sz w:val="21"/>
          <w:szCs w:val="21"/>
        </w:rPr>
        <w:t xml:space="preserve">判定为 </w:t>
      </w:r>
      <w:r>
        <w:rPr>
          <w:rFonts w:ascii="Consolas" w:eastAsia="宋体"/>
          <w:sz w:val="19"/>
          <w:szCs w:val="19"/>
        </w:rPr>
        <w:t>continued</w:t>
      </w:r>
      <w:r>
        <w:rPr>
          <w:rFonts w:ascii="Times New Roman" w:eastAsia="宋体"/>
          <w:sz w:val="21"/>
          <w:szCs w:val="21"/>
        </w:rPr>
        <w:t xml:space="preserve"> 的簇重新计算能力画像，并与上一版本逐项比较。能力画像的每一项包含：技术点、要求类型（必需 / 加分）、长期重要度、近期活跃度、覆盖率、支撑 JD 数、企业数、来源数、置信度，以及支撑它的证据跨度集合。</w:t>
      </w:r>
    </w:p>
    <w:p w14:paraId="55EBF2C2">
      <w:pPr>
        <w:spacing w:before="60" w:after="100" w:line="340" w:lineRule="auto"/>
        <w:jc w:val="both"/>
      </w:pPr>
      <w:r>
        <w:rPr>
          <w:rFonts w:ascii="Times New Roman" w:eastAsia="宋体"/>
          <w:sz w:val="21"/>
          <w:szCs w:val="21"/>
        </w:rPr>
        <w:t>产出分为两个层次：</w:t>
      </w:r>
    </w:p>
    <w:p w14:paraId="25AFF595">
      <w:pPr>
        <w:pStyle w:val="16"/>
        <w:numPr>
          <w:ilvl w:val="0"/>
          <w:numId w:val="1"/>
        </w:numPr>
        <w:spacing w:before="40" w:after="60" w:line="320" w:lineRule="auto"/>
      </w:pPr>
      <w:r>
        <w:rPr>
          <w:rFonts w:ascii="Times New Roman" w:eastAsia="宋体"/>
          <w:b/>
          <w:bCs/>
          <w:sz w:val="21"/>
          <w:szCs w:val="21"/>
        </w:rPr>
        <w:t>事件层</w:t>
      </w:r>
      <w:r>
        <w:rPr>
          <w:rFonts w:ascii="Times New Roman" w:eastAsia="宋体"/>
          <w:sz w:val="21"/>
          <w:szCs w:val="21"/>
        </w:rPr>
        <w:t>：</w:t>
      </w:r>
      <w:r>
        <w:rPr>
          <w:rFonts w:ascii="Consolas" w:eastAsia="宋体"/>
          <w:sz w:val="19"/>
          <w:szCs w:val="19"/>
        </w:rPr>
        <w:t>created</w:t>
      </w:r>
      <w:r>
        <w:rPr>
          <w:rFonts w:ascii="Times New Roman" w:eastAsia="宋体"/>
          <w:sz w:val="21"/>
          <w:szCs w:val="21"/>
        </w:rPr>
        <w:t xml:space="preserve"> / </w:t>
      </w:r>
      <w:r>
        <w:rPr>
          <w:rFonts w:ascii="Consolas" w:eastAsia="宋体"/>
          <w:sz w:val="19"/>
          <w:szCs w:val="19"/>
        </w:rPr>
        <w:t>updated</w:t>
      </w:r>
      <w:r>
        <w:rPr>
          <w:rFonts w:ascii="Times New Roman" w:eastAsia="宋体"/>
          <w:sz w:val="21"/>
          <w:szCs w:val="21"/>
        </w:rPr>
        <w:t>，记录该版本相对上一版发生了什么</w:t>
      </w:r>
    </w:p>
    <w:p w14:paraId="37C21517">
      <w:pPr>
        <w:pStyle w:val="16"/>
        <w:numPr>
          <w:ilvl w:val="0"/>
          <w:numId w:val="1"/>
        </w:numPr>
        <w:spacing w:before="40" w:after="60" w:line="320" w:lineRule="auto"/>
      </w:pPr>
      <w:r>
        <w:rPr>
          <w:rFonts w:ascii="Times New Roman" w:eastAsia="宋体"/>
          <w:b/>
          <w:bCs/>
          <w:sz w:val="21"/>
          <w:szCs w:val="21"/>
        </w:rPr>
        <w:t>变更项层</w:t>
      </w:r>
      <w:r>
        <w:rPr>
          <w:rFonts w:ascii="Times New Roman" w:eastAsia="宋体"/>
          <w:sz w:val="21"/>
          <w:szCs w:val="21"/>
        </w:rPr>
        <w:t>：逐个技术点的新增、消失、重要度升降，每条均绑定支撑它的证据跨度</w:t>
      </w:r>
    </w:p>
    <w:p w14:paraId="38DF25E7">
      <w:pPr>
        <w:spacing w:before="60" w:after="100" w:line="340" w:lineRule="auto"/>
        <w:jc w:val="both"/>
      </w:pPr>
      <w:r>
        <w:rPr>
          <w:rFonts w:ascii="Times New Roman" w:eastAsia="宋体"/>
          <w:sz w:val="21"/>
          <w:szCs w:val="21"/>
        </w:rPr>
        <w:t xml:space="preserve">系统当前维护 509 个岗位、677 个岗位版本，产出 677 个演化事件与 2,004 条变更项；簇谱系累计 </w:t>
      </w:r>
      <w:r>
        <w:rPr>
          <w:rFonts w:ascii="Consolas" w:eastAsia="宋体"/>
          <w:sz w:val="19"/>
          <w:szCs w:val="19"/>
        </w:rPr>
        <w:t>continued</w:t>
      </w:r>
      <w:r>
        <w:rPr>
          <w:rFonts w:ascii="Times New Roman" w:eastAsia="宋体"/>
          <w:sz w:val="21"/>
          <w:szCs w:val="21"/>
        </w:rPr>
        <w:t xml:space="preserve"> 7,601 条、</w:t>
      </w:r>
      <w:r>
        <w:rPr>
          <w:rFonts w:ascii="Consolas" w:eastAsia="宋体"/>
          <w:sz w:val="19"/>
          <w:szCs w:val="19"/>
        </w:rPr>
        <w:t>born</w:t>
      </w:r>
      <w:r>
        <w:rPr>
          <w:rFonts w:ascii="Times New Roman" w:eastAsia="宋体"/>
          <w:sz w:val="21"/>
          <w:szCs w:val="21"/>
        </w:rPr>
        <w:t xml:space="preserve"> 5,411 条、</w:t>
      </w:r>
      <w:r>
        <w:rPr>
          <w:rFonts w:ascii="Consolas" w:eastAsia="宋体"/>
          <w:sz w:val="19"/>
          <w:szCs w:val="19"/>
        </w:rPr>
        <w:t>ended</w:t>
      </w:r>
      <w:r>
        <w:rPr>
          <w:rFonts w:ascii="Times New Roman" w:eastAsia="宋体"/>
          <w:sz w:val="21"/>
          <w:szCs w:val="21"/>
        </w:rPr>
        <w:t xml:space="preserve"> 2,029 条、</w:t>
      </w:r>
      <w:r>
        <w:rPr>
          <w:rFonts w:ascii="Consolas" w:eastAsia="宋体"/>
          <w:sz w:val="19"/>
          <w:szCs w:val="19"/>
        </w:rPr>
        <w:t>merged</w:t>
      </w:r>
      <w:r>
        <w:rPr>
          <w:rFonts w:ascii="Times New Roman" w:eastAsia="宋体"/>
          <w:sz w:val="21"/>
          <w:szCs w:val="21"/>
        </w:rPr>
        <w:t xml:space="preserve"> 146 条、</w:t>
      </w:r>
      <w:r>
        <w:rPr>
          <w:rFonts w:ascii="Consolas" w:eastAsia="宋体"/>
          <w:sz w:val="19"/>
          <w:szCs w:val="19"/>
        </w:rPr>
        <w:t>split</w:t>
      </w:r>
      <w:r>
        <w:rPr>
          <w:rFonts w:ascii="Times New Roman" w:eastAsia="宋体"/>
          <w:sz w:val="21"/>
          <w:szCs w:val="21"/>
        </w:rPr>
        <w:t xml:space="preserve"> 98 条。</w:t>
      </w:r>
    </w:p>
    <w:p w14:paraId="6888D20C">
      <w:pPr>
        <w:pStyle w:val="3"/>
        <w:spacing w:before="280" w:after="140"/>
      </w:pPr>
      <w:r>
        <w:rPr>
          <w:rFonts w:ascii="Arial" w:eastAsia="黑体"/>
          <w:b/>
          <w:bCs/>
          <w:sz w:val="24"/>
          <w:szCs w:val="24"/>
        </w:rPr>
        <w:t>4.2.3 溯源机制</w:t>
      </w:r>
    </w:p>
    <w:p w14:paraId="43F39189">
      <w:pPr>
        <w:spacing w:before="60" w:after="100" w:line="340" w:lineRule="auto"/>
        <w:jc w:val="both"/>
      </w:pPr>
      <w:r>
        <w:rPr>
          <w:rFonts w:ascii="Times New Roman" w:eastAsia="宋体"/>
          <w:sz w:val="21"/>
          <w:szCs w:val="21"/>
        </w:rPr>
        <w:t>每条变更项均可下钻至：触发该变更的具体 JD 记录（含企业、发布时间、原文位置）、支撑该判断的证据跨度（字符偏移 + 原文 + 内容哈希），以及该版本的审核记录。</w:t>
      </w:r>
    </w:p>
    <w:p w14:paraId="5400D9A5">
      <w:pPr>
        <w:spacing w:before="60" w:after="100" w:line="340" w:lineRule="auto"/>
        <w:jc w:val="both"/>
      </w:pPr>
      <w:r>
        <w:rPr>
          <w:rFonts w:ascii="Times New Roman" w:eastAsia="宋体"/>
          <w:sz w:val="21"/>
          <w:szCs w:val="21"/>
        </w:rPr>
        <w:t>证据逐字可定位不仅是可追溯性要求，同时构成一种</w:t>
      </w:r>
      <w:r>
        <w:rPr>
          <w:rFonts w:ascii="Times New Roman" w:eastAsia="宋体"/>
          <w:b/>
          <w:bCs/>
          <w:sz w:val="21"/>
          <w:szCs w:val="21"/>
        </w:rPr>
        <w:t>防伪机制</w:t>
      </w:r>
      <w:r>
        <w:rPr>
          <w:rFonts w:ascii="Times New Roman" w:eastAsia="宋体"/>
          <w:sz w:val="21"/>
          <w:szCs w:val="21"/>
        </w:rPr>
        <w:t>：无法定位到原文的结论，在流程上就无法被生成。</w:t>
      </w:r>
    </w:p>
    <w:p w14:paraId="048A388E">
      <w:pPr>
        <w:pStyle w:val="3"/>
        <w:spacing w:before="280" w:after="140"/>
      </w:pPr>
      <w:r>
        <w:rPr>
          <w:rFonts w:ascii="Arial" w:eastAsia="黑体"/>
          <w:b/>
          <w:bCs/>
          <w:sz w:val="24"/>
          <w:szCs w:val="24"/>
        </w:rPr>
        <w:t>4.2.4 岗位演化与算法演进的隔离</w:t>
      </w:r>
    </w:p>
    <w:p w14:paraId="481E4920">
      <w:pPr>
        <w:spacing w:before="60" w:after="100" w:line="340" w:lineRule="auto"/>
        <w:jc w:val="both"/>
      </w:pPr>
      <w:r>
        <w:rPr>
          <w:rFonts w:ascii="Times New Roman" w:eastAsia="宋体"/>
          <w:sz w:val="21"/>
          <w:szCs w:val="21"/>
        </w:rPr>
        <w:t>岗位能力的测量结果同时受两个因素影响：被测对象（岗位）的真实变化，以及测量工具（算法与词表）的版本变更。</w:t>
      </w:r>
      <w:r>
        <w:rPr>
          <w:rFonts w:ascii="Times New Roman" w:eastAsia="宋体"/>
          <w:b/>
          <w:bCs/>
          <w:sz w:val="21"/>
          <w:szCs w:val="21"/>
        </w:rPr>
        <w:t>若二者混淆，模块的核心产出即失去意义。</w:t>
      </w:r>
    </w:p>
    <w:p w14:paraId="2EC92179">
      <w:pPr>
        <w:spacing w:before="60" w:after="100" w:line="340" w:lineRule="auto"/>
        <w:jc w:val="both"/>
      </w:pPr>
      <w:r>
        <w:rPr>
          <w:rFonts w:ascii="Times New Roman" w:eastAsia="宋体"/>
          <w:sz w:val="21"/>
          <w:szCs w:val="21"/>
        </w:rPr>
        <w:t>系统的处理原则是：</w:t>
      </w:r>
      <w:r>
        <w:rPr>
          <w:rFonts w:ascii="Times New Roman" w:eastAsia="宋体"/>
          <w:b/>
          <w:bCs/>
          <w:sz w:val="21"/>
          <w:szCs w:val="21"/>
        </w:rPr>
        <w:t>连续性判据必须独立于工具内部实现。</w:t>
      </w:r>
      <w:r>
        <w:rPr>
          <w:rFonts w:ascii="Times New Roman" w:eastAsia="宋体"/>
          <w:sz w:val="21"/>
          <w:szCs w:val="21"/>
        </w:rPr>
        <w:t xml:space="preserve"> 具体而言，谱系匹配只依据成员集合的重合度，不按算法版本筛选候选前身——否则每次算法升级都会使全部簇找不到前身而被判为新生，历史演化链随之断裂。</w:t>
      </w:r>
    </w:p>
    <w:p w14:paraId="25ABC020">
      <w:pPr>
        <w:spacing w:before="60" w:after="100" w:line="340" w:lineRule="auto"/>
        <w:jc w:val="both"/>
      </w:pPr>
      <w:r>
        <w:rPr>
          <w:rFonts w:ascii="Times New Roman" w:eastAsia="宋体"/>
          <w:sz w:val="21"/>
          <w:szCs w:val="21"/>
        </w:rPr>
        <w:t>在此基础上，跨算法版本产生的谱系边在说明字段中显式标注，供下游区分"岗位的真实演化"与"算法口径的变更"。同理，任何影响输出的输入变化与算法行为变更，都必须分别反映在输入快照哈希与算法版本号上，使两类变化始终可分离、可识别。</w:t>
      </w:r>
    </w:p>
    <w:p w14:paraId="243D88BB">
      <w:pPr>
        <w:pBdr>
          <w:bottom w:val="single" w:color="CCCCCC" w:sz="6" w:space="1"/>
        </w:pBdr>
        <w:spacing w:before="120" w:after="120"/>
      </w:pPr>
    </w:p>
    <w:p w14:paraId="6EC63DC7">
      <w:pPr>
        <w:pStyle w:val="2"/>
        <w:spacing w:before="360" w:after="200"/>
      </w:pPr>
      <w:r>
        <w:rPr>
          <w:rFonts w:ascii="Arial" w:eastAsia="黑体"/>
          <w:b/>
          <w:bCs/>
          <w:sz w:val="30"/>
          <w:szCs w:val="30"/>
        </w:rPr>
        <w:t>6.1 岗位标准定义中心</w:t>
      </w:r>
      <w:bookmarkStart w:id="0" w:name="_GoBack"/>
      <w:bookmarkEnd w:id="0"/>
    </w:p>
    <w:p w14:paraId="012733E6">
      <w:pPr>
        <w:spacing w:before="60" w:after="100" w:line="340" w:lineRule="auto"/>
        <w:jc w:val="both"/>
      </w:pPr>
      <w:r>
        <w:rPr>
          <w:rFonts w:ascii="Times New Roman" w:eastAsia="宋体"/>
          <w:sz w:val="21"/>
          <w:szCs w:val="21"/>
        </w:rPr>
        <w:t>本模块面向人力资源管理者、高校专业负责人，提供岗位标准的全生命周期管理工具。</w:t>
      </w:r>
    </w:p>
    <w:p w14:paraId="406E928C">
      <w:pPr>
        <w:pStyle w:val="3"/>
        <w:spacing w:before="280" w:after="140"/>
      </w:pPr>
      <w:r>
        <w:rPr>
          <w:rFonts w:ascii="Arial" w:eastAsia="黑体"/>
          <w:b/>
          <w:bCs/>
          <w:sz w:val="24"/>
          <w:szCs w:val="24"/>
        </w:rPr>
        <w:t>6.1.1 新兴岗位候选与证据呈现</w:t>
      </w:r>
    </w:p>
    <w:p w14:paraId="308B4E42">
      <w:pPr>
        <w:spacing w:before="60" w:after="100" w:line="340" w:lineRule="auto"/>
        <w:jc w:val="both"/>
      </w:pPr>
      <w:r>
        <w:rPr>
          <w:rFonts w:ascii="Times New Roman" w:eastAsia="宋体"/>
          <w:sz w:val="21"/>
          <w:szCs w:val="21"/>
        </w:rPr>
        <w:t>系统按 4.1.4 的证据门控对候选分档，界面按档位组织。</w:t>
      </w:r>
      <w:r>
        <w:rPr>
          <w:rFonts w:ascii="Times New Roman" w:eastAsia="宋体"/>
          <w:b/>
          <w:bCs/>
          <w:sz w:val="21"/>
          <w:szCs w:val="21"/>
        </w:rPr>
        <w:t>候选卡片</w:t>
      </w:r>
      <w:r>
        <w:rPr>
          <w:rFonts w:ascii="Times New Roman" w:eastAsia="宋体"/>
          <w:sz w:val="21"/>
          <w:szCs w:val="21"/>
        </w:rPr>
        <w:t>呈现：</w:t>
      </w:r>
    </w:p>
    <w:p w14:paraId="5667986D">
      <w:pPr>
        <w:pStyle w:val="16"/>
        <w:numPr>
          <w:ilvl w:val="0"/>
          <w:numId w:val="1"/>
        </w:numPr>
        <w:spacing w:before="40" w:after="60" w:line="320" w:lineRule="auto"/>
      </w:pPr>
      <w:r>
        <w:rPr>
          <w:rFonts w:ascii="Times New Roman" w:eastAsia="宋体"/>
          <w:sz w:val="21"/>
          <w:szCs w:val="21"/>
        </w:rPr>
        <w:t>岗位候选名称与一句话定义（表达层产出）</w:t>
      </w:r>
    </w:p>
    <w:p w14:paraId="283898B6">
      <w:pPr>
        <w:pStyle w:val="16"/>
        <w:numPr>
          <w:ilvl w:val="0"/>
          <w:numId w:val="1"/>
        </w:numPr>
        <w:spacing w:before="40" w:after="60" w:line="320" w:lineRule="auto"/>
      </w:pPr>
      <w:r>
        <w:rPr>
          <w:rFonts w:ascii="Times New Roman" w:eastAsia="宋体"/>
          <w:b/>
          <w:bCs/>
          <w:sz w:val="21"/>
          <w:szCs w:val="21"/>
        </w:rPr>
        <w:t>成熟度档位</w:t>
      </w:r>
      <w:r>
        <w:rPr>
          <w:rFonts w:ascii="Times New Roman" w:eastAsia="宋体"/>
          <w:sz w:val="21"/>
          <w:szCs w:val="21"/>
        </w:rPr>
        <w:t>（潜在 / 萌芽 / 涌现）及其</w:t>
      </w:r>
      <w:r>
        <w:rPr>
          <w:rFonts w:ascii="Times New Roman" w:eastAsia="宋体"/>
          <w:b/>
          <w:bCs/>
          <w:sz w:val="21"/>
          <w:szCs w:val="21"/>
        </w:rPr>
        <w:t>尚未满足的门控条件</w:t>
      </w:r>
    </w:p>
    <w:p w14:paraId="02B5B2D0">
      <w:pPr>
        <w:pStyle w:val="16"/>
        <w:numPr>
          <w:ilvl w:val="0"/>
          <w:numId w:val="1"/>
        </w:numPr>
        <w:spacing w:before="40" w:after="60" w:line="320" w:lineRule="auto"/>
      </w:pPr>
      <w:r>
        <w:rPr>
          <w:rFonts w:ascii="Times New Roman" w:eastAsia="宋体"/>
          <w:sz w:val="21"/>
          <w:szCs w:val="21"/>
        </w:rPr>
        <w:t>技术组合及各技术点的成熟度</w:t>
      </w:r>
    </w:p>
    <w:p w14:paraId="3EFE0F4F">
      <w:pPr>
        <w:pStyle w:val="16"/>
        <w:numPr>
          <w:ilvl w:val="0"/>
          <w:numId w:val="1"/>
        </w:numPr>
        <w:spacing w:before="40" w:after="60" w:line="320" w:lineRule="auto"/>
      </w:pPr>
      <w:r>
        <w:rPr>
          <w:rFonts w:ascii="Times New Roman" w:eastAsia="宋体"/>
          <w:sz w:val="21"/>
          <w:szCs w:val="21"/>
        </w:rPr>
        <w:t>与最近既有岗位的覆盖率及分类（既有岗位 / 岗位演化 / 潜在新岗位）</w:t>
      </w:r>
    </w:p>
    <w:p w14:paraId="18DB2A89">
      <w:pPr>
        <w:pStyle w:val="16"/>
        <w:numPr>
          <w:ilvl w:val="0"/>
          <w:numId w:val="1"/>
        </w:numPr>
        <w:spacing w:before="40" w:after="60" w:line="320" w:lineRule="auto"/>
      </w:pPr>
      <w:r>
        <w:rPr>
          <w:rFonts w:ascii="Times New Roman" w:eastAsia="宋体"/>
          <w:b/>
          <w:bCs/>
          <w:sz w:val="21"/>
          <w:szCs w:val="21"/>
        </w:rPr>
        <w:t>风险旗标</w:t>
      </w:r>
      <w:r>
        <w:rPr>
          <w:rFonts w:ascii="Times New Roman" w:eastAsia="宋体"/>
          <w:sz w:val="21"/>
          <w:szCs w:val="21"/>
        </w:rPr>
        <w:t>：单一企业信号、单一来源信号、时序历史不足、缺少应用证据等</w:t>
      </w:r>
    </w:p>
    <w:p w14:paraId="2941BCC5">
      <w:pPr>
        <w:spacing w:before="60" w:after="100" w:line="340" w:lineRule="auto"/>
        <w:jc w:val="both"/>
      </w:pPr>
      <w:r>
        <w:rPr>
          <w:rFonts w:ascii="Times New Roman" w:eastAsia="宋体"/>
          <w:b/>
          <w:bCs/>
          <w:sz w:val="21"/>
          <w:szCs w:val="21"/>
        </w:rPr>
        <w:t>未满足的条件被显式展示，而非折算进一个分数后消失。</w:t>
      </w:r>
      <w:r>
        <w:rPr>
          <w:rFonts w:ascii="Times New Roman" w:eastAsia="宋体"/>
          <w:sz w:val="21"/>
          <w:szCs w:val="21"/>
        </w:rPr>
        <w:t xml:space="preserve"> 审核者看到的不是"该候选得分 62 分"，而是"该候选在企业数与观测窗上达标，但只有单一数据来源、且缺少应用证据"——后者才是可据以决策的信息。图 7-1 对比了两种呈现方式在同一候选上的差别。</w:t>
      </w:r>
    </w:p>
    <w:p w14:paraId="5F0B453C">
      <w:pPr>
        <w:spacing w:before="60" w:after="100" w:line="340" w:lineRule="auto"/>
        <w:jc w:val="both"/>
      </w:pPr>
      <w:r>
        <w:rPr>
          <w:rFonts w:ascii="Times New Roman" w:eastAsia="宋体"/>
          <w:sz w:val="21"/>
          <w:szCs w:val="21"/>
        </w:rPr>
        <w:t>界面支持按技术域、成熟度档位、分类结果、风险旗标筛选。</w:t>
      </w:r>
    </w:p>
    <w:p w14:paraId="49859D34">
      <w:pPr>
        <w:pStyle w:val="3"/>
        <w:spacing w:before="280" w:after="140"/>
      </w:pPr>
      <w:r>
        <w:rPr>
          <w:rFonts w:ascii="Arial" w:eastAsia="黑体"/>
          <w:b/>
          <w:bCs/>
          <w:sz w:val="24"/>
          <w:szCs w:val="24"/>
        </w:rPr>
        <w:t>6.1.2 标准化 JD 生成与在线编辑</w:t>
      </w:r>
    </w:p>
    <w:p w14:paraId="2B73A5FE">
      <w:pPr>
        <w:spacing w:before="60" w:after="100" w:line="340" w:lineRule="auto"/>
        <w:jc w:val="both"/>
      </w:pPr>
      <w:r>
        <w:rPr>
          <w:rFonts w:ascii="Times New Roman" w:eastAsia="宋体"/>
          <w:sz w:val="21"/>
          <w:szCs w:val="21"/>
        </w:rPr>
        <w:t>生成的 JD 草案进入编辑器，采用</w:t>
      </w:r>
      <w:r>
        <w:rPr>
          <w:rFonts w:ascii="Times New Roman" w:eastAsia="宋体"/>
          <w:b/>
          <w:bCs/>
          <w:sz w:val="21"/>
          <w:szCs w:val="21"/>
        </w:rPr>
        <w:t>机械事实与表达文本双栏对照</w:t>
      </w:r>
      <w:r>
        <w:rPr>
          <w:rFonts w:ascii="Times New Roman" w:eastAsia="宋体"/>
          <w:sz w:val="21"/>
          <w:szCs w:val="21"/>
        </w:rPr>
        <w:t>的布局：</w:t>
      </w:r>
    </w:p>
    <w:p w14:paraId="43674415">
      <w:pPr>
        <w:pStyle w:val="16"/>
        <w:numPr>
          <w:ilvl w:val="0"/>
          <w:numId w:val="1"/>
        </w:numPr>
        <w:spacing w:before="40" w:after="60" w:line="320" w:lineRule="auto"/>
      </w:pPr>
      <w:r>
        <w:rPr>
          <w:rFonts w:ascii="Times New Roman" w:eastAsia="宋体"/>
          <w:b/>
          <w:bCs/>
          <w:sz w:val="21"/>
          <w:szCs w:val="21"/>
        </w:rPr>
        <w:t>左栏为机械事实卡（只读）</w:t>
      </w:r>
      <w:r>
        <w:rPr>
          <w:rFonts w:ascii="Times New Roman" w:eastAsia="宋体"/>
          <w:sz w:val="21"/>
          <w:szCs w:val="21"/>
        </w:rPr>
        <w:t>：技术组合、代表职责、证据统计、覆盖率、风险旗标</w:t>
      </w:r>
    </w:p>
    <w:p w14:paraId="3DFCD2F2">
      <w:pPr>
        <w:pStyle w:val="16"/>
        <w:numPr>
          <w:ilvl w:val="0"/>
          <w:numId w:val="1"/>
        </w:numPr>
        <w:spacing w:before="40" w:after="60" w:line="320" w:lineRule="auto"/>
      </w:pPr>
      <w:r>
        <w:rPr>
          <w:rFonts w:ascii="Times New Roman" w:eastAsia="宋体"/>
          <w:b/>
          <w:bCs/>
          <w:sz w:val="21"/>
          <w:szCs w:val="21"/>
        </w:rPr>
        <w:t>右栏为表达层文本（可编辑）</w:t>
      </w:r>
      <w:r>
        <w:rPr>
          <w:rFonts w:ascii="Times New Roman" w:eastAsia="宋体"/>
          <w:sz w:val="21"/>
          <w:szCs w:val="21"/>
        </w:rPr>
        <w:t>：岗位名称、一句话定义、核心职责、形成原因、与既有岗位的差异说明</w:t>
      </w:r>
    </w:p>
    <w:p w14:paraId="07A734CE">
      <w:pPr>
        <w:spacing w:before="60" w:after="100" w:line="340" w:lineRule="auto"/>
        <w:jc w:val="both"/>
      </w:pPr>
      <w:r>
        <w:rPr>
          <w:rFonts w:ascii="Times New Roman" w:eastAsia="宋体"/>
          <w:sz w:val="21"/>
          <w:szCs w:val="21"/>
        </w:rPr>
        <w:t>编辑器功能：</w:t>
      </w:r>
    </w:p>
    <w:p w14:paraId="6A833B29">
      <w:pPr>
        <w:pStyle w:val="16"/>
        <w:numPr>
          <w:ilvl w:val="0"/>
          <w:numId w:val="1"/>
        </w:numPr>
        <w:spacing w:before="40" w:after="60" w:line="320" w:lineRule="auto"/>
      </w:pPr>
      <w:r>
        <w:rPr>
          <w:rFonts w:ascii="Times New Roman" w:eastAsia="宋体"/>
          <w:b/>
          <w:bCs/>
          <w:sz w:val="21"/>
          <w:szCs w:val="21"/>
        </w:rPr>
        <w:t>结构化表单编辑</w:t>
      </w:r>
      <w:r>
        <w:rPr>
          <w:rFonts w:ascii="Times New Roman" w:eastAsia="宋体"/>
          <w:sz w:val="21"/>
          <w:szCs w:val="21"/>
        </w:rPr>
        <w:t>：岗位名称、核心职责（可增删排序）、技能项及其要求类型</w:t>
      </w:r>
    </w:p>
    <w:p w14:paraId="70E48815">
      <w:pPr>
        <w:pStyle w:val="16"/>
        <w:numPr>
          <w:ilvl w:val="0"/>
          <w:numId w:val="1"/>
        </w:numPr>
        <w:spacing w:before="40" w:after="60" w:line="320" w:lineRule="auto"/>
      </w:pPr>
      <w:r>
        <w:rPr>
          <w:rFonts w:ascii="Times New Roman" w:eastAsia="宋体"/>
          <w:b/>
          <w:bCs/>
          <w:sz w:val="21"/>
          <w:szCs w:val="21"/>
        </w:rPr>
        <w:t>技术词校验</w:t>
      </w:r>
      <w:r>
        <w:rPr>
          <w:rFonts w:ascii="Times New Roman" w:eastAsia="宋体"/>
          <w:sz w:val="21"/>
          <w:szCs w:val="21"/>
        </w:rPr>
        <w:t>：所有技能项必须来自技术词库，编辑时实时校验，不在库中的词条以警示标记且不允许直接提交</w:t>
      </w:r>
    </w:p>
    <w:p w14:paraId="57636972">
      <w:pPr>
        <w:pStyle w:val="16"/>
        <w:numPr>
          <w:ilvl w:val="0"/>
          <w:numId w:val="1"/>
        </w:numPr>
        <w:spacing w:before="40" w:after="60" w:line="320" w:lineRule="auto"/>
      </w:pPr>
      <w:r>
        <w:rPr>
          <w:rFonts w:ascii="Times New Roman" w:eastAsia="宋体"/>
          <w:b/>
          <w:bCs/>
          <w:sz w:val="21"/>
          <w:szCs w:val="21"/>
        </w:rPr>
        <w:t>事实引用校验</w:t>
      </w:r>
      <w:r>
        <w:rPr>
          <w:rFonts w:ascii="Times New Roman" w:eastAsia="宋体"/>
          <w:sz w:val="21"/>
          <w:szCs w:val="21"/>
        </w:rPr>
        <w:t>：表达层文本中的每一条事实性陈述需可对应到左栏事实卡的具体条目，未通过校验的段落以警示标记</w:t>
      </w:r>
    </w:p>
    <w:p w14:paraId="26887792">
      <w:pPr>
        <w:pStyle w:val="16"/>
        <w:numPr>
          <w:ilvl w:val="0"/>
          <w:numId w:val="1"/>
        </w:numPr>
        <w:spacing w:before="40" w:after="60" w:line="320" w:lineRule="auto"/>
      </w:pPr>
      <w:r>
        <w:rPr>
          <w:rFonts w:ascii="Times New Roman" w:eastAsia="宋体"/>
          <w:b/>
          <w:bCs/>
          <w:sz w:val="21"/>
          <w:szCs w:val="21"/>
        </w:rPr>
        <w:t>版本对比</w:t>
      </w:r>
      <w:r>
        <w:rPr>
          <w:rFonts w:ascii="Times New Roman" w:eastAsia="宋体"/>
          <w:sz w:val="21"/>
          <w:szCs w:val="21"/>
        </w:rPr>
        <w:t>：与前一版本并排对比，高亮变更项</w:t>
      </w:r>
    </w:p>
    <w:p w14:paraId="6BC08F1B">
      <w:pPr>
        <w:pStyle w:val="16"/>
        <w:numPr>
          <w:ilvl w:val="0"/>
          <w:numId w:val="1"/>
        </w:numPr>
        <w:spacing w:before="40" w:after="60" w:line="320" w:lineRule="auto"/>
      </w:pPr>
      <w:r>
        <w:rPr>
          <w:rFonts w:ascii="Times New Roman" w:eastAsia="宋体"/>
          <w:b/>
          <w:bCs/>
          <w:sz w:val="21"/>
          <w:szCs w:val="21"/>
        </w:rPr>
        <w:t>审核工作流</w:t>
      </w:r>
      <w:r>
        <w:rPr>
          <w:rFonts w:ascii="Times New Roman" w:eastAsia="宋体"/>
          <w:sz w:val="21"/>
          <w:szCs w:val="21"/>
        </w:rPr>
        <w:t>：提交 → 认领 → 通过 / 驳回 / 打回修改 → 发布，全流程记录操作日志与审核意见</w:t>
      </w:r>
    </w:p>
    <w:p w14:paraId="0F7309FB">
      <w:pPr>
        <w:spacing w:before="60" w:after="100" w:line="340" w:lineRule="auto"/>
        <w:jc w:val="both"/>
      </w:pPr>
      <w:r>
        <w:rPr>
          <w:rFonts w:ascii="Times New Roman" w:eastAsia="宋体"/>
          <w:sz w:val="21"/>
          <w:szCs w:val="21"/>
        </w:rPr>
        <w:t>双栏对照是本模块的关键交互设计：它使审核者始终能看到文本背后的事实依据，从而把审核从"读起来是否通顺"变为"这句话是否有证据支持"。</w:t>
      </w:r>
    </w:p>
    <w:p w14:paraId="7EB219BF">
      <w:pPr>
        <w:pStyle w:val="3"/>
        <w:spacing w:before="280" w:after="140"/>
      </w:pPr>
      <w:r>
        <w:rPr>
          <w:rFonts w:ascii="Arial" w:eastAsia="黑体"/>
          <w:b/>
          <w:bCs/>
          <w:sz w:val="24"/>
          <w:szCs w:val="24"/>
        </w:rPr>
        <w:t>6.1.3 存量岗位动态更新</w:t>
      </w:r>
    </w:p>
    <w:p w14:paraId="4CDFED77">
      <w:pPr>
        <w:spacing w:before="60" w:after="100" w:line="340" w:lineRule="auto"/>
        <w:jc w:val="both"/>
      </w:pPr>
      <w:r>
        <w:rPr>
          <w:rFonts w:ascii="Times New Roman" w:eastAsia="宋体"/>
          <w:sz w:val="21"/>
          <w:szCs w:val="21"/>
        </w:rPr>
        <w:t>基于 4.2 的输出，为每个已标准化岗位呈现版本变更：</w:t>
      </w:r>
    </w:p>
    <w:p w14:paraId="1DA63F82">
      <w:pPr>
        <w:pStyle w:val="16"/>
        <w:numPr>
          <w:ilvl w:val="0"/>
          <w:numId w:val="1"/>
        </w:numPr>
        <w:spacing w:before="40" w:after="60" w:line="320" w:lineRule="auto"/>
      </w:pPr>
      <w:r>
        <w:rPr>
          <w:rFonts w:ascii="Times New Roman" w:eastAsia="宋体"/>
          <w:b/>
          <w:bCs/>
          <w:sz w:val="21"/>
          <w:szCs w:val="21"/>
        </w:rPr>
        <w:t>变更摘要</w:t>
      </w:r>
      <w:r>
        <w:rPr>
          <w:rFonts w:ascii="Times New Roman" w:eastAsia="宋体"/>
          <w:sz w:val="21"/>
          <w:szCs w:val="21"/>
        </w:rPr>
        <w:t>：本次新增 X 项技能、Y 项重要度变化、删除 Z 项技能</w:t>
      </w:r>
    </w:p>
    <w:p w14:paraId="02C58333">
      <w:pPr>
        <w:pStyle w:val="16"/>
        <w:numPr>
          <w:ilvl w:val="0"/>
          <w:numId w:val="1"/>
        </w:numPr>
        <w:spacing w:before="40" w:after="60" w:line="320" w:lineRule="auto"/>
      </w:pPr>
      <w:r>
        <w:rPr>
          <w:rFonts w:ascii="Times New Roman" w:eastAsia="宋体"/>
          <w:b/>
          <w:bCs/>
          <w:sz w:val="21"/>
          <w:szCs w:val="21"/>
        </w:rPr>
        <w:t>变更详情列表</w:t>
      </w:r>
      <w:r>
        <w:rPr>
          <w:rFonts w:ascii="Times New Roman" w:eastAsia="宋体"/>
          <w:sz w:val="21"/>
          <w:szCs w:val="21"/>
        </w:rPr>
        <w:t>：每项显示变更类型、技术点、新旧值对比、支撑 JD 数与企业数、证据链接</w:t>
      </w:r>
    </w:p>
    <w:p w14:paraId="0806581B">
      <w:pPr>
        <w:pStyle w:val="16"/>
        <w:numPr>
          <w:ilvl w:val="0"/>
          <w:numId w:val="1"/>
        </w:numPr>
        <w:spacing w:before="40" w:after="60" w:line="320" w:lineRule="auto"/>
      </w:pPr>
      <w:r>
        <w:rPr>
          <w:rFonts w:ascii="Times New Roman" w:eastAsia="宋体"/>
          <w:b/>
          <w:bCs/>
          <w:sz w:val="21"/>
          <w:szCs w:val="21"/>
        </w:rPr>
        <w:t>溯源下钻</w:t>
      </w:r>
      <w:r>
        <w:rPr>
          <w:rFonts w:ascii="Times New Roman" w:eastAsia="宋体"/>
          <w:sz w:val="21"/>
          <w:szCs w:val="21"/>
        </w:rPr>
        <w:t>：点击任意变更项，展开支撑该变更的原始 JD 列表与具体语句位置</w:t>
      </w:r>
    </w:p>
    <w:p w14:paraId="23ADA16F">
      <w:pPr>
        <w:pStyle w:val="16"/>
        <w:numPr>
          <w:ilvl w:val="0"/>
          <w:numId w:val="1"/>
        </w:numPr>
        <w:spacing w:before="40" w:after="60" w:line="320" w:lineRule="auto"/>
      </w:pPr>
      <w:r>
        <w:rPr>
          <w:rFonts w:ascii="Times New Roman" w:eastAsia="宋体"/>
          <w:b/>
          <w:bCs/>
          <w:sz w:val="21"/>
          <w:szCs w:val="21"/>
        </w:rPr>
        <w:t>口径标注</w:t>
      </w:r>
      <w:r>
        <w:rPr>
          <w:rFonts w:ascii="Times New Roman" w:eastAsia="宋体"/>
          <w:sz w:val="21"/>
          <w:szCs w:val="21"/>
        </w:rPr>
        <w:t>：若该版本的比较跨越了算法或词表的版本变更，界面显式标注，提示该差异中包含工具口径因素</w:t>
      </w:r>
    </w:p>
    <w:p w14:paraId="1D3D17CA">
      <w:pPr>
        <w:pStyle w:val="3"/>
        <w:spacing w:before="280" w:after="140"/>
      </w:pPr>
      <w:r>
        <w:rPr>
          <w:rFonts w:ascii="Arial" w:eastAsia="黑体"/>
          <w:b/>
          <w:bCs/>
          <w:sz w:val="24"/>
          <w:szCs w:val="24"/>
        </w:rPr>
        <w:t>6.1.4 版本管理</w:t>
      </w:r>
    </w:p>
    <w:p w14:paraId="116B0D83">
      <w:pPr>
        <w:spacing w:before="60" w:after="100" w:line="340" w:lineRule="auto"/>
        <w:jc w:val="both"/>
      </w:pPr>
      <w:r>
        <w:rPr>
          <w:rFonts w:ascii="Times New Roman" w:eastAsia="宋体"/>
          <w:sz w:val="21"/>
          <w:szCs w:val="21"/>
        </w:rPr>
        <w:t>每个岗位维护完整版本历史，以时间轴形式展示版本演进，每个节点标注变更摘要、审核人、发布时间、来源类型（聚类派生 / 推演派生）。支持任意两个版本并排对比并自动高亮差异项。</w:t>
      </w:r>
    </w:p>
    <w:p w14:paraId="1B662344">
      <w:pPr>
        <w:spacing w:before="60" w:after="100" w:line="340" w:lineRule="auto"/>
        <w:jc w:val="both"/>
      </w:pPr>
      <w:r>
        <w:rPr>
          <w:rFonts w:ascii="Times New Roman" w:eastAsia="宋体"/>
          <w:b/>
          <w:bCs/>
          <w:sz w:val="21"/>
          <w:szCs w:val="21"/>
        </w:rPr>
        <w:t>所有已发布版本不可原地修改</w:t>
      </w:r>
      <w:r>
        <w:rPr>
          <w:rFonts w:ascii="Times New Roman" w:eastAsia="宋体"/>
          <w:sz w:val="21"/>
          <w:szCs w:val="21"/>
        </w:rPr>
        <w:t>，修正通过发布新版本实现，历史版本永久保留以支持回溯审计。</w:t>
      </w:r>
    </w:p>
    <w:p w14:paraId="2D398566">
      <w:pPr>
        <w:pBdr>
          <w:bottom w:val="single" w:color="CCCCCC" w:sz="6" w:space="1"/>
        </w:pBdr>
        <w:spacing w:before="120" w:after="120"/>
      </w:pPr>
    </w:p>
    <w:p w14:paraId="76DC4018">
      <w:pPr>
        <w:pStyle w:val="2"/>
        <w:spacing w:before="360" w:after="200"/>
      </w:pPr>
      <w:r>
        <w:rPr>
          <w:rFonts w:ascii="Arial" w:eastAsia="黑体"/>
          <w:b/>
          <w:bCs/>
          <w:sz w:val="30"/>
          <w:szCs w:val="30"/>
        </w:rPr>
        <w:t>7.1 创新点一：证据门控的岗位定义</w:t>
      </w:r>
    </w:p>
    <w:p w14:paraId="07C81880">
      <w:pPr>
        <w:pStyle w:val="3"/>
        <w:spacing w:before="280" w:after="140"/>
      </w:pPr>
      <w:r>
        <w:rPr>
          <w:rFonts w:ascii="Arial" w:eastAsia="黑体"/>
          <w:b/>
          <w:bCs/>
          <w:sz w:val="24"/>
          <w:szCs w:val="24"/>
        </w:rPr>
        <w:t>传统范式的局限</w:t>
      </w:r>
    </w:p>
    <w:p w14:paraId="6D001FE8">
      <w:pPr>
        <w:spacing w:before="60" w:after="100" w:line="340" w:lineRule="auto"/>
        <w:jc w:val="both"/>
      </w:pPr>
      <w:r>
        <w:rPr>
          <w:rFonts w:ascii="Times New Roman" w:eastAsia="宋体"/>
          <w:sz w:val="21"/>
          <w:szCs w:val="21"/>
        </w:rPr>
        <w:t>现有岗位定义方法遵循"事后归纳"范式——等待足够多的企业发布相似 JD 后，由人工或算法提取共性特征形成岗位标准。这一路径在新一代信息技术领域存在两重缺陷：</w:t>
      </w:r>
    </w:p>
    <w:p w14:paraId="5CF20F26">
      <w:pPr>
        <w:spacing w:before="60" w:after="100" w:line="340" w:lineRule="auto"/>
        <w:jc w:val="both"/>
      </w:pPr>
      <w:r>
        <w:rPr>
          <w:rFonts w:ascii="Times New Roman" w:eastAsia="宋体"/>
          <w:sz w:val="21"/>
          <w:szCs w:val="21"/>
        </w:rPr>
        <w:t>其一是</w:t>
      </w:r>
      <w:r>
        <w:rPr>
          <w:rFonts w:ascii="Times New Roman" w:eastAsia="宋体"/>
          <w:b/>
          <w:bCs/>
          <w:sz w:val="21"/>
          <w:szCs w:val="21"/>
        </w:rPr>
        <w:t>时序上的滞后</w:t>
      </w:r>
      <w:r>
        <w:rPr>
          <w:rFonts w:ascii="Times New Roman" w:eastAsia="宋体"/>
          <w:sz w:val="21"/>
          <w:szCs w:val="21"/>
        </w:rPr>
        <w:t>，技术迭代周期远短于岗位定义周期；其二是</w:t>
      </w:r>
      <w:r>
        <w:rPr>
          <w:rFonts w:ascii="Times New Roman" w:eastAsia="宋体"/>
          <w:b/>
          <w:bCs/>
          <w:sz w:val="21"/>
          <w:szCs w:val="21"/>
        </w:rPr>
        <w:t>方法上的脆弱</w:t>
      </w:r>
      <w:r>
        <w:rPr>
          <w:rFonts w:ascii="Times New Roman" w:eastAsia="宋体"/>
          <w:sz w:val="21"/>
          <w:szCs w:val="21"/>
        </w:rPr>
        <w:t>——按岗位名称归纳，而名称恰恰是最不稳定的一维：同一份工作在不同企业有不同叫法，同一个叫法在不同企业指不同工作。</w:t>
      </w:r>
    </w:p>
    <w:p w14:paraId="1515744F">
      <w:pPr>
        <w:pStyle w:val="3"/>
        <w:spacing w:before="280" w:after="140"/>
      </w:pPr>
      <w:r>
        <w:rPr>
          <w:rFonts w:ascii="Arial" w:eastAsia="黑体"/>
          <w:b/>
          <w:bCs/>
          <w:sz w:val="24"/>
          <w:szCs w:val="24"/>
        </w:rPr>
        <w:t>本系统的突破</w:t>
      </w:r>
    </w:p>
    <w:p w14:paraId="42D548B4">
      <w:pPr>
        <w:spacing w:before="60" w:after="100" w:line="340" w:lineRule="auto"/>
        <w:jc w:val="both"/>
      </w:pPr>
      <w:r>
        <w:rPr>
          <w:rFonts w:ascii="Times New Roman" w:eastAsia="宋体"/>
          <w:sz w:val="21"/>
          <w:szCs w:val="21"/>
        </w:rPr>
        <w:t>系统提出</w:t>
      </w:r>
      <w:r>
        <w:rPr>
          <w:rFonts w:ascii="Times New Roman" w:eastAsia="宋体"/>
          <w:b/>
          <w:bCs/>
          <w:sz w:val="21"/>
          <w:szCs w:val="21"/>
        </w:rPr>
        <w:t>以能力组合为单位、以多重独立证据门控为判据</w:t>
      </w:r>
      <w:r>
        <w:rPr>
          <w:rFonts w:ascii="Times New Roman" w:eastAsia="宋体"/>
          <w:sz w:val="21"/>
          <w:szCs w:val="21"/>
        </w:rPr>
        <w:t>的岗位定义方法，包含三项技术贡献。</w:t>
      </w:r>
    </w:p>
    <w:p w14:paraId="4030E805">
      <w:pPr>
        <w:pStyle w:val="4"/>
        <w:spacing w:before="240" w:after="120"/>
      </w:pPr>
      <w:r>
        <w:rPr>
          <w:rFonts w:ascii="Arial" w:eastAsia="黑体"/>
          <w:b/>
          <w:bCs/>
          <w:sz w:val="22"/>
          <w:szCs w:val="22"/>
        </w:rPr>
        <w:t>贡献一：候选粒度决定测量分辨率</w:t>
      </w:r>
    </w:p>
    <w:p w14:paraId="730BA0CB">
      <w:pPr>
        <w:spacing w:before="60" w:after="100" w:line="340" w:lineRule="auto"/>
        <w:jc w:val="both"/>
      </w:pPr>
      <w:r>
        <w:rPr>
          <w:rFonts w:ascii="Times New Roman" w:eastAsia="宋体"/>
          <w:sz w:val="21"/>
          <w:szCs w:val="21"/>
        </w:rPr>
        <w:t>新岗位的判定依赖"候选能力有多少已被既有岗位吸收"这一覆盖率测量。本研究表明：</w:t>
      </w:r>
      <w:r>
        <w:rPr>
          <w:rFonts w:ascii="Times New Roman" w:eastAsia="宋体"/>
          <w:b/>
          <w:bCs/>
          <w:sz w:val="21"/>
          <w:szCs w:val="21"/>
        </w:rPr>
        <w:t>该测量的分辨率完全由候选粒度决定。</w:t>
      </w:r>
      <w:r>
        <w:rPr>
          <w:rFonts w:ascii="Times New Roman" w:eastAsia="宋体"/>
          <w:sz w:val="21"/>
          <w:szCs w:val="21"/>
        </w:rPr>
        <w:t xml:space="preserve"> 当候选为技术对时，覆盖率的分母恒为 2，测量值只能取三个离散值，任何阈值划分都失去意义——实测 100 个候选中 91 个覆盖率恰好等于 1.0，三档分类近乎全部落入同一档。</w:t>
      </w:r>
    </w:p>
    <w:p w14:paraId="4A28ABF4">
      <w:pPr>
        <w:spacing w:before="60" w:after="100" w:line="340" w:lineRule="auto"/>
        <w:jc w:val="both"/>
      </w:pPr>
      <w:r>
        <w:rPr>
          <w:rFonts w:ascii="Times New Roman" w:eastAsia="宋体"/>
          <w:sz w:val="21"/>
          <w:szCs w:val="21"/>
        </w:rPr>
        <w:t>改用频繁闭项集将候选粒度提升至 3–5 个技术后，覆盖率取值细化至五个水平，三档分类均有分布。</w:t>
      </w:r>
    </w:p>
    <w:p w14:paraId="317BD2A1">
      <w:pPr>
        <w:spacing w:before="60" w:after="100" w:line="340" w:lineRule="auto"/>
        <w:jc w:val="both"/>
      </w:pPr>
      <w:r>
        <w:rPr>
          <w:rFonts w:ascii="Times New Roman" w:eastAsia="宋体"/>
          <w:sz w:val="21"/>
          <w:szCs w:val="21"/>
        </w:rPr>
        <w:t>这一结论的普遍意义在于：</w:t>
      </w:r>
      <w:r>
        <w:rPr>
          <w:rFonts w:ascii="Times New Roman" w:eastAsia="宋体"/>
          <w:b/>
          <w:bCs/>
          <w:sz w:val="21"/>
          <w:szCs w:val="21"/>
        </w:rPr>
        <w:t>在基于集合重合度的判别任务中，候选集合的基数构成测量分辨率的上界，粒度设计应先于阈值标定。</w:t>
      </w:r>
    </w:p>
    <w:p w14:paraId="1A09CC9B">
      <w:pPr>
        <w:pStyle w:val="4"/>
        <w:spacing w:before="240" w:after="120"/>
      </w:pPr>
      <w:r>
        <w:rPr>
          <w:rFonts w:ascii="Arial" w:eastAsia="黑体"/>
          <w:b/>
          <w:bCs/>
          <w:sz w:val="22"/>
          <w:szCs w:val="22"/>
        </w:rPr>
        <w:t>贡献二：合取式证据门控，而非单一评分阈值</w:t>
      </w:r>
    </w:p>
    <w:p w14:paraId="521B798E">
      <w:pPr>
        <w:spacing w:before="60" w:after="100" w:line="340" w:lineRule="auto"/>
        <w:jc w:val="both"/>
      </w:pPr>
      <w:r>
        <w:rPr>
          <w:rFonts w:ascii="Times New Roman" w:eastAsia="宋体"/>
          <w:sz w:val="21"/>
          <w:szCs w:val="21"/>
        </w:rPr>
        <w:t>系统将"这是一个新岗位"处理为一个</w:t>
      </w:r>
      <w:r>
        <w:rPr>
          <w:rFonts w:ascii="Times New Roman" w:eastAsia="宋体"/>
          <w:b/>
          <w:bCs/>
          <w:sz w:val="21"/>
          <w:szCs w:val="21"/>
        </w:rPr>
        <w:t>需要多重独立证据同时成立的结论</w:t>
      </w:r>
      <w:r>
        <w:rPr>
          <w:rFonts w:ascii="Times New Roman" w:eastAsia="宋体"/>
          <w:sz w:val="21"/>
          <w:szCs w:val="21"/>
        </w:rPr>
        <w:t>：支撑 JD 数、发布企业数、数据来源数、观测窗期数、技术成熟度、学术产业落差——任一条不满足即不升档，且未满足项转化为显式风险旗标随候选呈现。</w:t>
      </w:r>
    </w:p>
    <w:p w14:paraId="51F897B8">
      <w:pPr>
        <w:spacing w:before="60" w:after="100" w:line="340" w:lineRule="auto"/>
        <w:jc w:val="both"/>
      </w:pPr>
      <w:r>
        <w:rPr>
          <w:rFonts w:ascii="Times New Roman" w:eastAsia="宋体"/>
          <w:sz w:val="21"/>
          <w:szCs w:val="21"/>
        </w:rPr>
        <w:t>相较于把所有信号折算为单一分数再卡阈值，合取门控有两点优势：其一是</w:t>
      </w:r>
      <w:r>
        <w:rPr>
          <w:rFonts w:ascii="Times New Roman" w:eastAsia="宋体"/>
          <w:b/>
          <w:bCs/>
          <w:sz w:val="21"/>
          <w:szCs w:val="21"/>
        </w:rPr>
        <w:t>抗特定偏差</w:t>
      </w:r>
      <w:r>
        <w:rPr>
          <w:rFonts w:ascii="Times New Roman" w:eastAsia="宋体"/>
          <w:sz w:val="21"/>
          <w:szCs w:val="21"/>
        </w:rPr>
        <w:t>，单一企业的一次特殊招聘无法凭高分升档；其二是把"为什么这个候选还不够格"变成</w:t>
      </w:r>
      <w:r>
        <w:rPr>
          <w:rFonts w:ascii="Times New Roman" w:eastAsia="宋体"/>
          <w:b/>
          <w:bCs/>
          <w:sz w:val="21"/>
          <w:szCs w:val="21"/>
        </w:rPr>
        <w:t>可读、可操作的信息</w:t>
      </w:r>
      <w:r>
        <w:rPr>
          <w:rFonts w:ascii="Times New Roman" w:eastAsia="宋体"/>
          <w:sz w:val="21"/>
          <w:szCs w:val="21"/>
        </w:rPr>
        <w:t>，而非一个不可解释的分数。</w:t>
      </w:r>
    </w:p>
    <w:p w14:paraId="4C66EF7F">
      <w:pPr>
        <w:spacing w:before="200" w:after="60"/>
        <w:jc w:val="center"/>
      </w:pPr>
      <w:r>
        <w:drawing>
          <wp:inline distT="0" distB="0" distL="0" distR="0">
            <wp:extent cx="5715000" cy="24288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7"/>
                    <a:srcRect/>
                    <a:stretch>
                      <a:fillRect/>
                    </a:stretch>
                  </pic:blipFill>
                  <pic:spPr>
                    <a:xfrm>
                      <a:off x="0" y="0"/>
                      <a:ext cx="5715000" cy="2428875"/>
                    </a:xfrm>
                    <a:prstGeom prst="rect">
                      <a:avLst/>
                    </a:prstGeom>
                  </pic:spPr>
                </pic:pic>
              </a:graphicData>
            </a:graphic>
          </wp:inline>
        </w:drawing>
      </w:r>
    </w:p>
    <w:p w14:paraId="55FB283A">
      <w:pPr>
        <w:spacing w:after="240"/>
        <w:jc w:val="center"/>
      </w:pPr>
      <w:r>
        <w:rPr>
          <w:rFonts w:ascii="Times New Roman" w:eastAsia="宋体"/>
          <w:color w:val="444444"/>
          <w:sz w:val="19"/>
          <w:szCs w:val="19"/>
        </w:rPr>
        <w:t>图 7-1　合取式证据门控与单一评分阈值的对比</w:t>
      </w:r>
    </w:p>
    <w:p w14:paraId="7944F0B4">
      <w:pPr>
        <w:pStyle w:val="4"/>
        <w:spacing w:before="240" w:after="120"/>
      </w:pPr>
      <w:r>
        <w:rPr>
          <w:rFonts w:ascii="Arial" w:eastAsia="黑体"/>
          <w:b/>
          <w:bCs/>
          <w:sz w:val="22"/>
          <w:szCs w:val="22"/>
        </w:rPr>
        <w:t>贡献三：机械决策与语言表达的严格分离</w:t>
      </w:r>
    </w:p>
    <w:p w14:paraId="14089648">
      <w:pPr>
        <w:spacing w:before="60" w:after="100" w:line="340" w:lineRule="auto"/>
        <w:jc w:val="both"/>
      </w:pPr>
      <w:r>
        <w:rPr>
          <w:rFonts w:ascii="Times New Roman" w:eastAsia="宋体"/>
          <w:sz w:val="21"/>
          <w:szCs w:val="21"/>
        </w:rPr>
        <w:t>大模型在岗位定义任务中容易产生幻觉。本系统的处理不是"生成后审核"，而是</w:t>
      </w:r>
      <w:r>
        <w:rPr>
          <w:rFonts w:ascii="Times New Roman" w:eastAsia="宋体"/>
          <w:b/>
          <w:bCs/>
          <w:sz w:val="21"/>
          <w:szCs w:val="21"/>
        </w:rPr>
        <w:t>从架构上禁止大模型进入决策路径</w:t>
      </w:r>
      <w:r>
        <w:rPr>
          <w:rFonts w:ascii="Times New Roman" w:eastAsia="宋体"/>
          <w:sz w:val="21"/>
          <w:szCs w:val="21"/>
        </w:rPr>
        <w:t>：所有归属、编码、评分、分档由确定性算法完成；大模型仅承担把机械事实卡改写为可读文本的工作，且改写结果须逐条引用机械事实，校验不通过即降级为规则模板输出。</w:t>
      </w:r>
    </w:p>
    <w:p w14:paraId="5B8AB73D">
      <w:pPr>
        <w:spacing w:before="60" w:after="100" w:line="340" w:lineRule="auto"/>
        <w:jc w:val="both"/>
      </w:pPr>
      <w:r>
        <w:rPr>
          <w:rFonts w:ascii="Times New Roman" w:eastAsia="宋体"/>
          <w:sz w:val="21"/>
          <w:szCs w:val="21"/>
        </w:rPr>
        <w:t>这一分离的根本理由是</w:t>
      </w:r>
      <w:r>
        <w:rPr>
          <w:rFonts w:ascii="Times New Roman" w:eastAsia="宋体"/>
          <w:b/>
          <w:bCs/>
          <w:sz w:val="21"/>
          <w:szCs w:val="21"/>
        </w:rPr>
        <w:t>可重放性</w:t>
      </w:r>
      <w:r>
        <w:rPr>
          <w:rFonts w:ascii="Times New Roman" w:eastAsia="宋体"/>
          <w:sz w:val="21"/>
          <w:szCs w:val="21"/>
        </w:rPr>
        <w:t>——同输入、同算法版本、同参数必须得到同结果。大模型输出不稳定，一旦进入决策路径，整条证据链的可信基础即告瓦解。</w:t>
      </w:r>
    </w:p>
    <w:p w14:paraId="479EDD6B">
      <w:pPr>
        <w:pStyle w:val="3"/>
        <w:spacing w:before="280" w:after="140"/>
      </w:pPr>
      <w:r>
        <w:rPr>
          <w:rFonts w:ascii="Arial" w:eastAsia="黑体"/>
          <w:b/>
          <w:bCs/>
          <w:sz w:val="24"/>
          <w:szCs w:val="24"/>
        </w:rPr>
        <w:t>技术创新要素</w:t>
      </w:r>
    </w:p>
    <w:p w14:paraId="796280E8">
      <w:pPr>
        <w:pStyle w:val="16"/>
        <w:numPr>
          <w:ilvl w:val="0"/>
          <w:numId w:val="1"/>
        </w:numPr>
        <w:spacing w:before="40" w:after="60" w:line="320" w:lineRule="auto"/>
      </w:pPr>
      <w:r>
        <w:rPr>
          <w:rFonts w:ascii="Times New Roman" w:eastAsia="宋体"/>
          <w:sz w:val="21"/>
          <w:szCs w:val="21"/>
        </w:rPr>
        <w:t>频繁闭项集挖掘的候选粒度设计，及"支撑 JD 数 × 组合大小"的排序判据</w:t>
      </w:r>
    </w:p>
    <w:p w14:paraId="4DA89DE7">
      <w:pPr>
        <w:pStyle w:val="16"/>
        <w:numPr>
          <w:ilvl w:val="0"/>
          <w:numId w:val="1"/>
        </w:numPr>
        <w:spacing w:before="40" w:after="60" w:line="320" w:lineRule="auto"/>
      </w:pPr>
      <w:r>
        <w:rPr>
          <w:rFonts w:ascii="Times New Roman" w:eastAsia="宋体"/>
          <w:sz w:val="21"/>
          <w:szCs w:val="21"/>
        </w:rPr>
        <w:t>非对称覆盖率的距离度量，修正了 Jaccard 因岗位能力集合规模带来的系统性偏差</w:t>
      </w:r>
    </w:p>
    <w:p w14:paraId="7BCD22CD">
      <w:pPr>
        <w:pStyle w:val="16"/>
        <w:numPr>
          <w:ilvl w:val="0"/>
          <w:numId w:val="1"/>
        </w:numPr>
        <w:spacing w:before="40" w:after="60" w:line="320" w:lineRule="auto"/>
      </w:pPr>
      <w:r>
        <w:rPr>
          <w:rFonts w:ascii="Times New Roman" w:eastAsia="宋体"/>
          <w:sz w:val="21"/>
          <w:szCs w:val="21"/>
        </w:rPr>
        <w:t>多重独立证据合取门控的成熟度分档机制，与显式风险旗标体系</w:t>
      </w:r>
    </w:p>
    <w:p w14:paraId="02364904">
      <w:pPr>
        <w:pStyle w:val="16"/>
        <w:numPr>
          <w:ilvl w:val="0"/>
          <w:numId w:val="1"/>
        </w:numPr>
        <w:spacing w:before="40" w:after="60" w:line="320" w:lineRule="auto"/>
      </w:pPr>
      <w:r>
        <w:rPr>
          <w:rFonts w:ascii="Times New Roman" w:eastAsia="宋体"/>
          <w:sz w:val="21"/>
          <w:szCs w:val="21"/>
        </w:rPr>
        <w:t>技术成熟度的时间衰减累积模型，及其饱和系数的数据标定方法</w:t>
      </w:r>
    </w:p>
    <w:p w14:paraId="7FDDFC07">
      <w:pPr>
        <w:pStyle w:val="16"/>
        <w:numPr>
          <w:ilvl w:val="0"/>
          <w:numId w:val="1"/>
        </w:numPr>
        <w:spacing w:before="40" w:after="60" w:line="320" w:lineRule="auto"/>
      </w:pPr>
      <w:r>
        <w:rPr>
          <w:rFonts w:ascii="Times New Roman" w:eastAsia="宋体"/>
          <w:sz w:val="21"/>
          <w:szCs w:val="21"/>
        </w:rPr>
        <w:t>机械事实卡 / 表达层双栏对照的人机协同审核界面</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Math">
    <w:altName w:val="Kingsoft Math"/>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苹方-简">
    <w:panose1 w:val="020B0400000000000000"/>
    <w:charset w:val="86"/>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C775B"/>
    <w:multiLevelType w:val="multilevel"/>
    <w:tmpl w:val="9BFC775B"/>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isplayBackgroundShape w:val="1"/>
  <w:documentProtection w:enforcement="0"/>
  <w:compat>
    <w:useFELayout/>
    <w:compatSetting w:name="compatibilityMode" w:uri="http://schemas.microsoft.com/office/word" w:val="15"/>
  </w:compat>
  <w:rsids>
    <w:rsidRoot w:val="00000000"/>
    <w:rsid w:val="B7E643C6"/>
    <w:rsid w:val="FFEFC5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eastAsia="宋体" w:hAnsiTheme="minorHAnsi" w:cstheme="minorBidi"/>
      <w:sz w:val="21"/>
      <w:szCs w:val="21"/>
    </w:rPr>
  </w:style>
  <w:style w:type="paragraph" w:styleId="2">
    <w:name w:val="heading 1"/>
    <w:next w:val="1"/>
    <w:qFormat/>
    <w:uiPriority w:val="0"/>
    <w:pPr>
      <w:spacing w:line="340" w:lineRule="auto"/>
    </w:pPr>
    <w:rPr>
      <w:rFonts w:ascii="Times New Roman" w:eastAsia="宋体" w:hAnsiTheme="minorHAnsi" w:cstheme="minorBidi"/>
      <w:color w:val="2E74B5"/>
      <w:sz w:val="32"/>
      <w:szCs w:val="32"/>
    </w:rPr>
  </w:style>
  <w:style w:type="paragraph" w:styleId="3">
    <w:name w:val="heading 2"/>
    <w:next w:val="1"/>
    <w:qFormat/>
    <w:uiPriority w:val="0"/>
    <w:pPr>
      <w:spacing w:line="340" w:lineRule="auto"/>
    </w:pPr>
    <w:rPr>
      <w:rFonts w:ascii="Times New Roman" w:eastAsia="宋体" w:hAnsiTheme="minorHAnsi" w:cstheme="minorBidi"/>
      <w:color w:val="2E74B5"/>
      <w:sz w:val="26"/>
      <w:szCs w:val="26"/>
    </w:rPr>
  </w:style>
  <w:style w:type="paragraph" w:styleId="4">
    <w:name w:val="heading 3"/>
    <w:next w:val="1"/>
    <w:qFormat/>
    <w:uiPriority w:val="0"/>
    <w:pPr>
      <w:spacing w:line="340" w:lineRule="auto"/>
    </w:pPr>
    <w:rPr>
      <w:rFonts w:ascii="Times New Roman" w:eastAsia="宋体" w:hAnsiTheme="minorHAnsi" w:cstheme="minorBidi"/>
      <w:color w:val="1F4D78"/>
      <w:sz w:val="24"/>
      <w:szCs w:val="24"/>
    </w:rPr>
  </w:style>
  <w:style w:type="paragraph" w:styleId="5">
    <w:name w:val="heading 4"/>
    <w:next w:val="1"/>
    <w:qFormat/>
    <w:uiPriority w:val="0"/>
    <w:pPr>
      <w:spacing w:line="340" w:lineRule="auto"/>
    </w:pPr>
    <w:rPr>
      <w:rFonts w:ascii="Times New Roman" w:eastAsia="宋体" w:hAnsiTheme="minorHAnsi" w:cstheme="minorBidi"/>
      <w:i/>
      <w:iCs/>
      <w:color w:val="2E74B5"/>
      <w:sz w:val="21"/>
      <w:szCs w:val="21"/>
    </w:rPr>
  </w:style>
  <w:style w:type="paragraph" w:styleId="6">
    <w:name w:val="heading 5"/>
    <w:next w:val="1"/>
    <w:qFormat/>
    <w:uiPriority w:val="0"/>
    <w:pPr>
      <w:spacing w:line="340" w:lineRule="auto"/>
    </w:pPr>
    <w:rPr>
      <w:rFonts w:ascii="Times New Roman" w:eastAsia="宋体" w:hAnsiTheme="minorHAnsi" w:cstheme="minorBidi"/>
      <w:color w:val="2E74B5"/>
      <w:sz w:val="21"/>
      <w:szCs w:val="21"/>
    </w:rPr>
  </w:style>
  <w:style w:type="paragraph" w:styleId="7">
    <w:name w:val="heading 6"/>
    <w:next w:val="1"/>
    <w:qFormat/>
    <w:uiPriority w:val="0"/>
    <w:pPr>
      <w:spacing w:line="340" w:lineRule="auto"/>
    </w:pPr>
    <w:rPr>
      <w:rFonts w:ascii="Times New Roman" w:eastAsia="宋体" w:hAnsiTheme="minorHAnsi" w:cstheme="minorBidi"/>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Times New Roman" w:eastAsia="宋体" w:hAnsiTheme="minorHAnsi" w:cstheme="minorBidi"/>
      <w:sz w:val="20"/>
      <w:szCs w:val="20"/>
    </w:rPr>
  </w:style>
  <w:style w:type="paragraph" w:styleId="9">
    <w:name w:val="footnote text"/>
    <w:link w:val="17"/>
    <w:semiHidden/>
    <w:unhideWhenUsed/>
    <w:uiPriority w:val="99"/>
    <w:pPr>
      <w:spacing w:after="0" w:line="240" w:lineRule="auto"/>
    </w:pPr>
    <w:rPr>
      <w:rFonts w:ascii="Times New Roman" w:eastAsia="宋体" w:hAnsiTheme="minorHAnsi" w:cstheme="minorBidi"/>
      <w:sz w:val="20"/>
      <w:szCs w:val="20"/>
    </w:rPr>
  </w:style>
  <w:style w:type="paragraph" w:styleId="10">
    <w:name w:val="Title"/>
    <w:qFormat/>
    <w:uiPriority w:val="0"/>
    <w:pPr>
      <w:spacing w:line="340" w:lineRule="auto"/>
    </w:pPr>
    <w:rPr>
      <w:rFonts w:ascii="Times New Roman" w:eastAsia="宋体" w:hAnsiTheme="minorHAnsi" w:cstheme="minorBidi"/>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40" w:lineRule="auto"/>
    </w:pPr>
    <w:rPr>
      <w:rFonts w:ascii="Times New Roman" w:eastAsia="宋体" w:hAnsiTheme="minorHAnsi" w:cstheme="minorBidi"/>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1</TotalTime>
  <ScaleCrop>false</ScaleCrop>
  <LinksUpToDate>false</LinksUpToDate>
  <Application>WPS Office_12.1.26050.26050_F1E327BC-269C-435d-A152-05C5408002CA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2026-08-20T15:07:21Z</dcterms:created>
  <dc:creator>Un-named</dc:creator>
  <cp:lastModifiedBy>旻</cp:lastModifiedBy>
  <dcterms:modified xsi:type="dcterms:W3CDTF">2026-08-20T15:07:42Z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2052-12.1.26050.26050</vt:lpwstr>
  </property>
  <property fmtid="{D5CDD505-2E9C-101B-9397-08002B2CF9AE}" pid="3" name="ICV">
    <vt:lpwstr>9D4B1EB4281ABAEF6CA7866A40E8B768_42</vt:lpwstr>
  </property>
</Properties>
</file>