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9013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highlight w:val="yellow"/>
          <w:lang w:val="en-GB"/>
        </w:rPr>
        <w:t>Project &amp; Investment Risk Analysis</w:t>
      </w:r>
    </w:p>
    <w:p w14:paraId="4D54FA80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1AD2EC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Alternative Measures of Risk</w:t>
      </w:r>
    </w:p>
    <w:p w14:paraId="301A7A15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CA4303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Variance</w:t>
      </w:r>
    </w:p>
    <w:p w14:paraId="2479733A" w14:textId="77777777" w:rsidR="005E30C0" w:rsidRDefault="005E30C0" w:rsidP="005E30C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Average of the squared deviations around the mean</w:t>
      </w:r>
    </w:p>
    <w:p w14:paraId="62464732" w14:textId="77777777" w:rsidR="005E30C0" w:rsidRDefault="005E30C0" w:rsidP="005E30C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Symmetrical Measure</w:t>
      </w:r>
      <w:r>
        <w:rPr>
          <w:rFonts w:ascii="Cambria" w:hAnsi="Cambria" w:cs="Calibri"/>
          <w:sz w:val="22"/>
          <w:szCs w:val="22"/>
        </w:rPr>
        <w:t xml:space="preserve"> → Accounts for deviations </w:t>
      </w:r>
      <w:r>
        <w:rPr>
          <w:rFonts w:ascii="Cambria" w:hAnsi="Cambria" w:cs="Calibri"/>
          <w:b/>
          <w:bCs/>
          <w:sz w:val="22"/>
          <w:szCs w:val="22"/>
        </w:rPr>
        <w:t>both above and below</w:t>
      </w:r>
      <w:r>
        <w:rPr>
          <w:rFonts w:ascii="Cambria" w:hAnsi="Cambria" w:cs="Calibri"/>
          <w:sz w:val="22"/>
          <w:szCs w:val="22"/>
        </w:rPr>
        <w:t xml:space="preserve"> the mean</w:t>
      </w:r>
    </w:p>
    <w:p w14:paraId="3D2632D0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D7833BE" w14:textId="09DC00A1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C1979F1" wp14:editId="65BC74DC">
            <wp:extent cx="2784475" cy="381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0C98" w14:textId="6FD0884F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8680796" wp14:editId="40C8BB91">
            <wp:extent cx="2133600" cy="2698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CD67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3BDCC5F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Semi-Variance</w:t>
      </w:r>
    </w:p>
    <w:p w14:paraId="33563E57" w14:textId="77777777" w:rsidR="005E30C0" w:rsidRDefault="005E30C0" w:rsidP="005E30C0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Investors are typically worried only if their </w:t>
      </w:r>
      <w:r>
        <w:rPr>
          <w:rFonts w:ascii="Cambria" w:hAnsi="Cambria" w:cs="Calibri"/>
          <w:b/>
          <w:bCs/>
          <w:sz w:val="22"/>
          <w:szCs w:val="22"/>
        </w:rPr>
        <w:t>investment underperforms</w:t>
      </w:r>
      <w:r>
        <w:rPr>
          <w:rFonts w:ascii="Cambria" w:hAnsi="Cambria" w:cs="Calibri"/>
          <w:sz w:val="22"/>
          <w:szCs w:val="22"/>
        </w:rPr>
        <w:t xml:space="preserve"> </w:t>
      </w:r>
      <w:proofErr w:type="gramStart"/>
      <w:r>
        <w:rPr>
          <w:rFonts w:ascii="Cambria" w:hAnsi="Cambria" w:cs="Calibri"/>
          <w:sz w:val="22"/>
          <w:szCs w:val="22"/>
        </w:rPr>
        <w:t>thus</w:t>
      </w:r>
      <w:proofErr w:type="gramEnd"/>
      <w:r>
        <w:rPr>
          <w:rFonts w:ascii="Cambria" w:hAnsi="Cambria" w:cs="Calibri"/>
          <w:sz w:val="22"/>
          <w:szCs w:val="22"/>
        </w:rPr>
        <w:t xml:space="preserve"> they are more worried about the </w:t>
      </w:r>
      <w:r>
        <w:rPr>
          <w:rFonts w:ascii="Cambria" w:hAnsi="Cambria" w:cs="Calibri"/>
          <w:b/>
          <w:bCs/>
          <w:sz w:val="22"/>
          <w:szCs w:val="22"/>
        </w:rPr>
        <w:t>downside risk</w:t>
      </w:r>
    </w:p>
    <w:p w14:paraId="0EA263AE" w14:textId="77777777" w:rsidR="005E30C0" w:rsidRDefault="005E30C0" w:rsidP="005E30C0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Average of the squared deviations </w:t>
      </w:r>
      <w:r>
        <w:rPr>
          <w:rFonts w:ascii="Cambria" w:hAnsi="Cambria" w:cs="Calibri"/>
          <w:b/>
          <w:bCs/>
          <w:sz w:val="22"/>
          <w:szCs w:val="22"/>
        </w:rPr>
        <w:t>strictly above OR below</w:t>
      </w:r>
      <w:r>
        <w:rPr>
          <w:rFonts w:ascii="Cambria" w:hAnsi="Cambria" w:cs="Calibri"/>
          <w:sz w:val="22"/>
          <w:szCs w:val="22"/>
        </w:rPr>
        <w:t xml:space="preserve"> the mean (</w:t>
      </w:r>
      <w:r>
        <w:rPr>
          <w:rFonts w:ascii="Cambria" w:hAnsi="Cambria" w:cs="Calibri"/>
          <w:b/>
          <w:bCs/>
          <w:sz w:val="22"/>
          <w:szCs w:val="22"/>
        </w:rPr>
        <w:t>Asymmetrical Measure</w:t>
      </w:r>
      <w:r>
        <w:rPr>
          <w:rFonts w:ascii="Cambria" w:hAnsi="Cambria" w:cs="Calibri"/>
          <w:sz w:val="22"/>
          <w:szCs w:val="22"/>
        </w:rPr>
        <w:t>)</w:t>
      </w:r>
    </w:p>
    <w:p w14:paraId="06D6B60C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612A7CC" w14:textId="2FB732A3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49F7FB34" wp14:editId="37B18139">
            <wp:extent cx="3933190" cy="334010"/>
            <wp:effectExtent l="0" t="0" r="0" b="889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3B37" w14:textId="06427D40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96CE184" wp14:editId="394AD10C">
            <wp:extent cx="3323590" cy="2698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7B6F" w14:textId="604168E8" w:rsidR="005E30C0" w:rsidRDefault="005E30C0" w:rsidP="005E30C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711466CF" wp14:editId="0F7395AB">
            <wp:extent cx="3944620" cy="246380"/>
            <wp:effectExtent l="0" t="0" r="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0B9F" w14:textId="2880DEEA" w:rsidR="005E30C0" w:rsidRDefault="005E30C0" w:rsidP="005E30C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36B8F595" wp14:editId="666414DA">
            <wp:extent cx="3329305" cy="246380"/>
            <wp:effectExtent l="0" t="0" r="4445" b="12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9261" w14:textId="0B9DDB9C" w:rsidR="005E30C0" w:rsidRDefault="005E30C0" w:rsidP="005E30C0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B21BA2" wp14:editId="73046B86">
            <wp:extent cx="5873115" cy="222885"/>
            <wp:effectExtent l="0" t="0" r="0" b="571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4EE2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478FE0E" w14:textId="77777777" w:rsidR="005E30C0" w:rsidRDefault="005E30C0" w:rsidP="005E30C0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Interesting Properties</w:t>
      </w:r>
    </w:p>
    <w:p w14:paraId="40B743A4" w14:textId="77777777" w:rsidR="005E30C0" w:rsidRDefault="005E30C0" w:rsidP="005E30C0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Variance measures both Upside and Downside risk while semi-variance is just one of the two</w:t>
      </w:r>
    </w:p>
    <w:p w14:paraId="51AABB46" w14:textId="4D8A3209" w:rsidR="005E30C0" w:rsidRDefault="005E30C0" w:rsidP="005E30C0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7BDB1321" wp14:editId="7D6CAF33">
            <wp:extent cx="3129915" cy="222885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5E53" w14:textId="77777777" w:rsidR="005E30C0" w:rsidRDefault="005E30C0" w:rsidP="005E30C0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i/>
          <w:iCs/>
          <w:sz w:val="22"/>
          <w:szCs w:val="22"/>
        </w:rPr>
        <w:t>F</w:t>
      </w:r>
      <w:r>
        <w:rPr>
          <w:rFonts w:ascii="Cambria Math" w:hAnsi="Cambria Math" w:cs="Calibri"/>
          <w:sz w:val="22"/>
          <w:szCs w:val="22"/>
        </w:rPr>
        <w:t xml:space="preserve">or a </w:t>
      </w:r>
      <w:r>
        <w:rPr>
          <w:rFonts w:ascii="Cambria Math" w:hAnsi="Cambria Math" w:cs="Calibri"/>
          <w:b/>
          <w:bCs/>
          <w:sz w:val="22"/>
          <w:szCs w:val="22"/>
        </w:rPr>
        <w:t>symmetrical distribution</w:t>
      </w:r>
      <w:r>
        <w:rPr>
          <w:rFonts w:ascii="Cambria Math" w:hAnsi="Cambria Math" w:cs="Calibri"/>
          <w:sz w:val="22"/>
          <w:szCs w:val="22"/>
        </w:rPr>
        <w:t xml:space="preserve"> (Normal &amp; Uniform), the Upside and Downside Variance are </w:t>
      </w:r>
      <w:r>
        <w:rPr>
          <w:rFonts w:ascii="Cambria Math" w:hAnsi="Cambria Math" w:cs="Calibri"/>
          <w:b/>
          <w:bCs/>
          <w:sz w:val="22"/>
          <w:szCs w:val="22"/>
        </w:rPr>
        <w:t>equal</w:t>
      </w:r>
    </w:p>
    <w:p w14:paraId="1D324D3A" w14:textId="5D6D7E79" w:rsidR="005E30C0" w:rsidRDefault="005E30C0" w:rsidP="005E30C0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1E79CDCE" wp14:editId="32255653">
            <wp:extent cx="4700905" cy="222885"/>
            <wp:effectExtent l="0" t="0" r="4445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70F4" w14:textId="586975D2" w:rsidR="005E30C0" w:rsidRDefault="005E30C0" w:rsidP="005E30C0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41D91235" wp14:editId="61175D77">
            <wp:extent cx="3247390" cy="410210"/>
            <wp:effectExtent l="0" t="0" r="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140A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BB07D7B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Value at Risk (</w:t>
      </w:r>
      <w:proofErr w:type="spellStart"/>
      <w:r>
        <w:rPr>
          <w:rFonts w:ascii="Calibri" w:hAnsi="Calibri" w:cs="Calibri"/>
          <w:color w:val="201F1E"/>
        </w:rPr>
        <w:t>VaR</w:t>
      </w:r>
      <w:proofErr w:type="spellEnd"/>
      <w:r>
        <w:rPr>
          <w:rFonts w:ascii="Calibri" w:hAnsi="Calibri" w:cs="Calibri"/>
          <w:color w:val="201F1E"/>
        </w:rPr>
        <w:t>)</w:t>
      </w:r>
    </w:p>
    <w:p w14:paraId="0CCA93DB" w14:textId="3F1C5898" w:rsidR="005E30C0" w:rsidRDefault="005E30C0" w:rsidP="005E30C0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9C41D6" wp14:editId="5AE5DB56">
            <wp:extent cx="4765675" cy="222885"/>
            <wp:effectExtent l="0" t="0" r="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E690" w14:textId="7AC6A261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968CA0" wp14:editId="60320A6B">
            <wp:extent cx="5680075" cy="222885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1063" w14:textId="0CA469DB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9DC6D0" wp14:editId="60B14B58">
            <wp:extent cx="5832475" cy="222885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52EB" w14:textId="2AE89EDA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E120F6" wp14:editId="3580D7EE">
            <wp:extent cx="4601210" cy="222885"/>
            <wp:effectExtent l="0" t="0" r="889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00F9" w14:textId="77777777" w:rsidR="005E30C0" w:rsidRDefault="005E30C0" w:rsidP="005E30C0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>Interpretation of VAR:</w:t>
      </w:r>
    </w:p>
    <w:p w14:paraId="40454E1D" w14:textId="597D982D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CBA3989" wp14:editId="1FB763D5">
            <wp:extent cx="4947285" cy="222885"/>
            <wp:effectExtent l="0" t="0" r="5715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7977" w14:textId="2C9AA0CD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3E1123" wp14:editId="526CA249">
            <wp:extent cx="5627370" cy="222885"/>
            <wp:effectExtent l="0" t="0" r="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9648" w14:textId="77777777" w:rsidR="005E30C0" w:rsidRDefault="005E30C0" w:rsidP="005E30C0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mbria Math" w:hAnsi="Cambria Math" w:cs="Calibri"/>
          <w:sz w:val="22"/>
          <w:szCs w:val="22"/>
        </w:rPr>
        <w:t>VaR</w:t>
      </w:r>
      <w:proofErr w:type="spellEnd"/>
      <w:r>
        <w:rPr>
          <w:rFonts w:ascii="Cambria Math" w:hAnsi="Cambria Math" w:cs="Calibri"/>
          <w:sz w:val="22"/>
          <w:szCs w:val="22"/>
        </w:rPr>
        <w:t xml:space="preserve"> quantifies the potential Gains or Losses at a specific level</w:t>
      </w:r>
    </w:p>
    <w:p w14:paraId="35B43002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CA28D20" w14:textId="6C7D372C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B2459C9" wp14:editId="0094EE0E">
            <wp:extent cx="1998980" cy="222885"/>
            <wp:effectExtent l="0" t="0" r="127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DAA4" w14:textId="1368B0F6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954757" wp14:editId="6B03FF5E">
            <wp:extent cx="1430020" cy="222885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B37F" w14:textId="24AFB457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5DEADD8" wp14:editId="28CEE83A">
            <wp:extent cx="1828800" cy="222885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FAE2" w14:textId="214B9A84" w:rsidR="005E30C0" w:rsidRDefault="005E30C0" w:rsidP="005E30C0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C01E1F" wp14:editId="16E3193B">
            <wp:extent cx="5943600" cy="1974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91BC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BB2A6DA" w14:textId="2AB7B643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505F42" wp14:editId="0738D7B4">
            <wp:extent cx="3552190" cy="1834515"/>
            <wp:effectExtent l="0" t="0" r="0" b="0"/>
            <wp:docPr id="55" name="Picture 55" descr="10.1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10.1.2.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AC98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2465344A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Tail Value at Risk</w:t>
      </w:r>
    </w:p>
    <w:p w14:paraId="5993B207" w14:textId="77777777" w:rsidR="005E30C0" w:rsidRDefault="005E30C0" w:rsidP="005E30C0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Extension of VAR which quantifies the potential losses </w:t>
      </w:r>
      <w:r>
        <w:rPr>
          <w:rFonts w:ascii="Cambria" w:hAnsi="Cambria" w:cs="Calibri"/>
          <w:i/>
          <w:iCs/>
          <w:sz w:val="22"/>
          <w:szCs w:val="22"/>
        </w:rPr>
        <w:t>worse</w:t>
      </w:r>
      <w:r>
        <w:rPr>
          <w:rFonts w:ascii="Cambria" w:hAnsi="Cambria" w:cs="Calibri"/>
          <w:sz w:val="22"/>
          <w:szCs w:val="22"/>
        </w:rPr>
        <w:t xml:space="preserve"> than the specified level</w:t>
      </w:r>
    </w:p>
    <w:p w14:paraId="1221AAC3" w14:textId="77777777" w:rsidR="005E30C0" w:rsidRDefault="005E30C0" w:rsidP="005E30C0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It is the </w:t>
      </w:r>
      <w:r>
        <w:rPr>
          <w:rFonts w:ascii="Cambria" w:hAnsi="Cambria" w:cs="Calibri"/>
          <w:b/>
          <w:bCs/>
          <w:sz w:val="22"/>
          <w:szCs w:val="22"/>
        </w:rPr>
        <w:t>conditional expectation</w:t>
      </w:r>
      <w:r>
        <w:rPr>
          <w:rFonts w:ascii="Cambria" w:hAnsi="Cambria" w:cs="Calibri"/>
          <w:sz w:val="22"/>
          <w:szCs w:val="22"/>
        </w:rPr>
        <w:t xml:space="preserve"> of the distribution, given that the variable is at the </w:t>
      </w:r>
      <w:proofErr w:type="spellStart"/>
      <w:r>
        <w:rPr>
          <w:rFonts w:ascii="Cambria" w:hAnsi="Cambria" w:cs="Calibri"/>
          <w:sz w:val="22"/>
          <w:szCs w:val="22"/>
        </w:rPr>
        <w:t>VaR</w:t>
      </w:r>
      <w:proofErr w:type="spellEnd"/>
      <w:r>
        <w:rPr>
          <w:rFonts w:ascii="Cambria" w:hAnsi="Cambria" w:cs="Calibri"/>
          <w:sz w:val="22"/>
          <w:szCs w:val="22"/>
        </w:rPr>
        <w:t xml:space="preserve"> tail</w:t>
      </w:r>
    </w:p>
    <w:p w14:paraId="30A0A3C1" w14:textId="77777777" w:rsidR="005E30C0" w:rsidRDefault="005E30C0" w:rsidP="005E30C0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Thus, it is also known as the </w:t>
      </w:r>
      <w:r>
        <w:rPr>
          <w:rFonts w:ascii="Cambria" w:hAnsi="Cambria" w:cs="Calibri"/>
          <w:b/>
          <w:bCs/>
          <w:sz w:val="22"/>
          <w:szCs w:val="22"/>
        </w:rPr>
        <w:t>Conditional Tail Expectation (CTE)</w:t>
      </w:r>
    </w:p>
    <w:p w14:paraId="1DB6DD56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B55E4E4" w14:textId="018CD482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1633234" wp14:editId="201C87A7">
            <wp:extent cx="2496820" cy="2228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BE97" w14:textId="72A26E7C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589DCD0" wp14:editId="3E2D805E">
            <wp:extent cx="2379980" cy="527685"/>
            <wp:effectExtent l="0" t="0" r="127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96CC" w14:textId="1E1E2E66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4E9154A" wp14:editId="37CBBCFE">
            <wp:extent cx="3475990" cy="486410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F857" w14:textId="7BA26E6C" w:rsidR="005E30C0" w:rsidRDefault="005E30C0" w:rsidP="005E30C0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2CE2B025" wp14:editId="6F0DB33F">
            <wp:extent cx="2708275" cy="48641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C81E" w14:textId="311038DE" w:rsidR="005E30C0" w:rsidRDefault="005E30C0" w:rsidP="005E30C0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8C4373" wp14:editId="0A8F2878">
            <wp:extent cx="5943600" cy="168275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0EAD" w14:textId="5A608D28" w:rsidR="005E30C0" w:rsidRDefault="005E30C0" w:rsidP="005E30C0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045B9C" wp14:editId="0733696F">
            <wp:extent cx="3739515" cy="2228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CC48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48099EE" w14:textId="700A210B" w:rsidR="005E30C0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93B386E" wp14:editId="7B07A9CD">
            <wp:extent cx="3933190" cy="1858010"/>
            <wp:effectExtent l="0" t="0" r="0" b="8890"/>
            <wp:docPr id="48" name="Picture 48" descr="10.1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10.1.2.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2D02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3316EA2" w14:textId="77777777" w:rsidR="005E30C0" w:rsidRDefault="005E30C0" w:rsidP="005E30C0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Note that for both </w:t>
      </w:r>
      <w:proofErr w:type="spellStart"/>
      <w:r>
        <w:rPr>
          <w:rFonts w:ascii="Cambria" w:hAnsi="Cambria" w:cs="Calibri"/>
          <w:sz w:val="22"/>
          <w:szCs w:val="22"/>
        </w:rPr>
        <w:t>VaR</w:t>
      </w:r>
      <w:proofErr w:type="spellEnd"/>
      <w:r>
        <w:rPr>
          <w:rFonts w:ascii="Cambria" w:hAnsi="Cambria" w:cs="Calibri"/>
          <w:sz w:val="22"/>
          <w:szCs w:val="22"/>
        </w:rPr>
        <w:t xml:space="preserve"> and </w:t>
      </w:r>
      <w:proofErr w:type="spellStart"/>
      <w:r>
        <w:rPr>
          <w:rFonts w:ascii="Cambria" w:hAnsi="Cambria" w:cs="Calibri"/>
          <w:sz w:val="22"/>
          <w:szCs w:val="22"/>
        </w:rPr>
        <w:t>TVaR</w:t>
      </w:r>
      <w:proofErr w:type="spellEnd"/>
      <w:r>
        <w:rPr>
          <w:rFonts w:ascii="Cambria" w:hAnsi="Cambria" w:cs="Calibri"/>
          <w:sz w:val="22"/>
          <w:szCs w:val="22"/>
        </w:rPr>
        <w:t xml:space="preserve">, the diagrams above both assume that the distribution are measuring </w:t>
      </w:r>
      <w:r>
        <w:rPr>
          <w:rFonts w:ascii="Cambria" w:hAnsi="Cambria" w:cs="Calibri"/>
          <w:i/>
          <w:iCs/>
          <w:sz w:val="22"/>
          <w:szCs w:val="22"/>
        </w:rPr>
        <w:t>gains</w:t>
      </w:r>
      <w:r>
        <w:rPr>
          <w:rFonts w:ascii="Cambria" w:hAnsi="Cambria" w:cs="Calibri"/>
          <w:sz w:val="22"/>
          <w:szCs w:val="22"/>
        </w:rPr>
        <w:t xml:space="preserve"> - if it were for </w:t>
      </w:r>
      <w:r>
        <w:rPr>
          <w:rFonts w:ascii="Cambria" w:hAnsi="Cambria" w:cs="Calibri"/>
          <w:i/>
          <w:iCs/>
          <w:sz w:val="22"/>
          <w:szCs w:val="22"/>
        </w:rPr>
        <w:t>losses</w:t>
      </w:r>
      <w:r>
        <w:rPr>
          <w:rFonts w:ascii="Cambria" w:hAnsi="Cambria" w:cs="Calibri"/>
          <w:sz w:val="22"/>
          <w:szCs w:val="22"/>
        </w:rPr>
        <w:t xml:space="preserve">, then the </w:t>
      </w:r>
      <w:r>
        <w:rPr>
          <w:rFonts w:ascii="Cambria" w:hAnsi="Cambria" w:cs="Calibri"/>
          <w:b/>
          <w:bCs/>
          <w:sz w:val="22"/>
          <w:szCs w:val="22"/>
        </w:rPr>
        <w:t>tails would be on the other side, changing the formulas and interpretations</w:t>
      </w:r>
    </w:p>
    <w:p w14:paraId="0A6E0C94" w14:textId="77777777" w:rsidR="005E30C0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AE5476F" w14:textId="77777777" w:rsidR="005E30C0" w:rsidRDefault="005E30C0" w:rsidP="005E30C0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Coherence</w:t>
      </w:r>
    </w:p>
    <w:p w14:paraId="08F2339C" w14:textId="77777777" w:rsidR="005E30C0" w:rsidRDefault="005E30C0" w:rsidP="005E30C0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There are 4 desirable characteristics for a risk measure</w:t>
      </w:r>
    </w:p>
    <w:p w14:paraId="4EB2A9AF" w14:textId="77777777" w:rsidR="005E30C0" w:rsidRDefault="005E30C0" w:rsidP="005E30C0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If a risk measure achieves these 4 targets, then the measure is said to be </w:t>
      </w:r>
      <w:r>
        <w:rPr>
          <w:rFonts w:ascii="Cambria" w:hAnsi="Cambria" w:cs="Calibri"/>
          <w:b/>
          <w:bCs/>
          <w:sz w:val="22"/>
          <w:szCs w:val="22"/>
        </w:rPr>
        <w:t>Coherent</w:t>
      </w:r>
    </w:p>
    <w:p w14:paraId="37247963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3529"/>
        <w:gridCol w:w="3634"/>
      </w:tblGrid>
      <w:tr w:rsidR="005E30C0" w14:paraId="59F83308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1AA8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Name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6BAAF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Expression</w:t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4784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Intuition</w:t>
            </w:r>
          </w:p>
        </w:tc>
      </w:tr>
      <w:tr w:rsidR="005E30C0" w14:paraId="51259A89" w14:textId="77777777" w:rsidTr="009969A8">
        <w:tc>
          <w:tcPr>
            <w:tcW w:w="2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AACE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Translation Invariance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8AC9A" w14:textId="7D9996C5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FF095BF" wp14:editId="33707DDF">
                  <wp:extent cx="2051685" cy="222885"/>
                  <wp:effectExtent l="0" t="0" r="5715" b="571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28C1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Increasing the risk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increases the risk measure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too</w:t>
            </w:r>
          </w:p>
        </w:tc>
      </w:tr>
      <w:tr w:rsidR="005E30C0" w14:paraId="24DA0A9C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6527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Homogeneity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73B49" w14:textId="2B17A76B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BADACA9" wp14:editId="7AC9CF03">
                  <wp:extent cx="2051685" cy="222885"/>
                  <wp:effectExtent l="0" t="0" r="5715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A2A0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Scaling the risk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scales the risk measure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too</w:t>
            </w:r>
          </w:p>
        </w:tc>
      </w:tr>
      <w:tr w:rsidR="005E30C0" w14:paraId="11770B5C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5B685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Subadditivity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800D5" w14:textId="146F7C39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0C594EE" wp14:editId="5F9FE70B">
                  <wp:extent cx="2139315" cy="222885"/>
                  <wp:effectExtent l="0" t="0" r="0" b="571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4B02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Risk Measure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reflects diversification benefits</w:t>
            </w:r>
          </w:p>
        </w:tc>
      </w:tr>
      <w:tr w:rsidR="005E30C0" w14:paraId="75FC3923" w14:textId="77777777" w:rsidTr="009969A8"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B8292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Monotonicity</w:t>
            </w:r>
          </w:p>
        </w:tc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CCCB8" w14:textId="67073478" w:rsidR="005E30C0" w:rsidRPr="00A44B09" w:rsidRDefault="005E30C0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6EF3783" wp14:editId="66946C2F">
                  <wp:extent cx="2051685" cy="222885"/>
                  <wp:effectExtent l="0" t="0" r="5715" b="571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6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672B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Risk Measure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orders the risk identically</w:t>
            </w:r>
          </w:p>
        </w:tc>
      </w:tr>
    </w:tbl>
    <w:p w14:paraId="6828DF4F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1210"/>
        <w:gridCol w:w="1761"/>
        <w:gridCol w:w="1850"/>
        <w:gridCol w:w="1916"/>
      </w:tblGrid>
      <w:tr w:rsidR="005E30C0" w14:paraId="223F5C4E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BD39D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1CF73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Variance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06F6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Semi-Variance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BB14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Value at Risk</w:t>
            </w:r>
          </w:p>
        </w:tc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8F298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Tail Value at Risk</w:t>
            </w:r>
          </w:p>
        </w:tc>
      </w:tr>
      <w:tr w:rsidR="005E30C0" w14:paraId="5886BC88" w14:textId="77777777" w:rsidTr="009969A8"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4E0D1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Translation Invariance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1B2E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82C7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DC890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40A2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  <w:tr w:rsidR="005E30C0" w14:paraId="644FF3E8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B8DFD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Homogeneity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301E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D7A7F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14A14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3C958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  <w:tr w:rsidR="005E30C0" w14:paraId="1497C5FF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CFB4C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Subadditivity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181A8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7C4DA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7A93A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  <w:p w14:paraId="1EA3DB3B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  <w:proofErr w:type="gramEnd"/>
            <w:r w:rsidRPr="00A44B09">
              <w:rPr>
                <w:rFonts w:ascii="Cambria" w:hAnsi="Cambria"/>
                <w:sz w:val="22"/>
                <w:szCs w:val="22"/>
              </w:rPr>
              <w:t xml:space="preserve"> if symmetric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E3303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  <w:tr w:rsidR="005E30C0" w14:paraId="606A7DC2" w14:textId="77777777" w:rsidTr="009969A8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37B31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Monotonicity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9B914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E0989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09B5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553BE" w14:textId="77777777" w:rsidR="005E30C0" w:rsidRPr="00A44B09" w:rsidRDefault="005E30C0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Yes</w:t>
            </w:r>
          </w:p>
        </w:tc>
      </w:tr>
    </w:tbl>
    <w:p w14:paraId="70675E3B" w14:textId="77777777" w:rsidR="005E30C0" w:rsidRPr="00A44B09" w:rsidRDefault="005E30C0" w:rsidP="005E30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E30C0" w:rsidRPr="00A4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A25"/>
    <w:multiLevelType w:val="multilevel"/>
    <w:tmpl w:val="B35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F4578"/>
    <w:multiLevelType w:val="multilevel"/>
    <w:tmpl w:val="A8E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111B9"/>
    <w:multiLevelType w:val="multilevel"/>
    <w:tmpl w:val="0DEC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940A7"/>
    <w:multiLevelType w:val="multilevel"/>
    <w:tmpl w:val="00A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E3516"/>
    <w:multiLevelType w:val="multilevel"/>
    <w:tmpl w:val="8A9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75921"/>
    <w:multiLevelType w:val="multilevel"/>
    <w:tmpl w:val="1EFC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124810"/>
    <w:multiLevelType w:val="multilevel"/>
    <w:tmpl w:val="950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D16452"/>
    <w:multiLevelType w:val="multilevel"/>
    <w:tmpl w:val="D3E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401812"/>
    <w:multiLevelType w:val="multilevel"/>
    <w:tmpl w:val="3FE2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D10502"/>
    <w:multiLevelType w:val="multilevel"/>
    <w:tmpl w:val="BDC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A52139"/>
    <w:multiLevelType w:val="multilevel"/>
    <w:tmpl w:val="9C9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EA737B"/>
    <w:multiLevelType w:val="multilevel"/>
    <w:tmpl w:val="1A8A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6B3402"/>
    <w:multiLevelType w:val="multilevel"/>
    <w:tmpl w:val="E94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9F4450"/>
    <w:multiLevelType w:val="multilevel"/>
    <w:tmpl w:val="E970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93363E"/>
    <w:multiLevelType w:val="multilevel"/>
    <w:tmpl w:val="3D3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155E5B"/>
    <w:multiLevelType w:val="multilevel"/>
    <w:tmpl w:val="1DC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886FAA"/>
    <w:multiLevelType w:val="multilevel"/>
    <w:tmpl w:val="4C5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A12568"/>
    <w:multiLevelType w:val="multilevel"/>
    <w:tmpl w:val="814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2617D7"/>
    <w:multiLevelType w:val="multilevel"/>
    <w:tmpl w:val="763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5C36FA"/>
    <w:multiLevelType w:val="multilevel"/>
    <w:tmpl w:val="A3A4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697CB2"/>
    <w:multiLevelType w:val="multilevel"/>
    <w:tmpl w:val="21A6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EB4296"/>
    <w:multiLevelType w:val="multilevel"/>
    <w:tmpl w:val="627C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20"/>
  </w:num>
  <w:num w:numId="5">
    <w:abstractNumId w:val="10"/>
  </w:num>
  <w:num w:numId="6">
    <w:abstractNumId w:val="7"/>
  </w:num>
  <w:num w:numId="7">
    <w:abstractNumId w:val="4"/>
  </w:num>
  <w:num w:numId="8">
    <w:abstractNumId w:val="13"/>
  </w:num>
  <w:num w:numId="9">
    <w:abstractNumId w:val="14"/>
  </w:num>
  <w:num w:numId="10">
    <w:abstractNumId w:val="8"/>
  </w:num>
  <w:num w:numId="11">
    <w:abstractNumId w:val="12"/>
  </w:num>
  <w:num w:numId="12">
    <w:abstractNumId w:val="11"/>
  </w:num>
  <w:num w:numId="13">
    <w:abstractNumId w:val="18"/>
  </w:num>
  <w:num w:numId="14">
    <w:abstractNumId w:val="15"/>
  </w:num>
  <w:num w:numId="15">
    <w:abstractNumId w:val="1"/>
  </w:num>
  <w:num w:numId="16">
    <w:abstractNumId w:val="5"/>
  </w:num>
  <w:num w:numId="17">
    <w:abstractNumId w:val="21"/>
  </w:num>
  <w:num w:numId="18">
    <w:abstractNumId w:val="16"/>
  </w:num>
  <w:num w:numId="19">
    <w:abstractNumId w:val="6"/>
  </w:num>
  <w:num w:numId="20">
    <w:abstractNumId w:val="9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64"/>
    <w:rsid w:val="0003203E"/>
    <w:rsid w:val="000723AE"/>
    <w:rsid w:val="001A5364"/>
    <w:rsid w:val="0028564E"/>
    <w:rsid w:val="002D2AC0"/>
    <w:rsid w:val="00366B3F"/>
    <w:rsid w:val="005E30C0"/>
    <w:rsid w:val="00BB3C12"/>
    <w:rsid w:val="00BC04AD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6A7D4E3C-90AB-483C-A135-C12F6FEF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5E30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4</cp:revision>
  <dcterms:created xsi:type="dcterms:W3CDTF">2023-05-23T10:17:00Z</dcterms:created>
  <dcterms:modified xsi:type="dcterms:W3CDTF">2023-05-24T11:57:00Z</dcterms:modified>
</cp:coreProperties>
</file>