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CB505" w14:textId="77777777" w:rsidR="00CF2AF8" w:rsidRDefault="00000000">
      <w:pPr>
        <w:pStyle w:val="Title"/>
      </w:pPr>
      <w:r>
        <w:rPr>
          <w:rFonts w:ascii="Arial" w:hAnsi="Arial"/>
        </w:rPr>
        <w:t>Comprehensive Churn Prediction Project Report</w:t>
      </w:r>
    </w:p>
    <w:p w14:paraId="7CE15442" w14:textId="77777777" w:rsidR="00CF2AF8" w:rsidRDefault="00000000">
      <w:pPr>
        <w:pStyle w:val="Heading1"/>
      </w:pPr>
      <w:r>
        <w:rPr>
          <w:rFonts w:ascii="Arial" w:hAnsi="Arial"/>
        </w:rPr>
        <w:t>1. Business Objective</w:t>
      </w:r>
    </w:p>
    <w:p w14:paraId="6B6A5B97" w14:textId="77777777" w:rsidR="00CF2AF8" w:rsidRDefault="00000000">
      <w:r>
        <w:t>The primary objective of this project is to create an applied Machine Learning workflow capable of accurately anticipating and flagging B2B/B2C customer churn before the end of the customer's renewal lifecycle. By identifying structural and operational behavioral drivers, the model empowers intervention and commercial teams to strategically engage 'Open' ongoing prospects dynamically.</w:t>
      </w:r>
    </w:p>
    <w:p w14:paraId="6A48942F" w14:textId="77777777" w:rsidR="00CF2AF8" w:rsidRDefault="00000000">
      <w:pPr>
        <w:pStyle w:val="Heading1"/>
      </w:pPr>
      <w:r>
        <w:rPr>
          <w:rFonts w:ascii="Arial" w:hAnsi="Arial"/>
        </w:rPr>
        <w:t>2. Data Architecture &amp; Handling</w:t>
      </w:r>
    </w:p>
    <w:p w14:paraId="7D69B14D" w14:textId="77777777" w:rsidR="00CF2AF8" w:rsidRDefault="00000000">
      <w:r>
        <w:t>The dataset involved highly complex multi-dimensional merging across the 'co_ref' (customer reference) identifiers. Source tables included raw support interactions, renewal call transcripts/logs, underlying billing pricing, and explicit CRM tracking.</w:t>
      </w:r>
    </w:p>
    <w:p w14:paraId="5AC3DC32" w14:textId="77777777" w:rsidR="00CF2AF8" w:rsidRDefault="00000000">
      <w:pPr>
        <w:pStyle w:val="Heading2"/>
      </w:pPr>
      <w:r>
        <w:t>Null Handling &amp; Imputation:</w:t>
      </w:r>
    </w:p>
    <w:p w14:paraId="26E34282" w14:textId="77777777" w:rsidR="00CF2AF8" w:rsidRDefault="00000000">
      <w:r>
        <w:t>1. Quantitative continuous matrices mapped explicitly against defined statistical tolerance ranges.</w:t>
      </w:r>
    </w:p>
    <w:p w14:paraId="777B2E9E" w14:textId="77777777" w:rsidR="00CF2AF8" w:rsidRDefault="00000000">
      <w:r>
        <w:t>2. Missing categorical boundaries explicitly converted into respective strings ('Unknown') to mathematically encapsulate lack of participation mathematically without resulting in catastrophic data reduction.</w:t>
      </w:r>
    </w:p>
    <w:p w14:paraId="4BB868D8" w14:textId="77777777" w:rsidR="00CF2AF8" w:rsidRDefault="00000000">
      <w:pPr>
        <w:pStyle w:val="Heading2"/>
      </w:pPr>
      <w:r>
        <w:t>One-Hot Encoding Architecture:</w:t>
      </w:r>
    </w:p>
    <w:p w14:paraId="7C9B13A3" w14:textId="77777777" w:rsidR="00CF2AF8" w:rsidRDefault="00000000">
      <w:r>
        <w:t>Dataframes dynamically compressed boolean parameters and natively scaled string parameters natively via generic Dummy Encoding protocols suitable for algorithmic arrays.</w:t>
      </w:r>
    </w:p>
    <w:p w14:paraId="644D4701" w14:textId="77777777" w:rsidR="00CF2AF8" w:rsidRDefault="00000000">
      <w:pPr>
        <w:pStyle w:val="Heading1"/>
      </w:pPr>
      <w:r>
        <w:rPr>
          <w:rFonts w:ascii="Arial" w:hAnsi="Arial"/>
        </w:rPr>
        <w:t>3. Advanced Feature Engineering</w:t>
      </w:r>
    </w:p>
    <w:p w14:paraId="03A9D5B2" w14:textId="77777777" w:rsidR="00CF2AF8" w:rsidRDefault="00000000">
      <w:r>
        <w:t>Instead of mapping purely raw administrative logs, significant focus was directed towards extracting 'Deltas' mapping directional consumer momentum over their baseline tenure.</w:t>
      </w:r>
    </w:p>
    <w:p w14:paraId="2577C975" w14:textId="77777777" w:rsidR="00CF2AF8" w:rsidRDefault="00000000">
      <w:pPr>
        <w:pStyle w:val="ListBullet"/>
      </w:pPr>
      <w:r>
        <w:rPr>
          <w:b/>
        </w:rPr>
        <w:t>Pricing Elasticity Flags:</w:t>
      </w:r>
      <w:r>
        <w:t xml:space="preserve"> Calculated 'price_change_pct' identifying threshold impacts.</w:t>
      </w:r>
    </w:p>
    <w:p w14:paraId="7F786564" w14:textId="77777777" w:rsidR="00CF2AF8" w:rsidRDefault="00000000">
      <w:pPr>
        <w:pStyle w:val="ListBullet"/>
      </w:pPr>
      <w:r>
        <w:rPr>
          <w:b/>
        </w:rPr>
        <w:t>Sentiment Differentials:</w:t>
      </w:r>
      <w:r>
        <w:t xml:space="preserve"> 'cc_sentiment_delta' captured the positive/negative emotional trajectory during support calls strictly utilizing NLP scores logged across standard deviations.</w:t>
      </w:r>
    </w:p>
    <w:p w14:paraId="48D6B001" w14:textId="77777777" w:rsidR="00CF2AF8" w:rsidRDefault="00000000">
      <w:pPr>
        <w:pStyle w:val="ListBullet"/>
      </w:pPr>
      <w:r>
        <w:rPr>
          <w:b/>
        </w:rPr>
        <w:t>Risk Matrix Compositions:</w:t>
      </w:r>
      <w:r>
        <w:t xml:space="preserve"> Consolidating 'complaint_intensity' and 'dissatisfaction_composite' arrays to condense CRM overhead noise directly into scaling integers.</w:t>
      </w:r>
    </w:p>
    <w:p w14:paraId="6F2AE7CF" w14:textId="77777777" w:rsidR="00CF2AF8" w:rsidRDefault="00000000">
      <w:pPr>
        <w:pStyle w:val="Heading1"/>
      </w:pPr>
      <w:r>
        <w:rPr>
          <w:rFonts w:ascii="Arial" w:hAnsi="Arial"/>
        </w:rPr>
        <w:lastRenderedPageBreak/>
        <w:t>4. Model Leakage Security Protocols</w:t>
      </w:r>
    </w:p>
    <w:p w14:paraId="5C0BDB0C" w14:textId="77777777" w:rsidR="00CF2AF8" w:rsidRDefault="00000000">
      <w:r>
        <w:t>The initial diagnostic baseline algorithm successfully mapped 100% precision. Recognizing standard Data Leakage, deep diagnostic introspection was performed targeting structural cheat codes natively predicting post-event states.</w:t>
      </w:r>
    </w:p>
    <w:p w14:paraId="4DDF3619" w14:textId="77777777" w:rsidR="00CF2AF8" w:rsidRDefault="00000000">
      <w:r>
        <w:t>Variables removed immediately explicitly mapped post-decision factors:</w:t>
      </w:r>
    </w:p>
    <w:p w14:paraId="072B35A7" w14:textId="77777777" w:rsidR="00CF2AF8" w:rsidRDefault="00000000">
      <w:pPr>
        <w:pStyle w:val="ListBullet"/>
      </w:pPr>
      <w:r>
        <w:t>- 'payment_method_Unknown' (-1.0 negative correlation to Churn. If none was logged, the account inherently wasn't renewed).</w:t>
      </w:r>
    </w:p>
    <w:p w14:paraId="1FB5EF9B" w14:textId="77777777" w:rsidR="00CF2AF8" w:rsidRDefault="00000000">
      <w:pPr>
        <w:pStyle w:val="ListBullet"/>
      </w:pPr>
      <w:r>
        <w:t>- 'desire_to_cancel_Renewed' (The explicit label indicating safety).</w:t>
      </w:r>
    </w:p>
    <w:p w14:paraId="21B5E008" w14:textId="77777777" w:rsidR="00CF2AF8" w:rsidRDefault="00000000">
      <w:pPr>
        <w:pStyle w:val="ListBullet"/>
      </w:pPr>
      <w:r>
        <w:t>- Variables directly assessing 'status_scores' updated exclusively upon completion of financial exchanges.</w:t>
      </w:r>
    </w:p>
    <w:p w14:paraId="59605AC3" w14:textId="77777777" w:rsidR="00CF2AF8" w:rsidRDefault="00000000">
      <w:pPr>
        <w:pStyle w:val="Heading1"/>
      </w:pPr>
      <w:r>
        <w:rPr>
          <w:rFonts w:ascii="Arial" w:hAnsi="Arial"/>
        </w:rPr>
        <w:t>5. EDA &amp; Hypothesis Validations</w:t>
      </w:r>
    </w:p>
    <w:p w14:paraId="6086CC18" w14:textId="77777777" w:rsidR="00CF2AF8" w:rsidRDefault="00000000">
      <w:r>
        <w:t>We systematically tracked baseline hypotheses using rigorous non-parametric tests (Mann-Whitney U, Chi-Square):</w:t>
      </w:r>
    </w:p>
    <w:p w14:paraId="2E50AC15" w14:textId="77777777" w:rsidR="00CF2AF8" w:rsidRDefault="00000000">
      <w:pPr>
        <w:pStyle w:val="ListBullet"/>
      </w:pPr>
      <w:r>
        <w:t>H1: Higher total renewal scores explicitly associate with reduced churn [Supported]</w:t>
      </w:r>
    </w:p>
    <w:p w14:paraId="67E662AA" w14:textId="77777777" w:rsidR="00CF2AF8" w:rsidRDefault="00000000">
      <w:pPr>
        <w:pStyle w:val="ListBullet"/>
      </w:pPr>
      <w:r>
        <w:t>H2: Structural baseline price increases correlate dynamically against churn curves [Supported]</w:t>
      </w:r>
    </w:p>
    <w:p w14:paraId="0C640713" w14:textId="77777777" w:rsidR="00CF2AF8" w:rsidRDefault="00000000">
      <w:pPr>
        <w:pStyle w:val="ListBullet"/>
      </w:pPr>
      <w:r>
        <w:t>H3: First-year customer lifecycle risk severely outpaces secondary tenured client retention [Supported]</w:t>
      </w:r>
    </w:p>
    <w:p w14:paraId="74702C48" w14:textId="77777777" w:rsidR="00CF2AF8" w:rsidRDefault="00000000">
      <w:pPr>
        <w:pStyle w:val="ListBullet"/>
      </w:pPr>
      <w:r>
        <w:t>H4: Accounts without Auto-Renewal active naturally track exponentially tighter to Churn markers [Supported]</w:t>
      </w:r>
    </w:p>
    <w:p w14:paraId="0E5FB1D5" w14:textId="77777777" w:rsidR="00CF2AF8" w:rsidRDefault="00000000">
      <w:pPr>
        <w:pStyle w:val="ListBullet"/>
      </w:pPr>
      <w:r>
        <w:t>H5: Higher structural complaint density triggers heavy churn outputs [Supported]</w:t>
      </w:r>
    </w:p>
    <w:p w14:paraId="0835EC9C" w14:textId="77777777" w:rsidR="00CF2AF8" w:rsidRDefault="00000000">
      <w:pPr>
        <w:pStyle w:val="Heading1"/>
      </w:pPr>
      <w:r>
        <w:rPr>
          <w:rFonts w:ascii="Arial" w:hAnsi="Arial"/>
        </w:rPr>
        <w:t>6. Algorithmic Evaluation &amp; Machine Learning</w:t>
      </w:r>
    </w:p>
    <w:p w14:paraId="17C2C0F1" w14:textId="77777777" w:rsidR="00CF2AF8" w:rsidRDefault="00000000">
      <w:r>
        <w:t>To counter massive class discrepancies (majority ~88% safe, ~12% risk profiles), structural 'scale_pos_weight' ratios were injected dynamically into tree pipelines minimizing False Negative oversights entirely.</w:t>
      </w:r>
    </w:p>
    <w:p w14:paraId="25708DBB" w14:textId="77777777" w:rsidR="00CF2AF8" w:rsidRDefault="00000000">
      <w:pPr>
        <w:pStyle w:val="Heading2"/>
      </w:pPr>
      <w:r>
        <w:t>Performance Outcomes:</w:t>
      </w:r>
    </w:p>
    <w:p w14:paraId="69FA10E7" w14:textId="77777777" w:rsidR="00CF2AF8" w:rsidRDefault="00000000">
      <w:r>
        <w:t>Three isolated baselines evaluated: Logistic Regression, Random Forest, XGBoost.</w:t>
      </w:r>
    </w:p>
    <w:p w14:paraId="3967632E" w14:textId="77777777" w:rsidR="00CF2AF8" w:rsidRDefault="00000000">
      <w:r>
        <w:t>Winner: XGBoost</w:t>
      </w:r>
    </w:p>
    <w:p w14:paraId="4E54BFD1" w14:textId="77777777" w:rsidR="00CF2AF8" w:rsidRDefault="00000000">
      <w:r>
        <w:t>- ROC-AUC Score: 0.992</w:t>
      </w:r>
    </w:p>
    <w:p w14:paraId="244F822E" w14:textId="77777777" w:rsidR="00CF2AF8" w:rsidRDefault="00000000">
      <w:r>
        <w:t>- Precision (Churn Threshold): 0.75</w:t>
      </w:r>
    </w:p>
    <w:p w14:paraId="1941DC9B" w14:textId="77777777" w:rsidR="00CF2AF8" w:rsidRDefault="00000000">
      <w:r>
        <w:t>- Recall (Churn Threshold): 0.97 (Representing highly efficient enterprise performance mathematically catching 97% of risk factors manually misclassifying merely 25% boundary instances).</w:t>
      </w:r>
    </w:p>
    <w:p w14:paraId="0EB8DB23" w14:textId="77777777" w:rsidR="00CF2AF8" w:rsidRDefault="00000000">
      <w:pPr>
        <w:pStyle w:val="Heading1"/>
      </w:pPr>
      <w:r>
        <w:rPr>
          <w:rFonts w:ascii="Arial" w:hAnsi="Arial"/>
        </w:rPr>
        <w:lastRenderedPageBreak/>
        <w:t>7. Explainability &amp; SHAP Analytics</w:t>
      </w:r>
    </w:p>
    <w:p w14:paraId="64BB835D" w14:textId="77777777" w:rsidR="00CF2AF8" w:rsidRDefault="00000000">
      <w:r>
        <w:t>To democratize logic tracking across executive parameters without relying upon black-box systems natively, SHAP matrices were appended extracting explicit Tree Dependency plotting.</w:t>
      </w:r>
    </w:p>
    <w:p w14:paraId="08AB62BA" w14:textId="77777777" w:rsidR="00CF2AF8" w:rsidRDefault="00000000">
      <w:r>
        <w:t>Primary analytical drivers defining real-world retention included 'tenure_scores' natively alongside explicit 'sustainability_score' margins dynamically weighted heavier than explicit categorical baseline indicators entirely.</w:t>
      </w:r>
    </w:p>
    <w:p w14:paraId="31F7282D" w14:textId="77777777" w:rsidR="00CF2AF8" w:rsidRDefault="00000000">
      <w:pPr>
        <w:pStyle w:val="Heading1"/>
      </w:pPr>
      <w:r>
        <w:rPr>
          <w:rFonts w:ascii="Arial" w:hAnsi="Arial"/>
        </w:rPr>
        <w:t>8. Deployment &amp; The Interventional Pipeline</w:t>
      </w:r>
    </w:p>
    <w:p w14:paraId="71CD1F6F" w14:textId="77777777" w:rsidR="00CF2AF8" w:rsidRDefault="00000000">
      <w:r>
        <w:t>The output of the analytical framework isolated purely upon 'Open Prospects' natively (contracts inherently lacking closure flags entirely).</w:t>
      </w:r>
    </w:p>
    <w:p w14:paraId="653BE467" w14:textId="77777777" w:rsidR="00CF2AF8" w:rsidRDefault="00000000">
      <w:r>
        <w:t>1. Mathematical matching strictly aligned categorical dimensionality filling unresolved parameters organically with zeros dynamically protecting the underlying logic.</w:t>
      </w:r>
    </w:p>
    <w:p w14:paraId="45B61FA8" w14:textId="77777777" w:rsidR="00CF2AF8" w:rsidRDefault="00000000">
      <w:r>
        <w:t>2. The serialized 'xgb_churn_model.pkl' ingested matrices outputting scaled Probabilistic Risk Margins out of 100%.</w:t>
      </w:r>
    </w:p>
    <w:p w14:paraId="76E93A82" w14:textId="77777777" w:rsidR="00CF2AF8" w:rsidRDefault="00000000">
      <w:r>
        <w:t>3. Identifiers successfully mapped mathematically back against 'co_ref' metrics natively and sorted heavily descending prioritizing severe pipeline risk targets intrinsically.</w:t>
      </w:r>
    </w:p>
    <w:p w14:paraId="6C767C31" w14:textId="77777777" w:rsidR="00CF2AF8" w:rsidRDefault="00000000">
      <w:pPr>
        <w:pStyle w:val="Heading1"/>
      </w:pPr>
      <w:r>
        <w:rPr>
          <w:rFonts w:ascii="Arial" w:hAnsi="Arial"/>
        </w:rPr>
        <w:t>9. Pipeline Orchestration &amp; Cloud Sync</w:t>
      </w:r>
    </w:p>
    <w:p w14:paraId="18876475" w14:textId="77777777" w:rsidR="00CF2AF8" w:rsidRDefault="00000000">
      <w:r>
        <w:t>To ensure rapid, modular, and automated execution rather than manual intervention, the project framework relies heavily on scripts natively placed inside the 'orchestration' folder.</w:t>
      </w:r>
    </w:p>
    <w:p w14:paraId="1D258B56" w14:textId="77777777" w:rsidR="00CF2AF8" w:rsidRDefault="00000000">
      <w:pPr>
        <w:pStyle w:val="ListBullet"/>
      </w:pPr>
      <w:r>
        <w:rPr>
          <w:b/>
        </w:rPr>
        <w:t xml:space="preserve">Automated Runner: </w:t>
      </w:r>
      <w:r>
        <w:t>'run_notebooks.ipynb' acts as the master execution parameter chaining modules natively cross-referencing upstream pipelines.</w:t>
      </w:r>
    </w:p>
    <w:p w14:paraId="445F29E0" w14:textId="77777777" w:rsidR="00CF2AF8" w:rsidRDefault="00000000">
      <w:pPr>
        <w:pStyle w:val="ListBullet"/>
      </w:pPr>
      <w:r>
        <w:rPr>
          <w:b/>
        </w:rPr>
        <w:t xml:space="preserve">Data Ingestion Layer: </w:t>
      </w:r>
      <w:r>
        <w:t>'data_loading.ipynb' securely loads initial raw unstructured data representations.</w:t>
      </w:r>
    </w:p>
    <w:p w14:paraId="11D642BB" w14:textId="77777777" w:rsidR="00CF2AF8" w:rsidRDefault="00000000">
      <w:pPr>
        <w:pStyle w:val="ListBullet"/>
      </w:pPr>
      <w:r>
        <w:rPr>
          <w:b/>
        </w:rPr>
        <w:t xml:space="preserve">ETL Caching: </w:t>
      </w:r>
      <w:r>
        <w:t>Intermediate states are constantly backed up via isolated scripts ('interim_data_uploading.ipynb', 'processed_data_uploading.ipynb').</w:t>
      </w:r>
    </w:p>
    <w:p w14:paraId="63CAB6EE" w14:textId="77777777" w:rsidR="00CF2AF8" w:rsidRDefault="00000000">
      <w:pPr>
        <w:pStyle w:val="ListBullet"/>
      </w:pPr>
      <w:r>
        <w:rPr>
          <w:b/>
        </w:rPr>
        <w:t xml:space="preserve">Serialization Store: </w:t>
      </w:r>
      <w:r>
        <w:t>'model_uploading.ipynb' systematically pushes the generated ML Weights (.pkl) natively bridging training cycles via deployment structures.</w:t>
      </w:r>
    </w:p>
    <w:p w14:paraId="7DB4602C" w14:textId="0245FBB5" w:rsidR="00CF2AF8" w:rsidRDefault="00CF2AF8" w:rsidP="00DA5826"/>
    <w:sectPr w:rsidR="00CF2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427812">
    <w:abstractNumId w:val="8"/>
  </w:num>
  <w:num w:numId="2" w16cid:durableId="60717340">
    <w:abstractNumId w:val="6"/>
  </w:num>
  <w:num w:numId="3" w16cid:durableId="170143945">
    <w:abstractNumId w:val="5"/>
  </w:num>
  <w:num w:numId="4" w16cid:durableId="852574972">
    <w:abstractNumId w:val="4"/>
  </w:num>
  <w:num w:numId="5" w16cid:durableId="2027831874">
    <w:abstractNumId w:val="7"/>
  </w:num>
  <w:num w:numId="6" w16cid:durableId="1798714793">
    <w:abstractNumId w:val="3"/>
  </w:num>
  <w:num w:numId="7" w16cid:durableId="1952324835">
    <w:abstractNumId w:val="2"/>
  </w:num>
  <w:num w:numId="8" w16cid:durableId="995186444">
    <w:abstractNumId w:val="1"/>
  </w:num>
  <w:num w:numId="9" w16cid:durableId="29518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057"/>
    <w:rsid w:val="00AA1D8D"/>
    <w:rsid w:val="00B47730"/>
    <w:rsid w:val="00CB0664"/>
    <w:rsid w:val="00CF2AF8"/>
    <w:rsid w:val="00DA5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22D707-CAFD-48EF-B37B-4BCA664C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GARG</cp:lastModifiedBy>
  <cp:revision>2</cp:revision>
  <dcterms:created xsi:type="dcterms:W3CDTF">2013-12-23T23:15:00Z</dcterms:created>
  <dcterms:modified xsi:type="dcterms:W3CDTF">2026-04-14T15:27:00Z</dcterms:modified>
  <cp:category/>
</cp:coreProperties>
</file>