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Synthèse : Double espace Particulier / Professionnel</w:t>
      </w:r>
    </w:p>
    <w:p>
      <w:r>
        <w:t>Dossier métier V3.1 — AniCare</w:t>
      </w:r>
    </w:p>
    <w:p/>
    <w:p>
      <w:pPr>
        <w:pStyle w:val="Heading1"/>
      </w:pPr>
      <w:r>
        <w:t>1. Ce que dit le dossier métier</w:t>
      </w:r>
    </w:p>
    <w:p>
      <w:r>
        <w:t>Sources : Page 2 (glossaire "Statut", "Espace"), Page 3 (un compte, deux espaces), Page 4 (règle 3), T01 (page 20)</w:t>
      </w:r>
    </w:p>
    <w:p>
      <w:pPr>
        <w:pStyle w:val="Heading2"/>
      </w:pPr>
      <w:r>
        <w:t>1a. Principes fondamentaux</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Règle</w:t>
            </w:r>
          </w:p>
        </w:tc>
        <w:tc>
          <w:tcPr>
            <w:tcW w:type="dxa" w:w="4320"/>
          </w:tcPr>
          <w:p>
            <w:r>
              <w:rPr>
                <w:b/>
                <w:sz w:val="20"/>
              </w:rPr>
              <w:t>Source</w:t>
            </w:r>
          </w:p>
        </w:tc>
      </w:tr>
      <w:tr>
        <w:tc>
          <w:tcPr>
            <w:tcW w:type="dxa" w:w="4320"/>
          </w:tcPr>
          <w:p>
            <w:r>
              <w:rPr>
                <w:sz w:val="20"/>
              </w:rPr>
              <w:t>Un seul compte par personne, identité unique</w:t>
            </w:r>
          </w:p>
        </w:tc>
        <w:tc>
          <w:tcPr>
            <w:tcW w:type="dxa" w:w="4320"/>
          </w:tcPr>
          <w:p>
            <w:r>
              <w:rPr>
                <w:sz w:val="20"/>
              </w:rPr>
              <w:t>Page 2, Page 3</w:t>
            </w:r>
          </w:p>
        </w:tc>
      </w:tr>
      <w:tr>
        <w:tc>
          <w:tcPr>
            <w:tcW w:type="dxa" w:w="4320"/>
          </w:tcPr>
          <w:p>
            <w:r>
              <w:rPr>
                <w:sz w:val="20"/>
              </w:rPr>
              <w:t>L'inscription crée un espace particulier</w:t>
            </w:r>
          </w:p>
        </w:tc>
        <w:tc>
          <w:tcPr>
            <w:tcW w:type="dxa" w:w="4320"/>
          </w:tcPr>
          <w:p>
            <w:r>
              <w:rPr>
                <w:sz w:val="20"/>
              </w:rPr>
              <w:t>Page 3</w:t>
            </w:r>
          </w:p>
        </w:tc>
      </w:tr>
      <w:tr>
        <w:tc>
          <w:tcPr>
            <w:tcW w:type="dxa" w:w="4320"/>
          </w:tcPr>
          <w:p>
            <w:r>
              <w:rPr>
                <w:sz w:val="20"/>
              </w:rPr>
              <w:t>L'activation PRO ajoute un second espace, sans remplacer le premier</w:t>
            </w:r>
          </w:p>
        </w:tc>
        <w:tc>
          <w:tcPr>
            <w:tcW w:type="dxa" w:w="4320"/>
          </w:tcPr>
          <w:p>
            <w:r>
              <w:rPr>
                <w:sz w:val="20"/>
              </w:rPr>
              <w:t>Page 3</w:t>
            </w:r>
          </w:p>
        </w:tc>
      </w:tr>
      <w:tr>
        <w:tc>
          <w:tcPr>
            <w:tcW w:type="dxa" w:w="4320"/>
          </w:tcPr>
          <w:p>
            <w:r>
              <w:rPr>
                <w:sz w:val="20"/>
              </w:rPr>
              <w:t>Un PRO conserve toujours son espace particulier</w:t>
            </w:r>
          </w:p>
        </w:tc>
        <w:tc>
          <w:tcPr>
            <w:tcW w:type="dxa" w:w="4320"/>
          </w:tcPr>
          <w:p>
            <w:r>
              <w:rPr>
                <w:sz w:val="20"/>
              </w:rPr>
              <w:t>Page 3</w:t>
            </w:r>
          </w:p>
        </w:tc>
      </w:tr>
      <w:tr>
        <w:tc>
          <w:tcPr>
            <w:tcW w:type="dxa" w:w="4320"/>
          </w:tcPr>
          <w:p>
            <w:r>
              <w:rPr>
                <w:sz w:val="20"/>
              </w:rPr>
              <w:t>Le statut détermine les espaces accessibles, pas les droits sur un cheval</w:t>
            </w:r>
          </w:p>
        </w:tc>
        <w:tc>
          <w:tcPr>
            <w:tcW w:type="dxa" w:w="4320"/>
          </w:tcPr>
          <w:p>
            <w:r>
              <w:rPr>
                <w:sz w:val="20"/>
              </w:rPr>
              <w:t>Page 2</w:t>
            </w:r>
          </w:p>
        </w:tc>
      </w:tr>
      <w:tr>
        <w:tc>
          <w:tcPr>
            <w:tcW w:type="dxa" w:w="4320"/>
          </w:tcPr>
          <w:p>
            <w:r>
              <w:rPr>
                <w:sz w:val="20"/>
              </w:rPr>
              <w:t>Les droits dépendent du rôle auprès du cheval, indépendamment du statut</w:t>
            </w:r>
          </w:p>
        </w:tc>
        <w:tc>
          <w:tcPr>
            <w:tcW w:type="dxa" w:w="4320"/>
          </w:tcPr>
          <w:p>
            <w:r>
              <w:rPr>
                <w:sz w:val="20"/>
              </w:rPr>
              <w:t>Page 4, règle 3</w:t>
            </w:r>
          </w:p>
        </w:tc>
      </w:tr>
    </w:tbl>
    <w:p/>
    <w:p>
      <w:pPr>
        <w:pStyle w:val="Heading2"/>
      </w:pPr>
      <w:r>
        <w:t>1b. Définitions (glossaire Page 2)</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Terme</w:t>
            </w:r>
          </w:p>
        </w:tc>
        <w:tc>
          <w:tcPr>
            <w:tcW w:type="dxa" w:w="4320"/>
          </w:tcPr>
          <w:p>
            <w:r>
              <w:rPr>
                <w:b/>
                <w:sz w:val="20"/>
              </w:rPr>
              <w:t>Définition</w:t>
            </w:r>
          </w:p>
        </w:tc>
      </w:tr>
      <w:tr>
        <w:tc>
          <w:tcPr>
            <w:tcW w:type="dxa" w:w="4320"/>
          </w:tcPr>
          <w:p>
            <w:r>
              <w:rPr>
                <w:sz w:val="20"/>
              </w:rPr>
              <w:t>Statut</w:t>
            </w:r>
          </w:p>
        </w:tc>
        <w:tc>
          <w:tcPr>
            <w:tcW w:type="dxa" w:w="4320"/>
          </w:tcPr>
          <w:p>
            <w:r>
              <w:rPr>
                <w:sz w:val="20"/>
              </w:rPr>
              <w:t>Particulier ou Professionnel — détermine les espaces accessibles</w:t>
            </w:r>
          </w:p>
        </w:tc>
      </w:tr>
      <w:tr>
        <w:tc>
          <w:tcPr>
            <w:tcW w:type="dxa" w:w="4320"/>
          </w:tcPr>
          <w:p>
            <w:r>
              <w:rPr>
                <w:sz w:val="20"/>
              </w:rPr>
              <w:t>Espace</w:t>
            </w:r>
          </w:p>
        </w:tc>
        <w:tc>
          <w:tcPr>
            <w:tcW w:type="dxa" w:w="4320"/>
          </w:tcPr>
          <w:p>
            <w:r>
              <w:rPr>
                <w:sz w:val="20"/>
              </w:rPr>
              <w:t>Interface et fonctionnalités adaptées au contexte (particulier ou professionnel)</w:t>
            </w:r>
          </w:p>
        </w:tc>
      </w:tr>
      <w:tr>
        <w:tc>
          <w:tcPr>
            <w:tcW w:type="dxa" w:w="4320"/>
          </w:tcPr>
          <w:p>
            <w:r>
              <w:rPr>
                <w:sz w:val="20"/>
              </w:rPr>
              <w:t>Compte</w:t>
            </w:r>
          </w:p>
        </w:tc>
        <w:tc>
          <w:tcPr>
            <w:tcW w:type="dxa" w:w="4320"/>
          </w:tcPr>
          <w:p>
            <w:r>
              <w:rPr>
                <w:sz w:val="20"/>
              </w:rPr>
              <w:t>Unique par personne, peut donner accès à 1 ou 2 espaces</w:t>
            </w:r>
          </w:p>
        </w:tc>
      </w:tr>
    </w:tbl>
    <w:p/>
    <w:p>
      <w:pPr>
        <w:pStyle w:val="Heading2"/>
      </w:pPr>
      <w:r>
        <w:t>1c. Fonctions de chaque espace</w:t>
      </w:r>
    </w:p>
    <w:p>
      <w:r>
        <w:t>Espace particulier (Page 3) :</w:t>
      </w:r>
    </w:p>
    <w:p>
      <w:pPr>
        <w:pStyle w:val="ListBullet"/>
      </w:pPr>
      <w:r>
        <w:t>Gérer ses propres chevaux (créer la fiche, désigner des référents)</w:t>
      </w:r>
    </w:p>
    <w:p>
      <w:pPr>
        <w:pStyle w:val="ListBullet"/>
      </w:pPr>
      <w:r>
        <w:t>Suivre le dossier de santé de ses chevaux</w:t>
      </w:r>
    </w:p>
    <w:p>
      <w:pPr>
        <w:pStyle w:val="ListBullet"/>
      </w:pPr>
      <w:r>
        <w:t>Recevoir et consulter les CR partagés</w:t>
      </w:r>
    </w:p>
    <w:p>
      <w:pPr>
        <w:pStyle w:val="ListBullet"/>
      </w:pPr>
      <w:r>
        <w:t>Organiser des RDV pour ses chevaux</w:t>
      </w:r>
    </w:p>
    <w:p>
      <w:r>
        <w:t>Espace professionnel (Page 3) :</w:t>
      </w:r>
    </w:p>
    <w:p>
      <w:pPr>
        <w:pStyle w:val="ListBullet"/>
      </w:pPr>
      <w:r>
        <w:t>Exercer son activité : consultations, rédaction de CR</w:t>
      </w:r>
    </w:p>
    <w:p>
      <w:pPr>
        <w:pStyle w:val="ListBullet"/>
      </w:pPr>
      <w:r>
        <w:t>Gérer son agenda et ses tournées</w:t>
      </w:r>
    </w:p>
    <w:p>
      <w:pPr>
        <w:pStyle w:val="ListBullet"/>
      </w:pPr>
      <w:r>
        <w:t>Accéder au répertoire de contacts professionnels</w:t>
      </w:r>
    </w:p>
    <w:p>
      <w:pPr>
        <w:pStyle w:val="ListBullet"/>
      </w:pPr>
      <w:r>
        <w:t>Gérer sa structure et ses paramètres PRO</w:t>
      </w:r>
    </w:p>
    <w:p>
      <w:pPr>
        <w:pStyle w:val="Heading2"/>
      </w:pPr>
      <w:r>
        <w:t>1d. Cas concret — T01 (Élodie, page 20)</w:t>
      </w:r>
    </w:p>
    <w:p>
      <w:r>
        <w:t>Élodie est ostéopathe et propriétaire de chevaux. Elle choisit "les deux" espaces lors de l'inscription. Résultat : un seul compte, deux espaces. Dans son espace professionnel, elle traite les chevaux de ses clients. Dans son espace particulier, elle gère ses propres chevaux. Aucun pouvoir supplémentaire sur les chevaux de ses clients du fait de son statut PRO.</w:t>
      </w:r>
    </w:p>
    <w:p>
      <w:pPr>
        <w:pStyle w:val="Heading1"/>
      </w:pPr>
      <w:r>
        <w:t>2. État actuel du code</w:t>
      </w:r>
    </w:p>
    <w:p>
      <w:pPr>
        <w:pStyle w:val="Heading2"/>
      </w:pPr>
      <w:r>
        <w:t>2a. Entité User — champs liés au double espace</w:t>
      </w:r>
    </w:p>
    <w:p>
      <w:r>
        <w:t>Fichier : src/Entity/User.php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Champ</w:t>
            </w:r>
          </w:p>
        </w:tc>
        <w:tc>
          <w:tcPr>
            <w:tcW w:type="dxa" w:w="2160"/>
          </w:tcPr>
          <w:p>
            <w:r>
              <w:rPr>
                <w:b/>
                <w:sz w:val="20"/>
              </w:rPr>
              <w:t>Type</w:t>
            </w:r>
          </w:p>
        </w:tc>
        <w:tc>
          <w:tcPr>
            <w:tcW w:type="dxa" w:w="2160"/>
          </w:tcPr>
          <w:p>
            <w:r>
              <w:rPr>
                <w:b/>
                <w:sz w:val="20"/>
              </w:rPr>
              <w:t>Valeurs</w:t>
            </w:r>
          </w:p>
        </w:tc>
        <w:tc>
          <w:tcPr>
            <w:tcW w:type="dxa" w:w="2160"/>
          </w:tcPr>
          <w:p>
            <w:r>
              <w:rPr>
                <w:b/>
                <w:sz w:val="20"/>
              </w:rPr>
              <w:t>État</w:t>
            </w:r>
          </w:p>
        </w:tc>
      </w:tr>
      <w:tr>
        <w:tc>
          <w:tcPr>
            <w:tcW w:type="dxa" w:w="2160"/>
          </w:tcPr>
          <w:p>
            <w:r>
              <w:rPr>
                <w:sz w:val="20"/>
              </w:rPr>
              <w:t>accountType</w:t>
            </w:r>
          </w:p>
        </w:tc>
        <w:tc>
          <w:tcPr>
            <w:tcW w:type="dxa" w:w="2160"/>
          </w:tcPr>
          <w:p>
            <w:r>
              <w:rPr>
                <w:sz w:val="20"/>
              </w:rPr>
              <w:t>string</w:t>
            </w:r>
          </w:p>
        </w:tc>
        <w:tc>
          <w:tcPr>
            <w:tcW w:type="dxa" w:w="2160"/>
          </w:tcPr>
          <w:p>
            <w:r>
              <w:rPr>
                <w:sz w:val="20"/>
              </w:rPr>
              <w:t>OWNER, PRO, BOTH, STRUCTURE</w:t>
            </w:r>
          </w:p>
        </w:tc>
        <w:tc>
          <w:tcPr>
            <w:tcW w:type="dxa" w:w="2160"/>
          </w:tcPr>
          <w:p>
            <w:r>
              <w:rPr>
                <w:sz w:val="20"/>
              </w:rPr>
              <w:t>Utilisé à l'inscription</w:t>
            </w:r>
          </w:p>
        </w:tc>
      </w:tr>
      <w:tr>
        <w:tc>
          <w:tcPr>
            <w:tcW w:type="dxa" w:w="2160"/>
          </w:tcPr>
          <w:p>
            <w:r>
              <w:rPr>
                <w:sz w:val="20"/>
              </w:rPr>
              <w:t>roles</w:t>
            </w:r>
          </w:p>
        </w:tc>
        <w:tc>
          <w:tcPr>
            <w:tcW w:type="dxa" w:w="2160"/>
          </w:tcPr>
          <w:p>
            <w:r>
              <w:rPr>
                <w:sz w:val="20"/>
              </w:rPr>
              <w:t>array</w:t>
            </w:r>
          </w:p>
        </w:tc>
        <w:tc>
          <w:tcPr>
            <w:tcW w:type="dxa" w:w="2160"/>
          </w:tcPr>
          <w:p>
            <w:r>
              <w:rPr>
                <w:sz w:val="20"/>
              </w:rPr>
              <w:t>ROLE_USER, ROLE_PRO, ROLE_STRUCTURE</w:t>
            </w:r>
          </w:p>
        </w:tc>
        <w:tc>
          <w:tcPr>
            <w:tcW w:type="dxa" w:w="2160"/>
          </w:tcPr>
          <w:p>
            <w:r>
              <w:rPr>
                <w:sz w:val="20"/>
              </w:rPr>
              <w:t>Utilisé dans la sécurité</w:t>
            </w:r>
          </w:p>
        </w:tc>
      </w:tr>
      <w:tr>
        <w:tc>
          <w:tcPr>
            <w:tcW w:type="dxa" w:w="2160"/>
          </w:tcPr>
          <w:p>
            <w:r>
              <w:rPr>
                <w:sz w:val="20"/>
              </w:rPr>
              <w:t>activeSpace</w:t>
            </w:r>
          </w:p>
        </w:tc>
        <w:tc>
          <w:tcPr>
            <w:tcW w:type="dxa" w:w="2160"/>
          </w:tcPr>
          <w:p>
            <w:r>
              <w:rPr>
                <w:sz w:val="20"/>
              </w:rPr>
              <w:t>string nullable</w:t>
            </w:r>
          </w:p>
        </w:tc>
        <w:tc>
          <w:tcPr>
            <w:tcW w:type="dxa" w:w="2160"/>
          </w:tcPr>
          <w:p>
            <w:r>
              <w:rPr>
                <w:sz w:val="20"/>
              </w:rPr>
              <w:t>particulier, professionnel, null</w:t>
            </w:r>
          </w:p>
        </w:tc>
        <w:tc>
          <w:tcPr>
            <w:tcW w:type="dxa" w:w="2160"/>
          </w:tcPr>
          <w:p>
            <w:r>
              <w:rPr>
                <w:sz w:val="20"/>
              </w:rPr>
              <w:t>Jamais lu ni écrit par les controllers</w:t>
            </w:r>
          </w:p>
        </w:tc>
      </w:tr>
    </w:tbl>
    <w:p/>
    <w:p>
      <w:pPr>
        <w:pStyle w:val="Heading2"/>
      </w:pPr>
      <w:r>
        <w:t>2b. Méthodes existantes dans User.php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Méthode</w:t>
            </w:r>
          </w:p>
        </w:tc>
        <w:tc>
          <w:tcPr>
            <w:tcW w:type="dxa" w:w="2880"/>
          </w:tcPr>
          <w:p>
            <w:r>
              <w:rPr>
                <w:b/>
                <w:sz w:val="20"/>
              </w:rPr>
              <w:t>Logique</w:t>
            </w:r>
          </w:p>
        </w:tc>
        <w:tc>
          <w:tcPr>
            <w:tcW w:type="dxa" w:w="2880"/>
          </w:tcPr>
          <w:p>
            <w:r>
              <w:rPr>
                <w:b/>
                <w:sz w:val="20"/>
              </w:rPr>
              <w:t>État</w:t>
            </w:r>
          </w:p>
        </w:tc>
      </w:tr>
      <w:tr>
        <w:tc>
          <w:tcPr>
            <w:tcW w:type="dxa" w:w="2880"/>
          </w:tcPr>
          <w:p>
            <w:r>
              <w:rPr>
                <w:sz w:val="20"/>
              </w:rPr>
              <w:t>hasProSpace()</w:t>
            </w:r>
          </w:p>
        </w:tc>
        <w:tc>
          <w:tcPr>
            <w:tcW w:type="dxa" w:w="2880"/>
          </w:tcPr>
          <w:p>
            <w:r>
              <w:rPr>
                <w:sz w:val="20"/>
              </w:rPr>
              <w:t>Vérifie ROLE_PRO dans les rôles</w:t>
            </w:r>
          </w:p>
        </w:tc>
        <w:tc>
          <w:tcPr>
            <w:tcW w:type="dxa" w:w="2880"/>
          </w:tcPr>
          <w:p>
            <w:r>
              <w:rPr>
                <w:sz w:val="20"/>
              </w:rPr>
              <w:t>OK</w:t>
            </w:r>
          </w:p>
        </w:tc>
      </w:tr>
      <w:tr>
        <w:tc>
          <w:tcPr>
            <w:tcW w:type="dxa" w:w="2880"/>
          </w:tcPr>
          <w:p>
            <w:r>
              <w:rPr>
                <w:sz w:val="20"/>
              </w:rPr>
              <w:t>hasParticulierSpace()</w:t>
            </w:r>
          </w:p>
        </w:tc>
        <w:tc>
          <w:tcPr>
            <w:tcW w:type="dxa" w:w="2880"/>
          </w:tcPr>
          <w:p>
            <w:r>
              <w:rPr>
                <w:sz w:val="20"/>
              </w:rPr>
              <w:t>accountType in ['OWNER', 'BOTH'] ou fallback</w:t>
            </w:r>
          </w:p>
        </w:tc>
        <w:tc>
          <w:tcPr>
            <w:tcW w:type="dxa" w:w="2880"/>
          </w:tcPr>
          <w:p>
            <w:r>
              <w:rPr>
                <w:sz w:val="20"/>
              </w:rPr>
              <w:t>OK</w:t>
            </w:r>
          </w:p>
        </w:tc>
      </w:tr>
      <w:tr>
        <w:tc>
          <w:tcPr>
            <w:tcW w:type="dxa" w:w="2880"/>
          </w:tcPr>
          <w:p>
            <w:r>
              <w:rPr>
                <w:sz w:val="20"/>
              </w:rPr>
              <w:t>hasBothSpaces()</w:t>
            </w:r>
          </w:p>
        </w:tc>
        <w:tc>
          <w:tcPr>
            <w:tcW w:type="dxa" w:w="2880"/>
          </w:tcPr>
          <w:p>
            <w:r>
              <w:rPr>
                <w:sz w:val="20"/>
              </w:rPr>
              <w:t>hasProSpace() &amp;&amp; hasParticulierSpace()</w:t>
            </w:r>
          </w:p>
        </w:tc>
        <w:tc>
          <w:tcPr>
            <w:tcW w:type="dxa" w:w="2880"/>
          </w:tcPr>
          <w:p>
            <w:r>
              <w:rPr>
                <w:sz w:val="20"/>
              </w:rPr>
              <w:t>OK</w:t>
            </w:r>
          </w:p>
        </w:tc>
      </w:tr>
      <w:tr>
        <w:tc>
          <w:tcPr>
            <w:tcW w:type="dxa" w:w="2880"/>
          </w:tcPr>
          <w:p>
            <w:r>
              <w:rPr>
                <w:sz w:val="20"/>
              </w:rPr>
              <w:t>isInProSpace()</w:t>
            </w:r>
          </w:p>
        </w:tc>
        <w:tc>
          <w:tcPr>
            <w:tcW w:type="dxa" w:w="2880"/>
          </w:tcPr>
          <w:p>
            <w:r>
              <w:rPr>
                <w:sz w:val="20"/>
              </w:rPr>
              <w:t>Lit activeSpace, fallback sur hasProSpace()</w:t>
            </w:r>
          </w:p>
        </w:tc>
        <w:tc>
          <w:tcPr>
            <w:tcW w:type="dxa" w:w="2880"/>
          </w:tcPr>
          <w:p>
            <w:r>
              <w:rPr>
                <w:sz w:val="20"/>
              </w:rPr>
              <w:t>OK mais jamais appelé hors de l'entité</w:t>
            </w:r>
          </w:p>
        </w:tc>
      </w:tr>
      <w:tr>
        <w:tc>
          <w:tcPr>
            <w:tcW w:type="dxa" w:w="2880"/>
          </w:tcPr>
          <w:p>
            <w:r>
              <w:rPr>
                <w:sz w:val="20"/>
              </w:rPr>
              <w:t>enableProSpace()</w:t>
            </w:r>
          </w:p>
        </w:tc>
        <w:tc>
          <w:tcPr>
            <w:tcW w:type="dxa" w:w="2880"/>
          </w:tcPr>
          <w:p>
            <w:r>
              <w:rPr>
                <w:sz w:val="20"/>
              </w:rPr>
              <w:t>Ajoute ROLE_PRO, OWNER → BOTH</w:t>
            </w:r>
          </w:p>
        </w:tc>
        <w:tc>
          <w:tcPr>
            <w:tcW w:type="dxa" w:w="2880"/>
          </w:tcPr>
          <w:p>
            <w:r>
              <w:rPr>
                <w:sz w:val="20"/>
              </w:rPr>
              <w:t>OK mais jamais appelé depuis un formulaire</w:t>
            </w:r>
          </w:p>
        </w:tc>
      </w:tr>
    </w:tbl>
    <w:p/>
    <w:p>
      <w:pPr>
        <w:pStyle w:val="Heading2"/>
      </w:pPr>
      <w:r>
        <w:t>2c. Header et navigation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Élément</w:t>
            </w:r>
          </w:p>
        </w:tc>
        <w:tc>
          <w:tcPr>
            <w:tcW w:type="dxa" w:w="4320"/>
          </w:tcPr>
          <w:p>
            <w:r>
              <w:rPr>
                <w:b/>
                <w:sz w:val="20"/>
              </w:rPr>
              <w:t>Comportement actuel</w:t>
            </w:r>
          </w:p>
        </w:tc>
      </w:tr>
      <w:tr>
        <w:tc>
          <w:tcPr>
            <w:tcW w:type="dxa" w:w="4320"/>
          </w:tcPr>
          <w:p>
            <w:r>
              <w:rPr>
                <w:sz w:val="20"/>
              </w:rPr>
              <w:t>Badge "PRO"</w:t>
            </w:r>
          </w:p>
        </w:tc>
        <w:tc>
          <w:tcPr>
            <w:tcW w:type="dxa" w:w="4320"/>
          </w:tcPr>
          <w:p>
            <w:r>
              <w:rPr>
                <w:sz w:val="20"/>
              </w:rPr>
              <w:t>Affiché si is_granted('ROLE_PRO')</w:t>
            </w:r>
          </w:p>
        </w:tc>
      </w:tr>
      <w:tr>
        <w:tc>
          <w:tcPr>
            <w:tcW w:type="dxa" w:w="4320"/>
          </w:tcPr>
          <w:p>
            <w:r>
              <w:rPr>
                <w:sz w:val="20"/>
              </w:rPr>
              <w:t>Menu principal</w:t>
            </w:r>
          </w:p>
        </w:tc>
        <w:tc>
          <w:tcPr>
            <w:tcW w:type="dxa" w:w="4320"/>
          </w:tcPr>
          <w:p>
            <w:r>
              <w:rPr>
                <w:sz w:val="20"/>
              </w:rPr>
              <w:t>Conditionnel sur ROLE_PRO : agenda, répertoire, structures visibles uniquement pour PRO</w:t>
            </w:r>
          </w:p>
        </w:tc>
      </w:tr>
      <w:tr>
        <w:tc>
          <w:tcPr>
            <w:tcW w:type="dxa" w:w="4320"/>
          </w:tcPr>
          <w:p>
            <w:r>
              <w:rPr>
                <w:sz w:val="20"/>
              </w:rPr>
              <w:t>Bascule d'espace</w:t>
            </w:r>
          </w:p>
        </w:tc>
        <w:tc>
          <w:tcPr>
            <w:tcW w:type="dxa" w:w="4320"/>
          </w:tcPr>
          <w:p>
            <w:r>
              <w:rPr>
                <w:sz w:val="20"/>
              </w:rPr>
              <w:t>Inexistante — pas de bouton ni de lien pour changer d'espace</w:t>
            </w:r>
          </w:p>
        </w:tc>
      </w:tr>
      <w:tr>
        <w:tc>
          <w:tcPr>
            <w:tcW w:type="dxa" w:w="4320"/>
          </w:tcPr>
          <w:p>
            <w:r>
              <w:rPr>
                <w:sz w:val="20"/>
              </w:rPr>
              <w:t>Menu "particulier"</w:t>
            </w:r>
          </w:p>
        </w:tc>
        <w:tc>
          <w:tcPr>
            <w:tcW w:type="dxa" w:w="4320"/>
          </w:tcPr>
          <w:p>
            <w:r>
              <w:rPr>
                <w:sz w:val="20"/>
              </w:rPr>
              <w:t>Inexistant — pas de menu alternatif quand un PRO veut gérer ses propres chevaux</w:t>
            </w:r>
          </w:p>
        </w:tc>
      </w:tr>
    </w:tbl>
    <w:p/>
    <w:p>
      <w:pPr>
        <w:pStyle w:val="Heading2"/>
      </w:pPr>
      <w:r>
        <w:t>2d. Sécurité (Voter)</w:t>
      </w:r>
    </w:p>
    <w:p>
      <w:r>
        <w:t>Le voter AnimalVoter vérifie les rôles/référents sur l'animal mais ne tient pas compte de l'espace actif. C'est conforme au dossier : les droits dépendent du rôle auprès du cheval, pas du statut (Page 4, règle 3).</w:t>
      </w:r>
    </w:p>
    <w:p>
      <w:pPr>
        <w:pStyle w:val="Heading2"/>
      </w:pPr>
      <w:r>
        <w:t>2e. Inscription</w:t>
      </w:r>
    </w:p>
    <w:p>
      <w:pPr>
        <w:pStyle w:val="ListBullet"/>
      </w:pPr>
      <w:r>
        <w:t>Inscription PRO → ROLE_PRO, accountType = PRO</w:t>
      </w:r>
    </w:p>
    <w:p>
      <w:pPr>
        <w:pStyle w:val="ListBullet"/>
      </w:pPr>
      <w:r>
        <w:t>Inscription particulier → ROLE_USER, accountType = OWNER</w:t>
      </w:r>
    </w:p>
    <w:p>
      <w:pPr>
        <w:pStyle w:val="ListBullet"/>
      </w:pPr>
      <w:r>
        <w:t>Inscription structure → ROLE_STRUCTURE, accountType = STRUCTURE</w:t>
      </w:r>
    </w:p>
    <w:p>
      <w:pPr>
        <w:pStyle w:val="ListBullet"/>
      </w:pPr>
      <w:r>
        <w:t>Pas de choix "les deux" (T01 non implémenté)</w:t>
      </w:r>
    </w:p>
    <w:p>
      <w:pPr>
        <w:pStyle w:val="Heading1"/>
      </w:pPr>
      <w:r>
        <w:t>3. Écarts avec le dossier métier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Attendu (dossier)</w:t>
            </w:r>
          </w:p>
        </w:tc>
        <w:tc>
          <w:tcPr>
            <w:tcW w:type="dxa" w:w="2160"/>
          </w:tcPr>
          <w:p>
            <w:r>
              <w:rPr>
                <w:b/>
                <w:sz w:val="20"/>
              </w:rPr>
              <w:t>État actuel</w:t>
            </w:r>
          </w:p>
        </w:tc>
        <w:tc>
          <w:tcPr>
            <w:tcW w:type="dxa" w:w="2160"/>
          </w:tcPr>
          <w:p>
            <w:r>
              <w:rPr>
                <w:b/>
                <w:sz w:val="20"/>
              </w:rPr>
              <w:t>Source</w:t>
            </w:r>
          </w:p>
        </w:tc>
      </w:tr>
      <w:tr>
        <w:tc>
          <w:tcPr>
            <w:tcW w:type="dxa" w:w="2160"/>
          </w:tcPr>
          <w:p>
            <w:r>
              <w:rPr>
                <w:sz w:val="20"/>
              </w:rPr>
              <w:t>1</w:t>
            </w:r>
          </w:p>
        </w:tc>
        <w:tc>
          <w:tcPr>
            <w:tcW w:type="dxa" w:w="2160"/>
          </w:tcPr>
          <w:p>
            <w:r>
              <w:rPr>
                <w:sz w:val="20"/>
              </w:rPr>
              <w:t>Un utilisateur BOTH peut basculer entre espace PRO et particulier</w:t>
            </w:r>
          </w:p>
        </w:tc>
        <w:tc>
          <w:tcPr>
            <w:tcW w:type="dxa" w:w="2160"/>
          </w:tcPr>
          <w:p>
            <w:r>
              <w:rPr>
                <w:sz w:val="20"/>
              </w:rPr>
              <w:t>activeSpace existe mais n'est jamais lu/écrit par les controllers</w:t>
            </w:r>
          </w:p>
        </w:tc>
        <w:tc>
          <w:tcPr>
            <w:tcW w:type="dxa" w:w="2160"/>
          </w:tcPr>
          <w:p>
            <w:r>
              <w:rPr>
                <w:sz w:val="20"/>
              </w:rPr>
              <w:t>Page 3</w:t>
            </w:r>
          </w:p>
        </w:tc>
      </w:tr>
      <w:tr>
        <w:tc>
          <w:tcPr>
            <w:tcW w:type="dxa" w:w="2160"/>
          </w:tcPr>
          <w:p>
            <w:r>
              <w:rPr>
                <w:sz w:val="20"/>
              </w:rPr>
              <w:t>2</w:t>
            </w:r>
          </w:p>
        </w:tc>
        <w:tc>
          <w:tcPr>
            <w:tcW w:type="dxa" w:w="2160"/>
          </w:tcPr>
          <w:p>
            <w:r>
              <w:rPr>
                <w:sz w:val="20"/>
              </w:rPr>
              <w:t>Le menu s'adapte à l'espace actif</w:t>
            </w:r>
          </w:p>
        </w:tc>
        <w:tc>
          <w:tcPr>
            <w:tcW w:type="dxa" w:w="2160"/>
          </w:tcPr>
          <w:p>
            <w:r>
              <w:rPr>
                <w:sz w:val="20"/>
              </w:rPr>
              <w:t>Menu fixe basé uniquement sur ROLE_PRO</w:t>
            </w:r>
          </w:p>
        </w:tc>
        <w:tc>
          <w:tcPr>
            <w:tcW w:type="dxa" w:w="2160"/>
          </w:tcPr>
          <w:p>
            <w:r>
              <w:rPr>
                <w:sz w:val="20"/>
              </w:rPr>
              <w:t>Page 3</w:t>
            </w:r>
          </w:p>
        </w:tc>
      </w:tr>
      <w:tr>
        <w:tc>
          <w:tcPr>
            <w:tcW w:type="dxa" w:w="2160"/>
          </w:tcPr>
          <w:p>
            <w:r>
              <w:rPr>
                <w:sz w:val="20"/>
              </w:rPr>
              <w:t>3</w:t>
            </w:r>
          </w:p>
        </w:tc>
        <w:tc>
          <w:tcPr>
            <w:tcW w:type="dxa" w:w="2160"/>
          </w:tcPr>
          <w:p>
            <w:r>
              <w:rPr>
                <w:sz w:val="20"/>
              </w:rPr>
              <w:t>En espace particulier : "Mes chevaux" (propriétaire/référent)</w:t>
            </w:r>
          </w:p>
        </w:tc>
        <w:tc>
          <w:tcPr>
            <w:tcW w:type="dxa" w:w="2160"/>
          </w:tcPr>
          <w:p>
            <w:r>
              <w:rPr>
                <w:sz w:val="20"/>
              </w:rPr>
              <w:t>Les chevaux affichés ne dépendent pas de l'espace</w:t>
            </w:r>
          </w:p>
        </w:tc>
        <w:tc>
          <w:tcPr>
            <w:tcW w:type="dxa" w:w="2160"/>
          </w:tcPr>
          <w:p>
            <w:r>
              <w:rPr>
                <w:sz w:val="20"/>
              </w:rPr>
              <w:t>Page 3</w:t>
            </w:r>
          </w:p>
        </w:tc>
      </w:tr>
      <w:tr>
        <w:tc>
          <w:tcPr>
            <w:tcW w:type="dxa" w:w="2160"/>
          </w:tcPr>
          <w:p>
            <w:r>
              <w:rPr>
                <w:sz w:val="20"/>
              </w:rPr>
              <w:t>4</w:t>
            </w:r>
          </w:p>
        </w:tc>
        <w:tc>
          <w:tcPr>
            <w:tcW w:type="dxa" w:w="2160"/>
          </w:tcPr>
          <w:p>
            <w:r>
              <w:rPr>
                <w:sz w:val="20"/>
              </w:rPr>
              <w:t>En espace professionnel : "Mes patients" (via consultations)</w:t>
            </w:r>
          </w:p>
        </w:tc>
        <w:tc>
          <w:tcPr>
            <w:tcW w:type="dxa" w:w="2160"/>
          </w:tcPr>
          <w:p>
            <w:r>
              <w:rPr>
                <w:sz w:val="20"/>
              </w:rPr>
              <w:t>Pas de filtrage par espace</w:t>
            </w:r>
          </w:p>
        </w:tc>
        <w:tc>
          <w:tcPr>
            <w:tcW w:type="dxa" w:w="2160"/>
          </w:tcPr>
          <w:p>
            <w:r>
              <w:rPr>
                <w:sz w:val="20"/>
              </w:rPr>
              <w:t>Page 3</w:t>
            </w:r>
          </w:p>
        </w:tc>
      </w:tr>
      <w:tr>
        <w:tc>
          <w:tcPr>
            <w:tcW w:type="dxa" w:w="2160"/>
          </w:tcPr>
          <w:p>
            <w:r>
              <w:rPr>
                <w:sz w:val="20"/>
              </w:rPr>
              <w:t>5</w:t>
            </w:r>
          </w:p>
        </w:tc>
        <w:tc>
          <w:tcPr>
            <w:tcW w:type="dxa" w:w="2160"/>
          </w:tcPr>
          <w:p>
            <w:r>
              <w:rPr>
                <w:sz w:val="20"/>
              </w:rPr>
              <w:t>Choix "les deux" à l'inscription</w:t>
            </w:r>
          </w:p>
        </w:tc>
        <w:tc>
          <w:tcPr>
            <w:tcW w:type="dxa" w:w="2160"/>
          </w:tcPr>
          <w:p>
            <w:r>
              <w:rPr>
                <w:sz w:val="20"/>
              </w:rPr>
              <w:t>Seulement PRO ou particulier</w:t>
            </w:r>
          </w:p>
        </w:tc>
        <w:tc>
          <w:tcPr>
            <w:tcW w:type="dxa" w:w="2160"/>
          </w:tcPr>
          <w:p>
            <w:r>
              <w:rPr>
                <w:sz w:val="20"/>
              </w:rPr>
              <w:t>T01</w:t>
            </w:r>
          </w:p>
        </w:tc>
      </w:tr>
      <w:tr>
        <w:tc>
          <w:tcPr>
            <w:tcW w:type="dxa" w:w="2160"/>
          </w:tcPr>
          <w:p>
            <w:r>
              <w:rPr>
                <w:sz w:val="20"/>
              </w:rPr>
              <w:t>6</w:t>
            </w:r>
          </w:p>
        </w:tc>
        <w:tc>
          <w:tcPr>
            <w:tcW w:type="dxa" w:w="2160"/>
          </w:tcPr>
          <w:p>
            <w:r>
              <w:rPr>
                <w:sz w:val="20"/>
              </w:rPr>
              <w:t>Un particulier peut devenir PRO après l'inscription</w:t>
            </w:r>
          </w:p>
        </w:tc>
        <w:tc>
          <w:tcPr>
            <w:tcW w:type="dxa" w:w="2160"/>
          </w:tcPr>
          <w:p>
            <w:r>
              <w:rPr>
                <w:sz w:val="20"/>
              </w:rPr>
              <w:t>enableProSpace() existe mais aucun formulaire</w:t>
            </w:r>
          </w:p>
        </w:tc>
        <w:tc>
          <w:tcPr>
            <w:tcW w:type="dxa" w:w="2160"/>
          </w:tcPr>
          <w:p>
            <w:r>
              <w:rPr>
                <w:sz w:val="20"/>
              </w:rPr>
              <w:t>Page 3</w:t>
            </w:r>
          </w:p>
        </w:tc>
      </w:tr>
      <w:tr>
        <w:tc>
          <w:tcPr>
            <w:tcW w:type="dxa" w:w="2160"/>
          </w:tcPr>
          <w:p>
            <w:r>
              <w:rPr>
                <w:sz w:val="20"/>
              </w:rPr>
              <w:t>7</w:t>
            </w:r>
          </w:p>
        </w:tc>
        <w:tc>
          <w:tcPr>
            <w:tcW w:type="dxa" w:w="2160"/>
          </w:tcPr>
          <w:p>
            <w:r>
              <w:rPr>
                <w:sz w:val="20"/>
              </w:rPr>
              <w:t>Pas de pouvoir supplémentaire du fait du statut PRO</w:t>
            </w:r>
          </w:p>
        </w:tc>
        <w:tc>
          <w:tcPr>
            <w:tcW w:type="dxa" w:w="2160"/>
          </w:tcPr>
          <w:p>
            <w:r>
              <w:rPr>
                <w:sz w:val="20"/>
              </w:rPr>
              <w:t>Conforme (voter agnostique de l'espace)</w:t>
            </w:r>
          </w:p>
        </w:tc>
        <w:tc>
          <w:tcPr>
            <w:tcW w:type="dxa" w:w="2160"/>
          </w:tcPr>
          <w:p>
            <w:r>
              <w:rPr>
                <w:sz w:val="20"/>
              </w:rPr>
              <w:t>Page 4, règle 3</w:t>
            </w:r>
          </w:p>
        </w:tc>
      </w:tr>
    </w:tbl>
    <w:p/>
    <w:p>
      <w:pPr>
        <w:pStyle w:val="Heading1"/>
      </w:pPr>
      <w:r>
        <w:t>4. Ce qui doit être implémenté</w:t>
      </w:r>
    </w:p>
    <w:p>
      <w:pPr>
        <w:pStyle w:val="Heading2"/>
      </w:pPr>
      <w:r>
        <w:t>4a. Bascule d'espace (utilisateurs BOTH)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Fonctionnalité</w:t>
            </w:r>
          </w:p>
        </w:tc>
        <w:tc>
          <w:tcPr>
            <w:tcW w:type="dxa" w:w="2880"/>
          </w:tcPr>
          <w:p>
            <w:r>
              <w:rPr>
                <w:b/>
                <w:sz w:val="20"/>
              </w:rPr>
              <w:t>Description</w:t>
            </w:r>
          </w:p>
        </w:tc>
        <w:tc>
          <w:tcPr>
            <w:tcW w:type="dxa" w:w="2880"/>
          </w:tcPr>
          <w:p>
            <w:r>
              <w:rPr>
                <w:b/>
                <w:sz w:val="20"/>
              </w:rPr>
              <w:t>Priorité</w:t>
            </w:r>
          </w:p>
        </w:tc>
      </w:tr>
      <w:tr>
        <w:tc>
          <w:tcPr>
            <w:tcW w:type="dxa" w:w="2880"/>
          </w:tcPr>
          <w:p>
            <w:r>
              <w:rPr>
                <w:sz w:val="20"/>
              </w:rPr>
              <w:t>Bouton switch dans le header</w:t>
            </w:r>
          </w:p>
        </w:tc>
        <w:tc>
          <w:tcPr>
            <w:tcW w:type="dxa" w:w="2880"/>
          </w:tcPr>
          <w:p>
            <w:r>
              <w:rPr>
                <w:sz w:val="20"/>
              </w:rPr>
              <w:t>Visible si hasBothSpaces(), bascule entre "Espace PRO" et "Espace Particulier"</w:t>
            </w:r>
          </w:p>
        </w:tc>
        <w:tc>
          <w:tcPr>
            <w:tcW w:type="dxa" w:w="2880"/>
          </w:tcPr>
          <w:p>
            <w:r>
              <w:rPr>
                <w:sz w:val="20"/>
              </w:rPr>
              <w:t>Haute</w:t>
            </w:r>
          </w:p>
        </w:tc>
      </w:tr>
      <w:tr>
        <w:tc>
          <w:tcPr>
            <w:tcW w:type="dxa" w:w="2880"/>
          </w:tcPr>
          <w:p>
            <w:r>
              <w:rPr>
                <w:sz w:val="20"/>
              </w:rPr>
              <w:t>Route /switch-space</w:t>
            </w:r>
          </w:p>
        </w:tc>
        <w:tc>
          <w:tcPr>
            <w:tcW w:type="dxa" w:w="2880"/>
          </w:tcPr>
          <w:p>
            <w:r>
              <w:rPr>
                <w:sz w:val="20"/>
              </w:rPr>
              <w:t>POST qui toggle activeSpace, persiste en BDD, redirige</w:t>
            </w:r>
          </w:p>
        </w:tc>
        <w:tc>
          <w:tcPr>
            <w:tcW w:type="dxa" w:w="2880"/>
          </w:tcPr>
          <w:p>
            <w:r>
              <w:rPr>
                <w:sz w:val="20"/>
              </w:rPr>
              <w:t>Haute</w:t>
            </w:r>
          </w:p>
        </w:tc>
      </w:tr>
      <w:tr>
        <w:tc>
          <w:tcPr>
            <w:tcW w:type="dxa" w:w="2880"/>
          </w:tcPr>
          <w:p>
            <w:r>
              <w:rPr>
                <w:sz w:val="20"/>
              </w:rPr>
              <w:t>Initialisation</w:t>
            </w:r>
          </w:p>
        </w:tc>
        <w:tc>
          <w:tcPr>
            <w:tcW w:type="dxa" w:w="2880"/>
          </w:tcPr>
          <w:p>
            <w:r>
              <w:rPr>
                <w:sz w:val="20"/>
              </w:rPr>
              <w:t>À la connexion, si activeSpace est null et hasBothSpaces(), initialiser à 'particulier'</w:t>
            </w:r>
          </w:p>
        </w:tc>
        <w:tc>
          <w:tcPr>
            <w:tcW w:type="dxa" w:w="2880"/>
          </w:tcPr>
          <w:p>
            <w:r>
              <w:rPr>
                <w:sz w:val="20"/>
              </w:rPr>
              <w:t>Haute</w:t>
            </w:r>
          </w:p>
        </w:tc>
      </w:tr>
      <w:tr>
        <w:tc>
          <w:tcPr>
            <w:tcW w:type="dxa" w:w="2880"/>
          </w:tcPr>
          <w:p>
            <w:r>
              <w:rPr>
                <w:sz w:val="20"/>
              </w:rPr>
              <w:t>Persistence session</w:t>
            </w:r>
          </w:p>
        </w:tc>
        <w:tc>
          <w:tcPr>
            <w:tcW w:type="dxa" w:w="2880"/>
          </w:tcPr>
          <w:p>
            <w:r>
              <w:rPr>
                <w:sz w:val="20"/>
              </w:rPr>
              <w:t>activeSpace lu depuis la BDD à chaque requête (ou mis en session)</w:t>
            </w:r>
          </w:p>
        </w:tc>
        <w:tc>
          <w:tcPr>
            <w:tcW w:type="dxa" w:w="2880"/>
          </w:tcPr>
          <w:p>
            <w:r>
              <w:rPr>
                <w:sz w:val="20"/>
              </w:rPr>
              <w:t>Haute</w:t>
            </w:r>
          </w:p>
        </w:tc>
      </w:tr>
    </w:tbl>
    <w:p/>
    <w:p>
      <w:pPr>
        <w:pStyle w:val="Heading2"/>
      </w:pPr>
      <w:r>
        <w:t>4b. Menu conditionnel selon l'espace actif</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Espace actif</w:t>
            </w:r>
          </w:p>
        </w:tc>
        <w:tc>
          <w:tcPr>
            <w:tcW w:type="dxa" w:w="4320"/>
          </w:tcPr>
          <w:p>
            <w:r>
              <w:rPr>
                <w:b/>
                <w:sz w:val="20"/>
              </w:rPr>
              <w:t>Menu principal</w:t>
            </w:r>
          </w:p>
        </w:tc>
      </w:tr>
      <w:tr>
        <w:tc>
          <w:tcPr>
            <w:tcW w:type="dxa" w:w="4320"/>
          </w:tcPr>
          <w:p>
            <w:r>
              <w:rPr>
                <w:sz w:val="20"/>
              </w:rPr>
              <w:t>Particulier</w:t>
            </w:r>
          </w:p>
        </w:tc>
        <w:tc>
          <w:tcPr>
            <w:tcW w:type="dxa" w:w="4320"/>
          </w:tcPr>
          <w:p>
            <w:r>
              <w:rPr>
                <w:sz w:val="20"/>
              </w:rPr>
              <w:t>Mes chevaux, Mon profil, Mes invitations</w:t>
            </w:r>
          </w:p>
        </w:tc>
      </w:tr>
      <w:tr>
        <w:tc>
          <w:tcPr>
            <w:tcW w:type="dxa" w:w="4320"/>
          </w:tcPr>
          <w:p>
            <w:r>
              <w:rPr>
                <w:sz w:val="20"/>
              </w:rPr>
              <w:t>Professionnel</w:t>
            </w:r>
          </w:p>
        </w:tc>
        <w:tc>
          <w:tcPr>
            <w:tcW w:type="dxa" w:w="4320"/>
          </w:tcPr>
          <w:p>
            <w:r>
              <w:rPr>
                <w:sz w:val="20"/>
              </w:rPr>
              <w:t>Dashboard PRO, Agenda, Consultations, Répertoire, Structures, Tournées</w:t>
            </w:r>
          </w:p>
        </w:tc>
      </w:tr>
      <w:tr>
        <w:tc>
          <w:tcPr>
            <w:tcW w:type="dxa" w:w="4320"/>
          </w:tcPr>
          <w:p>
            <w:r>
              <w:rPr>
                <w:sz w:val="20"/>
              </w:rPr>
              <w:t>Commun (toujours visible)</w:t>
            </w:r>
          </w:p>
        </w:tc>
        <w:tc>
          <w:tcPr>
            <w:tcW w:type="dxa" w:w="4320"/>
          </w:tcPr>
          <w:p>
            <w:r>
              <w:rPr>
                <w:sz w:val="20"/>
              </w:rPr>
              <w:t>Profil, Paramètres, Déconnexion</w:t>
            </w:r>
          </w:p>
        </w:tc>
      </w:tr>
    </w:tbl>
    <w:p/>
    <w:p>
      <w:pPr>
        <w:pStyle w:val="Heading2"/>
      </w:pPr>
      <w:r>
        <w:t>4c. Filtrage des données selon l'espace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Contexte</w:t>
            </w:r>
          </w:p>
        </w:tc>
        <w:tc>
          <w:tcPr>
            <w:tcW w:type="dxa" w:w="2880"/>
          </w:tcPr>
          <w:p>
            <w:r>
              <w:rPr>
                <w:b/>
                <w:sz w:val="20"/>
              </w:rPr>
              <w:t>Espace particulier</w:t>
            </w:r>
          </w:p>
        </w:tc>
        <w:tc>
          <w:tcPr>
            <w:tcW w:type="dxa" w:w="2880"/>
          </w:tcPr>
          <w:p>
            <w:r>
              <w:rPr>
                <w:b/>
                <w:sz w:val="20"/>
              </w:rPr>
              <w:t>Espace professionnel</w:t>
            </w:r>
          </w:p>
        </w:tc>
      </w:tr>
      <w:tr>
        <w:tc>
          <w:tcPr>
            <w:tcW w:type="dxa" w:w="2880"/>
          </w:tcPr>
          <w:p>
            <w:r>
              <w:rPr>
                <w:sz w:val="20"/>
              </w:rPr>
              <w:t>Liste chevaux</w:t>
            </w:r>
          </w:p>
        </w:tc>
        <w:tc>
          <w:tcPr>
            <w:tcW w:type="dxa" w:w="2880"/>
          </w:tcPr>
          <w:p>
            <w:r>
              <w:rPr>
                <w:sz w:val="20"/>
              </w:rPr>
              <w:t>Mes propres chevaux (owner + référent actif)</w:t>
            </w:r>
          </w:p>
        </w:tc>
        <w:tc>
          <w:tcPr>
            <w:tcW w:type="dxa" w:w="2880"/>
          </w:tcPr>
          <w:p>
            <w:r>
              <w:rPr>
                <w:sz w:val="20"/>
              </w:rPr>
              <w:t>Chevaux de mes clients (via consultations/RDV)</w:t>
            </w:r>
          </w:p>
        </w:tc>
      </w:tr>
      <w:tr>
        <w:tc>
          <w:tcPr>
            <w:tcW w:type="dxa" w:w="2880"/>
          </w:tcPr>
          <w:p>
            <w:r>
              <w:rPr>
                <w:sz w:val="20"/>
              </w:rPr>
              <w:t>Consultations</w:t>
            </w:r>
          </w:p>
        </w:tc>
        <w:tc>
          <w:tcPr>
            <w:tcW w:type="dxa" w:w="2880"/>
          </w:tcPr>
          <w:p>
            <w:r>
              <w:rPr>
                <w:sz w:val="20"/>
              </w:rPr>
              <w:t>CR reçus / partagés avec moi</w:t>
            </w:r>
          </w:p>
        </w:tc>
        <w:tc>
          <w:tcPr>
            <w:tcW w:type="dxa" w:w="2880"/>
          </w:tcPr>
          <w:p>
            <w:r>
              <w:rPr>
                <w:sz w:val="20"/>
              </w:rPr>
              <w:t>CR que j'ai rédigés</w:t>
            </w:r>
          </w:p>
        </w:tc>
      </w:tr>
      <w:tr>
        <w:tc>
          <w:tcPr>
            <w:tcW w:type="dxa" w:w="2880"/>
          </w:tcPr>
          <w:p>
            <w:r>
              <w:rPr>
                <w:sz w:val="20"/>
              </w:rPr>
              <w:t>Agenda</w:t>
            </w:r>
          </w:p>
        </w:tc>
        <w:tc>
          <w:tcPr>
            <w:tcW w:type="dxa" w:w="2880"/>
          </w:tcPr>
          <w:p>
            <w:r>
              <w:rPr>
                <w:sz w:val="20"/>
              </w:rPr>
              <w:t>RDV personnels (pour mes chevaux)</w:t>
            </w:r>
          </w:p>
        </w:tc>
        <w:tc>
          <w:tcPr>
            <w:tcW w:type="dxa" w:w="2880"/>
          </w:tcPr>
          <w:p>
            <w:r>
              <w:rPr>
                <w:sz w:val="20"/>
              </w:rPr>
              <w:t>RDV professionnels (consultations)</w:t>
            </w:r>
          </w:p>
        </w:tc>
      </w:tr>
      <w:tr>
        <w:tc>
          <w:tcPr>
            <w:tcW w:type="dxa" w:w="2880"/>
          </w:tcPr>
          <w:p>
            <w:r>
              <w:rPr>
                <w:sz w:val="20"/>
              </w:rPr>
              <w:t>Répertoire</w:t>
            </w:r>
          </w:p>
        </w:tc>
        <w:tc>
          <w:tcPr>
            <w:tcW w:type="dxa" w:w="2880"/>
          </w:tcPr>
          <w:p>
            <w:r>
              <w:rPr>
                <w:sz w:val="20"/>
              </w:rPr>
              <w:t>Non affiché</w:t>
            </w:r>
          </w:p>
        </w:tc>
        <w:tc>
          <w:tcPr>
            <w:tcW w:type="dxa" w:w="2880"/>
          </w:tcPr>
          <w:p>
            <w:r>
              <w:rPr>
                <w:sz w:val="20"/>
              </w:rPr>
              <w:t>Mes contacts PRO</w:t>
            </w:r>
          </w:p>
        </w:tc>
      </w:tr>
    </w:tbl>
    <w:p/>
    <w:p>
      <w:pPr>
        <w:pStyle w:val="Heading2"/>
      </w:pPr>
      <w:r>
        <w:t>4d. Choix "les deux" à l'inscription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Étape</w:t>
            </w:r>
          </w:p>
        </w:tc>
        <w:tc>
          <w:tcPr>
            <w:tcW w:type="dxa" w:w="2880"/>
          </w:tcPr>
          <w:p>
            <w:r>
              <w:rPr>
                <w:b/>
                <w:sz w:val="20"/>
              </w:rPr>
              <w:t>Description</w:t>
            </w:r>
          </w:p>
        </w:tc>
        <w:tc>
          <w:tcPr>
            <w:tcW w:type="dxa" w:w="2880"/>
          </w:tcPr>
          <w:p>
            <w:r>
              <w:rPr>
                <w:b/>
                <w:sz w:val="20"/>
              </w:rPr>
              <w:t>Source</w:t>
            </w:r>
          </w:p>
        </w:tc>
      </w:tr>
      <w:tr>
        <w:tc>
          <w:tcPr>
            <w:tcW w:type="dxa" w:w="2880"/>
          </w:tcPr>
          <w:p>
            <w:r>
              <w:rPr>
                <w:sz w:val="20"/>
              </w:rPr>
              <w:t>Option supplémentaire au formulaire</w:t>
            </w:r>
          </w:p>
        </w:tc>
        <w:tc>
          <w:tcPr>
            <w:tcW w:type="dxa" w:w="2880"/>
          </w:tcPr>
          <w:p>
            <w:r>
              <w:rPr>
                <w:sz w:val="20"/>
              </w:rPr>
              <w:t>Ajouter un choix "Particulier et Professionnel"</w:t>
            </w:r>
          </w:p>
        </w:tc>
        <w:tc>
          <w:tcPr>
            <w:tcW w:type="dxa" w:w="2880"/>
          </w:tcPr>
          <w:p>
            <w:r>
              <w:rPr>
                <w:sz w:val="20"/>
              </w:rPr>
              <w:t>T01</w:t>
            </w:r>
          </w:p>
        </w:tc>
      </w:tr>
      <w:tr>
        <w:tc>
          <w:tcPr>
            <w:tcW w:type="dxa" w:w="2880"/>
          </w:tcPr>
          <w:p>
            <w:r>
              <w:rPr>
                <w:sz w:val="20"/>
              </w:rPr>
              <w:t>Résultat</w:t>
            </w:r>
          </w:p>
        </w:tc>
        <w:tc>
          <w:tcPr>
            <w:tcW w:type="dxa" w:w="2880"/>
          </w:tcPr>
          <w:p>
            <w:r>
              <w:rPr>
                <w:sz w:val="20"/>
              </w:rPr>
              <w:t>accountType = BOTH, roles = [ROLE_USER, ROLE_PRO]</w:t>
            </w:r>
          </w:p>
        </w:tc>
        <w:tc>
          <w:tcPr>
            <w:tcW w:type="dxa" w:w="2880"/>
          </w:tcPr>
          <w:p>
            <w:r>
              <w:rPr>
                <w:sz w:val="20"/>
              </w:rPr>
              <w:t>T01</w:t>
            </w:r>
          </w:p>
        </w:tc>
      </w:tr>
      <w:tr>
        <w:tc>
          <w:tcPr>
            <w:tcW w:type="dxa" w:w="2880"/>
          </w:tcPr>
          <w:p>
            <w:r>
              <w:rPr>
                <w:sz w:val="20"/>
              </w:rPr>
              <w:t>Redirection</w:t>
            </w:r>
          </w:p>
        </w:tc>
        <w:tc>
          <w:tcPr>
            <w:tcW w:type="dxa" w:w="2880"/>
          </w:tcPr>
          <w:p>
            <w:r>
              <w:rPr>
                <w:sz w:val="20"/>
              </w:rPr>
              <w:t>Vers un formulaire de paramétrage PRO (métier, spécialité)</w:t>
            </w:r>
          </w:p>
        </w:tc>
        <w:tc>
          <w:tcPr>
            <w:tcW w:type="dxa" w:w="2880"/>
          </w:tcPr>
          <w:p>
            <w:r>
              <w:rPr>
                <w:sz w:val="20"/>
              </w:rPr>
              <w:t>Page 16</w:t>
            </w:r>
          </w:p>
        </w:tc>
      </w:tr>
    </w:tbl>
    <w:p/>
    <w:p>
      <w:pPr>
        <w:pStyle w:val="Heading2"/>
      </w:pPr>
      <w:r>
        <w:t>4e. Upgrade particulier → PRO (après inscription)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Étape</w:t>
            </w:r>
          </w:p>
        </w:tc>
        <w:tc>
          <w:tcPr>
            <w:tcW w:type="dxa" w:w="2880"/>
          </w:tcPr>
          <w:p>
            <w:r>
              <w:rPr>
                <w:b/>
                <w:sz w:val="20"/>
              </w:rPr>
              <w:t>Description</w:t>
            </w:r>
          </w:p>
        </w:tc>
        <w:tc>
          <w:tcPr>
            <w:tcW w:type="dxa" w:w="2880"/>
          </w:tcPr>
          <w:p>
            <w:r>
              <w:rPr>
                <w:b/>
                <w:sz w:val="20"/>
              </w:rPr>
              <w:t>Source</w:t>
            </w:r>
          </w:p>
        </w:tc>
      </w:tr>
      <w:tr>
        <w:tc>
          <w:tcPr>
            <w:tcW w:type="dxa" w:w="2880"/>
          </w:tcPr>
          <w:p>
            <w:r>
              <w:rPr>
                <w:sz w:val="20"/>
              </w:rPr>
              <w:t>Bouton "Devenir professionnel"</w:t>
            </w:r>
          </w:p>
        </w:tc>
        <w:tc>
          <w:tcPr>
            <w:tcW w:type="dxa" w:w="2880"/>
          </w:tcPr>
          <w:p>
            <w:r>
              <w:rPr>
                <w:sz w:val="20"/>
              </w:rPr>
              <w:t>Visible dans le profil si !hasProSpace()</w:t>
            </w:r>
          </w:p>
        </w:tc>
        <w:tc>
          <w:tcPr>
            <w:tcW w:type="dxa" w:w="2880"/>
          </w:tcPr>
          <w:p>
            <w:r>
              <w:rPr>
                <w:sz w:val="20"/>
              </w:rPr>
              <w:t>Page 3</w:t>
            </w:r>
          </w:p>
        </w:tc>
      </w:tr>
      <w:tr>
        <w:tc>
          <w:tcPr>
            <w:tcW w:type="dxa" w:w="2880"/>
          </w:tcPr>
          <w:p>
            <w:r>
              <w:rPr>
                <w:sz w:val="20"/>
              </w:rPr>
              <w:t>Formulaire</w:t>
            </w:r>
          </w:p>
        </w:tc>
        <w:tc>
          <w:tcPr>
            <w:tcW w:type="dxa" w:w="2880"/>
          </w:tcPr>
          <w:p>
            <w:r>
              <w:rPr>
                <w:sz w:val="20"/>
              </w:rPr>
              <w:t>Métier, spécialité, numéro professionnel</w:t>
            </w:r>
          </w:p>
        </w:tc>
        <w:tc>
          <w:tcPr>
            <w:tcW w:type="dxa" w:w="2880"/>
          </w:tcPr>
          <w:p>
            <w:r>
              <w:rPr>
                <w:sz w:val="20"/>
              </w:rPr>
              <w:t>Page 16</w:t>
            </w:r>
          </w:p>
        </w:tc>
      </w:tr>
      <w:tr>
        <w:tc>
          <w:tcPr>
            <w:tcW w:type="dxa" w:w="2880"/>
          </w:tcPr>
          <w:p>
            <w:r>
              <w:rPr>
                <w:sz w:val="20"/>
              </w:rPr>
              <w:t>Activation</w:t>
            </w:r>
          </w:p>
        </w:tc>
        <w:tc>
          <w:tcPr>
            <w:tcW w:type="dxa" w:w="2880"/>
          </w:tcPr>
          <w:p>
            <w:r>
              <w:rPr>
                <w:sz w:val="20"/>
              </w:rPr>
              <w:t>enableProSpace() : ajoute ROLE_PRO, OWNER → BOTH</w:t>
            </w:r>
          </w:p>
        </w:tc>
        <w:tc>
          <w:tcPr>
            <w:tcW w:type="dxa" w:w="2880"/>
          </w:tcPr>
          <w:p>
            <w:r>
              <w:rPr>
                <w:sz w:val="20"/>
              </w:rPr>
              <w:t>Code existant</w:t>
            </w:r>
          </w:p>
        </w:tc>
      </w:tr>
      <w:tr>
        <w:tc>
          <w:tcPr>
            <w:tcW w:type="dxa" w:w="2880"/>
          </w:tcPr>
          <w:p>
            <w:r>
              <w:rPr>
                <w:sz w:val="20"/>
              </w:rPr>
              <w:t>Résultat</w:t>
            </w:r>
          </w:p>
        </w:tc>
        <w:tc>
          <w:tcPr>
            <w:tcW w:type="dxa" w:w="2880"/>
          </w:tcPr>
          <w:p>
            <w:r>
              <w:rPr>
                <w:sz w:val="20"/>
              </w:rPr>
              <w:t>L'utilisateur voit le switch d'espace dans le header</w:t>
            </w:r>
          </w:p>
        </w:tc>
        <w:tc>
          <w:tcPr>
            <w:tcW w:type="dxa" w:w="2880"/>
          </w:tcPr>
          <w:p>
            <w:r>
              <w:rPr>
                <w:sz w:val="20"/>
              </w:rPr>
              <w:t>Page 3</w:t>
            </w:r>
          </w:p>
        </w:tc>
      </w:tr>
    </w:tbl>
    <w:p/>
    <w:p>
      <w:pPr>
        <w:pStyle w:val="Heading1"/>
      </w:pPr>
      <w:r>
        <w:t>5. Impact sur le transfert de principal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Situation</w:t>
            </w:r>
          </w:p>
        </w:tc>
        <w:tc>
          <w:tcPr>
            <w:tcW w:type="dxa" w:w="2880"/>
          </w:tcPr>
          <w:p>
            <w:r>
              <w:rPr>
                <w:b/>
                <w:sz w:val="20"/>
              </w:rPr>
              <w:t>Comportement</w:t>
            </w:r>
          </w:p>
        </w:tc>
        <w:tc>
          <w:tcPr>
            <w:tcW w:type="dxa" w:w="2880"/>
          </w:tcPr>
          <w:p>
            <w:r>
              <w:rPr>
                <w:b/>
                <w:sz w:val="20"/>
              </w:rPr>
              <w:t>Source</w:t>
            </w:r>
          </w:p>
        </w:tc>
      </w:tr>
      <w:tr>
        <w:tc>
          <w:tcPr>
            <w:tcW w:type="dxa" w:w="2880"/>
          </w:tcPr>
          <w:p>
            <w:r>
              <w:rPr>
                <w:sz w:val="20"/>
              </w:rPr>
              <w:t>Un particulier est principal de son cheval</w:t>
            </w:r>
          </w:p>
        </w:tc>
        <w:tc>
          <w:tcPr>
            <w:tcW w:type="dxa" w:w="2880"/>
          </w:tcPr>
          <w:p>
            <w:r>
              <w:rPr>
                <w:sz w:val="20"/>
              </w:rPr>
              <w:t>Il peut proposer un transfert depuis son espace particulier</w:t>
            </w:r>
          </w:p>
        </w:tc>
        <w:tc>
          <w:tcPr>
            <w:tcW w:type="dxa" w:w="2880"/>
          </w:tcPr>
          <w:p>
            <w:r>
              <w:rPr>
                <w:sz w:val="20"/>
              </w:rPr>
              <w:t>Page 8</w:t>
            </w:r>
          </w:p>
        </w:tc>
      </w:tr>
      <w:tr>
        <w:tc>
          <w:tcPr>
            <w:tcW w:type="dxa" w:w="2880"/>
          </w:tcPr>
          <w:p>
            <w:r>
              <w:rPr>
                <w:sz w:val="20"/>
              </w:rPr>
              <w:t>Un PRO dans son espace professionnel</w:t>
            </w:r>
          </w:p>
        </w:tc>
        <w:tc>
          <w:tcPr>
            <w:tcW w:type="dxa" w:w="2880"/>
          </w:tcPr>
          <w:p>
            <w:r>
              <w:rPr>
                <w:sz w:val="20"/>
              </w:rPr>
              <w:t>Peut proposer un nouveau principal, mais ne l'impose pas</w:t>
            </w:r>
          </w:p>
        </w:tc>
        <w:tc>
          <w:tcPr>
            <w:tcW w:type="dxa" w:w="2880"/>
          </w:tcPr>
          <w:p>
            <w:r>
              <w:rPr>
                <w:sz w:val="20"/>
              </w:rPr>
              <w:t>Page 8, T16</w:t>
            </w:r>
          </w:p>
        </w:tc>
      </w:tr>
      <w:tr>
        <w:tc>
          <w:tcPr>
            <w:tcW w:type="dxa" w:w="2880"/>
          </w:tcPr>
          <w:p>
            <w:r>
              <w:rPr>
                <w:sz w:val="20"/>
              </w:rPr>
              <w:t>Le destinataire est particulier ou PRO</w:t>
            </w:r>
          </w:p>
        </w:tc>
        <w:tc>
          <w:tcPr>
            <w:tcW w:type="dxa" w:w="2880"/>
          </w:tcPr>
          <w:p>
            <w:r>
              <w:rPr>
                <w:sz w:val="20"/>
              </w:rPr>
              <w:t>L'invitation arrive dans 'Mes invitations' quel que soit l'espace</w:t>
            </w:r>
          </w:p>
        </w:tc>
        <w:tc>
          <w:tcPr>
            <w:tcW w:type="dxa" w:w="2880"/>
          </w:tcPr>
          <w:p>
            <w:r>
              <w:rPr>
                <w:sz w:val="20"/>
              </w:rPr>
              <w:t>Page 12</w:t>
            </w:r>
          </w:p>
        </w:tc>
      </w:tr>
    </w:tbl>
    <w:p/>
    <w:p>
      <w:r>
        <w:t>Le voter AnimalVoter::isPrincipalReferent() est déjà agnostique de l'espace — il vérifie le rôle via AnimalReferent, pas le accountType. C'est conforme : "Les droits dépendent du rôle auprès du cheval, pas du statut" (Page 4, règle 3).</w:t>
      </w:r>
    </w:p>
    <w:p>
      <w:pPr>
        <w:pStyle w:val="Heading1"/>
      </w:pPr>
      <w:r>
        <w:t>6. Ordre d'implémentation recommandé</w:t>
      </w:r>
    </w:p>
    <w:p>
      <w:r>
        <w:t>1. Route /switch-space + persistence activeSpace en BDD</w:t>
      </w:r>
    </w:p>
    <w:p>
      <w:r>
        <w:t>2. Bouton switch dans le header (visible si hasBothSpaces())</w:t>
      </w:r>
    </w:p>
    <w:p>
      <w:r>
        <w:t>3. Menu conditionnel selon isInProSpace()</w:t>
      </w:r>
    </w:p>
    <w:p>
      <w:r>
        <w:t>4. Filtrage des listes (chevaux, consultations, agenda) selon l'espace</w:t>
      </w:r>
    </w:p>
    <w:p>
      <w:r>
        <w:t>5. Choix "les deux" à l'inscription (T01)</w:t>
      </w:r>
    </w:p>
    <w:p>
      <w:r>
        <w:t>6. Upgrade particulier → PRO (formulaire dans le profil)</w:t>
      </w:r>
    </w:p>
    <w:p>
      <w:r>
        <w:t>7. Transfert de principal (qui utilise isInProSpace() pour adapter l'UI)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4D4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4D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4D4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