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LAWFECTA  /  DELA DEVELOPMENT SERIES</w:t>
      </w:r>
    </w:p>
    <w:p>
      <w:pPr>
        <w:pStyle w:val="Title"/>
      </w:pPr>
      <w:r>
        <w:t>Phase 1C | Community</w:t>
        <w:br/>
        <w:t>&amp; Playbook Marketplace</w:t>
      </w:r>
    </w:p>
    <w:p>
      <w:pPr>
        <w:pStyle w:val="Subtitle"/>
      </w:pPr>
      <w:r>
        <w:t>Publishing, licensing, creator commerce, quality controls and contribution economics</w:t>
      </w:r>
    </w:p>
    <w:p>
      <w:pPr>
        <w:spacing w:before="80" w:after="180"/>
        <w:shd w:fill="F7ECE7"/>
      </w:pPr>
      <w:r>
        <w:rPr>
          <w:b w:val="0"/>
        </w:rPr>
      </w:r>
      <w:r>
        <w:rPr>
          <w:b/>
        </w:rPr>
        <w:t>Control status</w:t>
      </w:r>
      <w:r>
        <w:rPr>
          <w:b w:val="0"/>
        </w:rPr>
        <w:t xml:space="preserve">  Specification v1.0. Product decisions are preserved; new engineering defaults and numeric gates are proposals. Documentation does not authorize code, configuration changes, production data access, charges or deployment.</w:t>
      </w:r>
    </w:p>
    <w:p>
      <w:pPr>
        <w:pStyle w:val="Heading1"/>
      </w:pPr>
      <w:r>
        <w:t>1. Marketplace objective and launch boundary</w:t>
      </w:r>
    </w:p>
    <w:p>
      <w:r>
        <w:rPr>
          <w:b w:val="0"/>
        </w:rPr>
        <w:t>Enable verified attorneys and freelancers to publish reusable nonconfidential playbooks, share selected resources with the community and sell licensed copies. Buyers can adapt a purchased playbook privately and hire qualified Lawfecta talent to implement it. The marketplace is a new product line, not an assumed low-effort revenue stream.</w:t>
      </w:r>
    </w:p>
    <w:p>
      <w:pPr>
        <w:pStyle w:val="ListBullet"/>
      </w:pPr>
      <w:r>
        <w:rPr>
          <w:b w:val="0"/>
        </w:rPr>
        <w:t>C: Private first; creator deliberately submits a separate public listing. Community free resources and paid products are distinct from internal firm sharing.</w:t>
      </w:r>
    </w:p>
    <w:p>
      <w:pPr>
        <w:pStyle w:val="ListBullet"/>
      </w:pPr>
      <w:r>
        <w:rPr>
          <w:b w:val="0"/>
        </w:rPr>
        <w:t>C: Verified attorneys/freelancers may sell; chosen launch commission is 15% with sellers covering applicable processing charges. Contract/tax/account configuration still require validation.</w:t>
      </w:r>
    </w:p>
    <w:p>
      <w:pPr>
        <w:pStyle w:val="ListBullet"/>
      </w:pPr>
      <w:r>
        <w:rPr>
          <w:b w:val="0"/>
        </w:rPr>
        <w:t>C: Buyer license permits internal use and customization, not resale. Exact seat, organization, client-use and contractor-access limits remain O.</w:t>
      </w:r>
    </w:p>
    <w:p>
      <w:pPr>
        <w:pStyle w:val="ListBullet"/>
      </w:pPr>
      <w:r>
        <w:rPr>
          <w:b w:val="0"/>
        </w:rPr>
        <w:t>C: AI screening plus selective human review. Screening does not certify legal compliance, ownership, confidentiality or fitness for a jurisdiction.</w:t>
      </w:r>
    </w:p>
    <w:p>
      <w:pPr>
        <w:pStyle w:val="ListBullet"/>
      </w:pPr>
      <w:r>
        <w:rPr>
          <w:b w:val="0"/>
        </w:rPr>
        <w:t>Dependency: Phase 1A artifact versions, licenses/entitlements, identity, finance ledger, moderation/risk, evidence and private libraries. Phase 1B capture improves creation but is not required for every seller.</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5112"/>
            <w:vAlign w:val="center"/>
            <w:tcMar>
              <w:top w:w="90" w:type="dxa"/>
              <w:bottom w:w="90" w:type="dxa"/>
              <w:left w:w="110" w:type="dxa"/>
              <w:right w:w="110" w:type="dxa"/>
            </w:tcMar>
            <w:shd w:fill="8B1F3F"/>
          </w:tcPr>
          <w:p>
            <w:pPr>
              <w:spacing w:after="20" w:line="245" w:lineRule="auto"/>
            </w:pPr>
            <w:r>
              <w:rPr>
                <w:b/>
                <w:color w:val="FFFFFF"/>
                <w:sz w:val="18"/>
              </w:rPr>
              <w:t>Minimum paid-marketplace scope</w:t>
            </w:r>
          </w:p>
        </w:tc>
        <w:tc>
          <w:tcPr>
            <w:tcW w:type="dxa" w:w="5112"/>
            <w:vAlign w:val="center"/>
            <w:tcMar>
              <w:top w:w="90" w:type="dxa"/>
              <w:bottom w:w="90" w:type="dxa"/>
              <w:left w:w="110" w:type="dxa"/>
              <w:right w:w="110" w:type="dxa"/>
            </w:tcMar>
            <w:shd w:fill="8B1F3F"/>
          </w:tcPr>
          <w:p>
            <w:pPr>
              <w:spacing w:after="20" w:line="245" w:lineRule="auto"/>
            </w:pPr>
            <w:r>
              <w:rPr>
                <w:b/>
                <w:color w:val="FFFFFF"/>
                <w:sz w:val="18"/>
              </w:rPr>
              <w:t>Later only</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Listing drafts, preview, metadata and approval</w:t>
            </w:r>
          </w:p>
        </w:tc>
        <w:tc>
          <w:tcPr>
            <w:tcW w:type="dxa" w:w="5112"/>
            <w:vAlign w:val="center"/>
            <w:tcMar>
              <w:top w:w="90" w:type="dxa"/>
              <w:bottom w:w="90" w:type="dxa"/>
              <w:left w:w="110" w:type="dxa"/>
              <w:right w:w="110" w:type="dxa"/>
            </w:tcMar>
          </w:tcPr>
          <w:p>
            <w:pPr>
              <w:spacing w:after="20" w:line="245" w:lineRule="auto"/>
            </w:pPr>
            <w:r>
              <w:rPr>
                <w:b w:val="0"/>
                <w:sz w:val="18"/>
              </w:rPr>
              <w:t>Open unreviewed publishing or executable agent/code packages</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Single-seller checkout and license grant</w:t>
            </w:r>
          </w:p>
        </w:tc>
        <w:tc>
          <w:tcPr>
            <w:tcW w:type="dxa" w:w="5112"/>
            <w:vAlign w:val="center"/>
            <w:tcMar>
              <w:top w:w="90" w:type="dxa"/>
              <w:bottom w:w="90" w:type="dxa"/>
              <w:left w:w="110" w:type="dxa"/>
              <w:right w:w="110" w:type="dxa"/>
            </w:tcMar>
          </w:tcPr>
          <w:p>
            <w:pPr>
              <w:spacing w:after="20" w:line="245" w:lineRule="auto"/>
            </w:pPr>
            <w:r>
              <w:rPr>
                <w:b w:val="0"/>
                <w:sz w:val="18"/>
              </w:rPr>
              <w:t>Cross-seller bundles, affiliate commissions and complex revenue splits</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Buyer private copy/customization</w:t>
            </w:r>
          </w:p>
        </w:tc>
        <w:tc>
          <w:tcPr>
            <w:tcW w:type="dxa" w:w="5112"/>
            <w:vAlign w:val="center"/>
            <w:tcMar>
              <w:top w:w="90" w:type="dxa"/>
              <w:bottom w:w="90" w:type="dxa"/>
              <w:left w:w="110" w:type="dxa"/>
              <w:right w:w="110" w:type="dxa"/>
            </w:tcMar>
          </w:tcPr>
          <w:p>
            <w:pPr>
              <w:spacing w:after="20" w:line="245" w:lineRule="auto"/>
            </w:pPr>
            <w:r>
              <w:rPr>
                <w:b w:val="0"/>
                <w:sz w:val="18"/>
              </w:rPr>
              <w:t>Public resale of derivatives or unrestricted external sharing</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Seller onboarding, payout status and refunds</w:t>
            </w:r>
          </w:p>
        </w:tc>
        <w:tc>
          <w:tcPr>
            <w:tcW w:type="dxa" w:w="5112"/>
            <w:vAlign w:val="center"/>
            <w:tcMar>
              <w:top w:w="90" w:type="dxa"/>
              <w:bottom w:w="90" w:type="dxa"/>
              <w:left w:w="110" w:type="dxa"/>
              <w:right w:w="110" w:type="dxa"/>
            </w:tcMar>
          </w:tcPr>
          <w:p>
            <w:pPr>
              <w:spacing w:after="20" w:line="245" w:lineRule="auto"/>
            </w:pPr>
            <w:r>
              <w:rPr>
                <w:b w:val="0"/>
                <w:sz w:val="18"/>
              </w:rPr>
              <w:t>Guaranteed payout or platform-funded protection</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Basic community/product reviews</w:t>
            </w:r>
          </w:p>
        </w:tc>
        <w:tc>
          <w:tcPr>
            <w:tcW w:type="dxa" w:w="5112"/>
            <w:vAlign w:val="center"/>
            <w:tcMar>
              <w:top w:w="90" w:type="dxa"/>
              <w:bottom w:w="90" w:type="dxa"/>
              <w:left w:w="110" w:type="dxa"/>
              <w:right w:w="110" w:type="dxa"/>
            </w:tcMar>
          </w:tcPr>
          <w:p>
            <w:pPr>
              <w:spacing w:after="20" w:line="245" w:lineRule="auto"/>
            </w:pPr>
            <w:r>
              <w:rPr>
                <w:b w:val="0"/>
                <w:sz w:val="18"/>
              </w:rPr>
              <w:t>Opaque ranking based on sales volume or paid priority</w:t>
            </w:r>
          </w:p>
        </w:tc>
      </w:tr>
    </w:tbl>
    <w:p>
      <w:pPr>
        <w:spacing w:after="20"/>
      </w:pPr>
    </w:p>
    <w:p>
      <w:r>
        <w:rPr>
          <w:b w:val="0"/>
        </w:rPr>
      </w:r>
      <w:r>
        <w:rPr>
          <w:b/>
        </w:rPr>
        <w:t>Product hypothesis:</w:t>
      </w:r>
      <w:r>
        <w:rPr>
          <w:b w:val="0"/>
        </w:rPr>
        <w:t xml:space="preserve"> Useful reusable process knowledge reduces setup time and produces either profitable product sales, retained membership or implementation engagements. Validate each outcome separately; listing count alone is not product-market fit.</w:t>
      </w:r>
    </w:p>
    <w:p>
      <w:r>
        <w:br w:type="page"/>
      </w:r>
    </w:p>
    <w:p>
      <w:pPr>
        <w:pStyle w:val="Heading1"/>
      </w:pPr>
      <w:r>
        <w:t>2. Creator and buyer workflows</w:t>
      </w:r>
    </w:p>
    <w:p>
      <w:pPr>
        <w:pStyle w:val="Heading2"/>
      </w:pPr>
      <w:r>
        <w:t>Creator</w:t>
      </w:r>
    </w:p>
    <w:p>
      <w:pPr>
        <w:pStyle w:val="ListBullet"/>
      </w:pPr>
      <w:r>
        <w:rPr>
          <w:b w:val="0"/>
        </w:rPr>
        <w:t>Choose a private playbook version. Confirm author/owner and whether employer/client/vendor rights permit publication. A freelancer cannot publish a firm-owned process just because DELA created it.</w:t>
      </w:r>
    </w:p>
    <w:p>
      <w:pPr>
        <w:pStyle w:val="ListBullet"/>
      </w:pPr>
      <w:r>
        <w:rPr>
          <w:b w:val="0"/>
        </w:rPr>
        <w:t>Create a distinct publication candidate; remove client identifiers, comments, metadata, hidden text, screenshots and live account links. Do not publish the source private object.</w:t>
      </w:r>
    </w:p>
    <w:p>
      <w:pPr>
        <w:pStyle w:val="ListBullet"/>
      </w:pPr>
      <w:r>
        <w:rPr>
          <w:b w:val="0"/>
        </w:rPr>
        <w:t>Enter purpose, prerequisites, intended user, practice/jurisdiction applicability, supported tool/version, included outputs, exclusions, revision/update policy and support promise.</w:t>
      </w:r>
    </w:p>
    <w:p>
      <w:pPr>
        <w:pStyle w:val="ListBullet"/>
      </w:pPr>
      <w:r>
        <w:rPr>
          <w:b w:val="0"/>
        </w:rPr>
        <w:t>Choose free or paid, price, license scope and permitted previews; show seller net estimate and deductions before submission.</w:t>
      </w:r>
    </w:p>
    <w:p>
      <w:pPr>
        <w:pStyle w:val="ListBullet"/>
      </w:pPr>
      <w:r>
        <w:rPr>
          <w:b w:val="0"/>
        </w:rPr>
        <w:t>Run automated structural/security/sensitivity checks and risk-based human review; return specific correction reasons. Approval creates an immutable published version.</w:t>
      </w:r>
    </w:p>
    <w:p>
      <w:pPr>
        <w:pStyle w:val="ListBullet"/>
      </w:pPr>
      <w:r>
        <w:rPr>
          <w:b w:val="0"/>
        </w:rPr>
        <w:t>Track views, purchases, use, refund reasons, support effort and resulting service inquiries. Update through a new reviewed version, never by silently changing a buyer's licensed copy.</w:t>
      </w:r>
    </w:p>
    <w:p>
      <w:pPr>
        <w:pStyle w:val="Heading2"/>
      </w:pPr>
      <w:r>
        <w:t>Buyer</w:t>
      </w:r>
    </w:p>
    <w:p>
      <w:pPr>
        <w:pStyle w:val="ListBullet"/>
      </w:pPr>
      <w:r>
        <w:rPr>
          <w:b w:val="0"/>
        </w:rPr>
        <w:t>See a meaningful preview, requirements, creator identity, version/date, scope, limitations and price before checkout. An invitation to implement is optional, not a condition of purchase.</w:t>
      </w:r>
    </w:p>
    <w:p>
      <w:pPr>
        <w:pStyle w:val="ListBullet"/>
      </w:pPr>
      <w:r>
        <w:rPr>
          <w:b w:val="0"/>
        </w:rPr>
        <w:t>Buy/claim -&gt; verified payment/license event -&gt; copy into an authorized private workspace. AI customization consumes the buyer's own allowed resources and preserves license restrictions.</w:t>
      </w:r>
    </w:p>
    <w:p>
      <w:pPr>
        <w:pStyle w:val="ListBullet"/>
      </w:pPr>
      <w:r>
        <w:rPr>
          <w:b w:val="0"/>
        </w:rPr>
        <w:t>Activate as a private workflow or generate an implementation brief. Share with invited contractors only under the license and explicit workspace permissions.</w:t>
      </w:r>
    </w:p>
    <w:p>
      <w:pPr>
        <w:pStyle w:val="ListBullet"/>
      </w:pPr>
      <w:r>
        <w:rPr>
          <w:b w:val="0"/>
        </w:rPr>
        <w:t>Review the product after qualifying use/purchase. Product feedback is separate from freelancer engagement reputation. Report confidentiality, copyright or security issues through a dedicated route.</w:t>
      </w:r>
    </w:p>
    <w:p>
      <w:pPr>
        <w:spacing w:before="80" w:after="180"/>
        <w:shd w:fill="F7ECE7"/>
      </w:pPr>
      <w:r>
        <w:rPr>
          <w:b w:val="0"/>
        </w:rPr>
      </w:r>
      <w:r>
        <w:rPr>
          <w:b/>
        </w:rPr>
        <w:t>Preview boundary</w:t>
      </w:r>
      <w:r>
        <w:rPr>
          <w:b w:val="0"/>
        </w:rPr>
        <w:t xml:space="preserve">  The full-view rule for an attorney's own DELA-generated plan does not automatically expose another creator's paid listing. Define paid-listing preview rights explicitly. Free AI cannot retrieve locked seller content and reproduce it for nonbuyers.</w:t>
      </w:r>
    </w:p>
    <w:p>
      <w:r>
        <w:br w:type="page"/>
      </w:r>
    </w:p>
    <w:p>
      <w:pPr>
        <w:pStyle w:val="Heading1"/>
      </w:pPr>
      <w:r>
        <w:t>3. Product data, rights and entitlements</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Mar>
              <w:top w:w="90" w:type="dxa"/>
              <w:bottom w:w="90" w:type="dxa"/>
              <w:left w:w="110" w:type="dxa"/>
              <w:right w:w="110" w:type="dxa"/>
            </w:tcMar>
            <w:shd w:fill="8B1F3F"/>
          </w:tcPr>
          <w:p>
            <w:pPr>
              <w:spacing w:after="20" w:line="245" w:lineRule="auto"/>
            </w:pPr>
            <w:r>
              <w:rPr>
                <w:b/>
                <w:color w:val="FFFFFF"/>
                <w:sz w:val="18"/>
              </w:rPr>
              <w:t>Object</w:t>
            </w:r>
          </w:p>
        </w:tc>
        <w:tc>
          <w:tcPr>
            <w:tcW w:type="dxa" w:w="7992"/>
            <w:vAlign w:val="center"/>
            <w:tcMar>
              <w:top w:w="90" w:type="dxa"/>
              <w:bottom w:w="90" w:type="dxa"/>
              <w:left w:w="110" w:type="dxa"/>
              <w:right w:w="110" w:type="dxa"/>
            </w:tcMar>
            <w:shd w:fill="8B1F3F"/>
          </w:tcPr>
          <w:p>
            <w:pPr>
              <w:spacing w:after="20" w:line="245" w:lineRule="auto"/>
            </w:pPr>
            <w:r>
              <w:rPr>
                <w:b/>
                <w:color w:val="FFFFFF"/>
                <w:sz w:val="18"/>
              </w:rPr>
              <w:t>Essential contract</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publication candidate</w:t>
            </w:r>
          </w:p>
        </w:tc>
        <w:tc>
          <w:tcPr>
            <w:tcW w:type="dxa" w:w="7992"/>
            <w:vAlign w:val="center"/>
            <w:tcMar>
              <w:top w:w="90" w:type="dxa"/>
              <w:bottom w:w="90" w:type="dxa"/>
              <w:left w:w="110" w:type="dxa"/>
              <w:right w:w="110" w:type="dxa"/>
            </w:tcMar>
          </w:tcPr>
          <w:p>
            <w:pPr>
              <w:spacing w:after="20" w:line="245" w:lineRule="auto"/>
            </w:pPr>
            <w:r>
              <w:rPr>
                <w:b w:val="0"/>
                <w:sz w:val="18"/>
              </w:rPr>
              <w:t>source version reference, publisher ownership, redaction evidence, rights attestation, screening/reviewer state and restrictions.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listing / version</w:t>
            </w:r>
          </w:p>
        </w:tc>
        <w:tc>
          <w:tcPr>
            <w:tcW w:type="dxa" w:w="7992"/>
            <w:vAlign w:val="center"/>
            <w:tcMar>
              <w:top w:w="90" w:type="dxa"/>
              <w:bottom w:w="90" w:type="dxa"/>
              <w:left w:w="110" w:type="dxa"/>
              <w:right w:w="110" w:type="dxa"/>
            </w:tcMar>
          </w:tcPr>
          <w:p>
            <w:pPr>
              <w:spacing w:after="20" w:line="245" w:lineRule="auto"/>
            </w:pPr>
            <w:r>
              <w:rPr>
                <w:b w:val="0"/>
                <w:sz w:val="18"/>
              </w:rPr>
              <w:t>immutable version, category, price/currency, seller/legal entity, license version, jurisdiction/tool applicability, preview assets and publish status.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order / payment</w:t>
            </w:r>
          </w:p>
        </w:tc>
        <w:tc>
          <w:tcPr>
            <w:tcW w:type="dxa" w:w="7992"/>
            <w:vAlign w:val="center"/>
            <w:tcMar>
              <w:top w:w="90" w:type="dxa"/>
              <w:bottom w:w="90" w:type="dxa"/>
              <w:left w:w="110" w:type="dxa"/>
              <w:right w:w="110" w:type="dxa"/>
            </w:tcMar>
          </w:tcPr>
          <w:p>
            <w:pPr>
              <w:spacing w:after="20" w:line="245" w:lineRule="auto"/>
            </w:pPr>
            <w:r>
              <w:rPr>
                <w:b w:val="0"/>
                <w:sz w:val="18"/>
              </w:rPr>
              <w:t>buyer workspace, seller connected account, product version, total/tax/commission/processing terms, provider reference and fulfillment state.</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license grant</w:t>
            </w:r>
          </w:p>
        </w:tc>
        <w:tc>
          <w:tcPr>
            <w:tcW w:type="dxa" w:w="7992"/>
            <w:vAlign w:val="center"/>
            <w:tcMar>
              <w:top w:w="90" w:type="dxa"/>
              <w:bottom w:w="90" w:type="dxa"/>
              <w:left w:w="110" w:type="dxa"/>
              <w:right w:w="110" w:type="dxa"/>
            </w:tcMar>
          </w:tcPr>
          <w:p>
            <w:pPr>
              <w:spacing w:after="20" w:line="245" w:lineRule="auto"/>
            </w:pPr>
            <w:r>
              <w:rPr>
                <w:b w:val="0"/>
                <w:sz w:val="18"/>
              </w:rPr>
              <w:t>permitted owner/workspace/seats, internal/contractor use, customization, no-resale, version/update rights, revocation/refund policy.</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derived copy</w:t>
            </w:r>
          </w:p>
        </w:tc>
        <w:tc>
          <w:tcPr>
            <w:tcW w:type="dxa" w:w="7992"/>
            <w:vAlign w:val="center"/>
            <w:tcMar>
              <w:top w:w="90" w:type="dxa"/>
              <w:bottom w:w="90" w:type="dxa"/>
              <w:left w:w="110" w:type="dxa"/>
              <w:right w:w="110" w:type="dxa"/>
            </w:tcMar>
          </w:tcPr>
          <w:p>
            <w:pPr>
              <w:spacing w:after="20" w:line="245" w:lineRule="auto"/>
            </w:pPr>
            <w:r>
              <w:rPr>
                <w:b w:val="0"/>
                <w:sz w:val="18"/>
              </w:rPr>
              <w:t>buyer-owned edits plus provenance/license chain; separation from seller master and original firm-private source.</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moderation / claim</w:t>
            </w:r>
          </w:p>
        </w:tc>
        <w:tc>
          <w:tcPr>
            <w:tcW w:type="dxa" w:w="7992"/>
            <w:vAlign w:val="center"/>
            <w:tcMar>
              <w:top w:w="90" w:type="dxa"/>
              <w:bottom w:w="90" w:type="dxa"/>
              <w:left w:w="110" w:type="dxa"/>
              <w:right w:w="110" w:type="dxa"/>
            </w:tcMar>
          </w:tcPr>
          <w:p>
            <w:pPr>
              <w:spacing w:after="20" w:line="245" w:lineRule="auto"/>
            </w:pPr>
            <w:r>
              <w:rPr>
                <w:b w:val="0"/>
                <w:sz w:val="18"/>
              </w:rPr>
              <w:t>reporter, evidence, reason, notice, response, decision, appeal and retained history.</w:t>
            </w:r>
          </w:p>
        </w:tc>
      </w:tr>
    </w:tbl>
    <w:p>
      <w:pPr>
        <w:spacing w:after="20"/>
      </w:pPr>
    </w:p>
    <w:p>
      <w:r>
        <w:rPr>
          <w:b w:val="0"/>
        </w:rPr>
      </w:r>
      <w:r>
        <w:rPr>
          <w:b/>
        </w:rPr>
        <w:t>States:</w:t>
      </w:r>
      <w:r>
        <w:rPr>
          <w:b w:val="0"/>
        </w:rPr>
        <w:t xml:space="preserve"> draft -&gt; submitted -&gt; screening -&gt; review_required / approved -&gt; published -&gt; suspended / retired. Orders: payment_pending -&gt; paid -&gt; license_granted -&gt; fulfilled -&gt; refund_or_dispute. License grant is idempotent and linked to authoritative payment evidence.</w:t>
      </w:r>
    </w:p>
    <w:p>
      <w:r>
        <w:rPr>
          <w:b w:val="0"/>
        </w:rPr>
      </w:r>
      <w:r>
        <w:rPr>
          <w:b/>
        </w:rPr>
        <w:t>Private-source isolation:</w:t>
      </w:r>
      <w:r>
        <w:rPr>
          <w:b w:val="0"/>
        </w:rPr>
        <w:t xml:space="preserve"> A public listing must have no live read path into the creator's workspace. Publish a sanitized copy and assets with separate ACLs. Delete/revoke a source without exposing it to buyers; maintain purchased license rights under the final legal policy.</w:t>
      </w:r>
    </w:p>
    <w:p>
      <w:r>
        <w:rPr>
          <w:b w:val="0"/>
        </w:rPr>
      </w:r>
      <w:r>
        <w:rPr>
          <w:b/>
        </w:rPr>
        <w:t>Updates:</w:t>
      </w:r>
      <w:r>
        <w:rPr>
          <w:b w:val="0"/>
        </w:rPr>
        <w:t xml:space="preserve"> Buyer sees available update and decides whether to merge. Do not overwrite their customized process or silently switch rules used in an active engagement. Record upstream version, local changes and upgrade conflict.</w:t>
      </w:r>
    </w:p>
    <w:p>
      <w:r>
        <w:rPr>
          <w:b w:val="0"/>
        </w:rPr>
      </w:r>
      <w:r>
        <w:rPr>
          <w:b/>
        </w:rPr>
        <w:t>Open rights decisions:</w:t>
      </w:r>
      <w:r>
        <w:rPr>
          <w:b w:val="0"/>
        </w:rPr>
        <w:t xml:space="preserve"> individual vs firm license; external contractor access for that firm; client-specific deliverable use; number of copies; update duration; seller retirement; refunds after download; what survives membership cancellation. Keep legally required records/data export separate from commercial use licenses.</w:t>
      </w:r>
    </w:p>
    <w:p>
      <w:r>
        <w:br w:type="page"/>
      </w:r>
    </w:p>
    <w:p>
      <w:pPr>
        <w:pStyle w:val="Heading1"/>
      </w:pPr>
      <w:r>
        <w:t>4. Payments, seller costs and taxes</w:t>
      </w:r>
    </w:p>
    <w:p>
      <w:r>
        <w:rPr>
          <w:b w:val="0"/>
        </w:rPr>
        <w:t>Playbook purchase is an ordinary digital-product sale, not a milestone engagement. Use a separate product/payment adapter and ledger category. Evaluate Stripe direct charges for seller-billed processing and an application fee, but confirm account fee payer, negative-balance liability, merchant responsibilities and compatibility with the engagement account architecture.</w:t>
      </w:r>
    </w:p>
    <w:p>
      <w:r>
        <w:rPr>
          <w:b w:val="0"/>
        </w:rPr>
        <w:t>Connect supports materially different fee/liability arrangements. Seller-paid processing is an economic agreement, not proof that Lawfecta has no provider costs or chargeback exposure. Obtain actual settings before committing a no-platform-fee assumption. [S08, S12]</w:t>
      </w:r>
    </w:p>
    <w:tbl>
      <w:tblPr>
        <w:tblW w:type="auto" w:w="0"/>
        <w:jc w:val="center"/>
        <w:tblLayout w:type="fixed"/>
        <w:tblLook w:firstColumn="1" w:firstRow="1" w:lastColumn="0" w:lastRow="0" w:noHBand="0" w:noVBand="1" w:val="04A0"/>
      </w:tblPr>
      <w:tblGrid>
        <w:gridCol w:w="2016"/>
        <w:gridCol w:w="2520"/>
        <w:gridCol w:w="3168"/>
        <w:gridCol w:w="2520"/>
      </w:tblGrid>
      <w:tr>
        <w:trPr>
          <w:tblHeader/>
          <w:cantSplit/>
        </w:trPr>
        <w:tc>
          <w:tcPr>
            <w:tcW w:type="dxa" w:w="2016"/>
            <w:vAlign w:val="center"/>
            <w:tcMar>
              <w:top w:w="90" w:type="dxa"/>
              <w:bottom w:w="90" w:type="dxa"/>
              <w:left w:w="110" w:type="dxa"/>
              <w:right w:w="110" w:type="dxa"/>
            </w:tcMar>
            <w:shd w:fill="8B1F3F"/>
          </w:tcPr>
          <w:p>
            <w:pPr>
              <w:spacing w:after="20" w:line="245" w:lineRule="auto"/>
            </w:pPr>
            <w:r>
              <w:rPr>
                <w:b/>
                <w:color w:val="FFFFFF"/>
                <w:sz w:val="18"/>
              </w:rPr>
              <w:t>Illustrative price</w:t>
            </w:r>
          </w:p>
        </w:tc>
        <w:tc>
          <w:tcPr>
            <w:tcW w:type="dxa" w:w="2520"/>
            <w:vAlign w:val="center"/>
            <w:tcMar>
              <w:top w:w="90" w:type="dxa"/>
              <w:bottom w:w="90" w:type="dxa"/>
              <w:left w:w="110" w:type="dxa"/>
              <w:right w:w="110" w:type="dxa"/>
            </w:tcMar>
            <w:shd w:fill="8B1F3F"/>
          </w:tcPr>
          <w:p>
            <w:pPr>
              <w:spacing w:after="20" w:line="245" w:lineRule="auto"/>
            </w:pPr>
            <w:r>
              <w:rPr>
                <w:b/>
                <w:color w:val="FFFFFF"/>
                <w:sz w:val="18"/>
              </w:rPr>
              <w:t>15% platform fee</w:t>
            </w:r>
          </w:p>
        </w:tc>
        <w:tc>
          <w:tcPr>
            <w:tcW w:type="dxa" w:w="3168"/>
            <w:vAlign w:val="center"/>
            <w:tcMar>
              <w:top w:w="90" w:type="dxa"/>
              <w:bottom w:w="90" w:type="dxa"/>
              <w:left w:w="110" w:type="dxa"/>
              <w:right w:w="110" w:type="dxa"/>
            </w:tcMar>
            <w:shd w:fill="8B1F3F"/>
          </w:tcPr>
          <w:p>
            <w:pPr>
              <w:spacing w:after="20" w:line="245" w:lineRule="auto"/>
            </w:pPr>
            <w:r>
              <w:rPr>
                <w:b/>
                <w:color w:val="FFFFFF"/>
                <w:sz w:val="18"/>
              </w:rPr>
              <w:t>2.9% + $0.30 card fee</w:t>
            </w:r>
          </w:p>
        </w:tc>
        <w:tc>
          <w:tcPr>
            <w:tcW w:type="dxa" w:w="2520"/>
            <w:vAlign w:val="center"/>
            <w:tcMar>
              <w:top w:w="90" w:type="dxa"/>
              <w:bottom w:w="90" w:type="dxa"/>
              <w:left w:w="110" w:type="dxa"/>
              <w:right w:w="110" w:type="dxa"/>
            </w:tcMar>
            <w:shd w:fill="8B1F3F"/>
          </w:tcPr>
          <w:p>
            <w:pPr>
              <w:spacing w:after="20" w:line="245" w:lineRule="auto"/>
            </w:pPr>
            <w:r>
              <w:rPr>
                <w:b/>
                <w:color w:val="FFFFFF"/>
                <w:sz w:val="18"/>
              </w:rPr>
              <w:t>Seller net</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$19</w:t>
            </w:r>
          </w:p>
        </w:tc>
        <w:tc>
          <w:tcPr>
            <w:tcW w:type="dxa" w:w="2520"/>
            <w:vAlign w:val="center"/>
            <w:tcMar>
              <w:top w:w="90" w:type="dxa"/>
              <w:bottom w:w="90" w:type="dxa"/>
              <w:left w:w="110" w:type="dxa"/>
              <w:right w:w="110" w:type="dxa"/>
            </w:tcMar>
          </w:tcPr>
          <w:p>
            <w:pPr>
              <w:spacing w:after="20" w:line="245" w:lineRule="auto"/>
            </w:pPr>
            <w:r>
              <w:rPr>
                <w:b w:val="0"/>
                <w:sz w:val="18"/>
              </w:rPr>
              <w:t>$2.85</w:t>
            </w:r>
          </w:p>
        </w:tc>
        <w:tc>
          <w:tcPr>
            <w:tcW w:type="dxa" w:w="3168"/>
            <w:vAlign w:val="center"/>
            <w:tcMar>
              <w:top w:w="90" w:type="dxa"/>
              <w:bottom w:w="90" w:type="dxa"/>
              <w:left w:w="110" w:type="dxa"/>
              <w:right w:w="110" w:type="dxa"/>
            </w:tcMar>
          </w:tcPr>
          <w:p>
            <w:pPr>
              <w:spacing w:after="20" w:line="245" w:lineRule="auto"/>
            </w:pPr>
            <w:r>
              <w:rPr>
                <w:b w:val="0"/>
                <w:sz w:val="18"/>
              </w:rPr>
              <w:t>$0.85</w:t>
            </w:r>
          </w:p>
        </w:tc>
        <w:tc>
          <w:tcPr>
            <w:tcW w:type="dxa" w:w="2520"/>
            <w:vAlign w:val="center"/>
            <w:tcMar>
              <w:top w:w="90" w:type="dxa"/>
              <w:bottom w:w="90" w:type="dxa"/>
              <w:left w:w="110" w:type="dxa"/>
              <w:right w:w="110" w:type="dxa"/>
            </w:tcMar>
          </w:tcPr>
          <w:p>
            <w:pPr>
              <w:spacing w:after="20" w:line="245" w:lineRule="auto"/>
            </w:pPr>
            <w:r>
              <w:rPr>
                <w:b w:val="0"/>
                <w:sz w:val="18"/>
              </w:rPr>
              <w:t>$15.30</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$39</w:t>
            </w:r>
          </w:p>
        </w:tc>
        <w:tc>
          <w:tcPr>
            <w:tcW w:type="dxa" w:w="2520"/>
            <w:vAlign w:val="center"/>
            <w:tcMar>
              <w:top w:w="90" w:type="dxa"/>
              <w:bottom w:w="90" w:type="dxa"/>
              <w:left w:w="110" w:type="dxa"/>
              <w:right w:w="110" w:type="dxa"/>
            </w:tcMar>
          </w:tcPr>
          <w:p>
            <w:pPr>
              <w:spacing w:after="20" w:line="245" w:lineRule="auto"/>
            </w:pPr>
            <w:r>
              <w:rPr>
                <w:b w:val="0"/>
                <w:sz w:val="18"/>
              </w:rPr>
              <w:t>$5.85</w:t>
            </w:r>
          </w:p>
        </w:tc>
        <w:tc>
          <w:tcPr>
            <w:tcW w:type="dxa" w:w="3168"/>
            <w:vAlign w:val="center"/>
            <w:tcMar>
              <w:top w:w="90" w:type="dxa"/>
              <w:bottom w:w="90" w:type="dxa"/>
              <w:left w:w="110" w:type="dxa"/>
              <w:right w:w="110" w:type="dxa"/>
            </w:tcMar>
          </w:tcPr>
          <w:p>
            <w:pPr>
              <w:spacing w:after="20" w:line="245" w:lineRule="auto"/>
            </w:pPr>
            <w:r>
              <w:rPr>
                <w:b w:val="0"/>
                <w:sz w:val="18"/>
              </w:rPr>
              <w:t>$1.43</w:t>
            </w:r>
          </w:p>
        </w:tc>
        <w:tc>
          <w:tcPr>
            <w:tcW w:type="dxa" w:w="2520"/>
            <w:vAlign w:val="center"/>
            <w:tcMar>
              <w:top w:w="90" w:type="dxa"/>
              <w:bottom w:w="90" w:type="dxa"/>
              <w:left w:w="110" w:type="dxa"/>
              <w:right w:w="110" w:type="dxa"/>
            </w:tcMar>
          </w:tcPr>
          <w:p>
            <w:pPr>
              <w:spacing w:after="20" w:line="245" w:lineRule="auto"/>
            </w:pPr>
            <w:r>
              <w:rPr>
                <w:b w:val="0"/>
                <w:sz w:val="18"/>
              </w:rPr>
              <w:t>$31.72</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$79</w:t>
            </w:r>
          </w:p>
        </w:tc>
        <w:tc>
          <w:tcPr>
            <w:tcW w:type="dxa" w:w="2520"/>
            <w:vAlign w:val="center"/>
            <w:tcMar>
              <w:top w:w="90" w:type="dxa"/>
              <w:bottom w:w="90" w:type="dxa"/>
              <w:left w:w="110" w:type="dxa"/>
              <w:right w:w="110" w:type="dxa"/>
            </w:tcMar>
          </w:tcPr>
          <w:p>
            <w:pPr>
              <w:spacing w:after="20" w:line="245" w:lineRule="auto"/>
            </w:pPr>
            <w:r>
              <w:rPr>
                <w:b w:val="0"/>
                <w:sz w:val="18"/>
              </w:rPr>
              <w:t>$11.85</w:t>
            </w:r>
          </w:p>
        </w:tc>
        <w:tc>
          <w:tcPr>
            <w:tcW w:type="dxa" w:w="3168"/>
            <w:vAlign w:val="center"/>
            <w:tcMar>
              <w:top w:w="90" w:type="dxa"/>
              <w:bottom w:w="90" w:type="dxa"/>
              <w:left w:w="110" w:type="dxa"/>
              <w:right w:w="110" w:type="dxa"/>
            </w:tcMar>
          </w:tcPr>
          <w:p>
            <w:pPr>
              <w:spacing w:after="20" w:line="245" w:lineRule="auto"/>
            </w:pPr>
            <w:r>
              <w:rPr>
                <w:b w:val="0"/>
                <w:sz w:val="18"/>
              </w:rPr>
              <w:t>$2.59</w:t>
            </w:r>
          </w:p>
        </w:tc>
        <w:tc>
          <w:tcPr>
            <w:tcW w:type="dxa" w:w="2520"/>
            <w:vAlign w:val="center"/>
            <w:tcMar>
              <w:top w:w="90" w:type="dxa"/>
              <w:bottom w:w="90" w:type="dxa"/>
              <w:left w:w="110" w:type="dxa"/>
              <w:right w:w="110" w:type="dxa"/>
            </w:tcMar>
          </w:tcPr>
          <w:p>
            <w:pPr>
              <w:spacing w:after="20" w:line="245" w:lineRule="auto"/>
            </w:pPr>
            <w:r>
              <w:rPr>
                <w:b w:val="0"/>
                <w:sz w:val="18"/>
              </w:rPr>
              <w:t>$64.56</w:t>
            </w:r>
          </w:p>
        </w:tc>
      </w:tr>
    </w:tbl>
    <w:p>
      <w:pPr>
        <w:spacing w:after="20"/>
      </w:pPr>
    </w:p>
    <w:p>
      <w:r>
        <w:rPr>
          <w:b w:val="0"/>
        </w:rPr>
        <w:t>Examples are rounded, domestic card, no tax/refund/currency costs, assuming the stated processing fee is borne by seller. They are not a marketplace quote. Lawfecta commission is gross revenue before moderation, support, infrastructure, AI, taxes on its fees and any platform fees. [S11]</w:t>
      </w:r>
    </w:p>
    <w:p>
      <w:pPr>
        <w:pStyle w:val="ListBullet"/>
      </w:pPr>
      <w:r>
        <w:rPr>
          <w:b w:val="0"/>
        </w:rPr>
        <w:t>For a $39 order, define which charge belongs to which seller and whether tax is included/excluded from the commission base. Do not invent marketplace-facilitator or merchant-of-record conclusions.</w:t>
      </w:r>
    </w:p>
    <w:p>
      <w:pPr>
        <w:pStyle w:val="ListBullet"/>
      </w:pPr>
      <w:r>
        <w:rPr>
          <w:b w:val="0"/>
        </w:rPr>
        <w:t>Refunds must reconcile product proceeds, application fee, processor fees, tax and license consequences. A full buyer refund does not mean every provider cost is returned.</w:t>
      </w:r>
    </w:p>
    <w:p>
      <w:pPr>
        <w:pStyle w:val="ListBullet"/>
      </w:pPr>
      <w:r>
        <w:rPr>
          <w:b w:val="0"/>
        </w:rPr>
        <w:t>Disputes preserve order, license, delivery/access and product-description evidence; no confidential buyer customization included by default.</w:t>
      </w:r>
    </w:p>
    <w:p>
      <w:pPr>
        <w:pStyle w:val="ListBullet"/>
      </w:pPr>
      <w:r>
        <w:rPr>
          <w:b w:val="0"/>
        </w:rPr>
        <w:t>Seller onboarding/tax information handled through approved provider flows where appropriate; raw IDs not stored unnecessarily. Published pricing must show all seller deductions.</w:t>
      </w:r>
    </w:p>
    <w:p>
      <w:r>
        <w:rPr>
          <w:b w:val="0"/>
        </w:rPr>
      </w:r>
      <w:r>
        <w:rPr>
          <w:b/>
        </w:rPr>
        <w:t>Unit metric:</w:t>
      </w:r>
      <w:r>
        <w:rPr>
          <w:b w:val="0"/>
        </w:rPr>
        <w:t xml:space="preserve"> product commission minus actual platform costs and loss provision. Track support minutes per sale; many low-priced listings can create negative contribution despite seller-paid card fees. Membership discounts on this 15% rate are not approved and must remain off.</w:t>
      </w:r>
    </w:p>
    <w:p>
      <w:r>
        <w:br w:type="page"/>
      </w:r>
    </w:p>
    <w:p>
      <w:pPr>
        <w:pStyle w:val="Heading1"/>
      </w:pPr>
      <w:r>
        <w:t>5. Publication safety and community governance</w:t>
      </w:r>
    </w:p>
    <w:p>
      <w:pPr>
        <w:pStyle w:val="ListBullet"/>
      </w:pPr>
      <w:r>
        <w:rPr>
          <w:b w:val="0"/>
        </w:rPr>
        <w:t>Treat all uploaded assets and instructions as untrusted. Allow passive content only initially; block macros, executable scripts, active HTML and remote tracking links. Do not let playbook text install an agent or expand tools.</w:t>
      </w:r>
    </w:p>
    <w:p>
      <w:pPr>
        <w:pStyle w:val="ListBullet"/>
      </w:pPr>
      <w:r>
        <w:rPr>
          <w:b w:val="0"/>
        </w:rPr>
        <w:t>Separate checks: identity, rights, confidentiality, malware, internal links, legal/jurisdiction claims, factual currency, accessibility and marketing accuracy. High-risk legal templates require qualified review or category exclusion.</w:t>
      </w:r>
    </w:p>
    <w:p>
      <w:pPr>
        <w:pStyle w:val="ListBullet"/>
      </w:pPr>
      <w:r>
        <w:rPr>
          <w:b w:val="0"/>
        </w:rPr>
        <w:t>Reject real client names/case identifiers, proprietary licensed research, internal credentials and customer screenshots without proper rights and redaction. AI redaction is not a guarantee; publication needs an accountable human attestation.</w:t>
      </w:r>
    </w:p>
    <w:p>
      <w:pPr>
        <w:pStyle w:val="ListBullet"/>
      </w:pPr>
      <w:r>
        <w:rPr>
          <w:b w:val="0"/>
        </w:rPr>
        <w:t>Use a neutral copyright/confidentiality complaint and takedown workflow with response/appeal and documented legal retention. Handle imminent exposure promptly without presuming all allegations true.</w:t>
      </w:r>
    </w:p>
    <w:p>
      <w:pPr>
        <w:pStyle w:val="ListBullet"/>
      </w:pPr>
      <w:r>
        <w:rPr>
          <w:b w:val="0"/>
        </w:rPr>
        <w:t>Prohibit fake reviews, purchased sentiment and misleading badges. FTC review rules and related endorsement obligations need counsel assessment for marketplace implementation. [S27]</w:t>
      </w:r>
    </w:p>
    <w:p>
      <w:pPr>
        <w:pStyle w:val="ListBullet"/>
      </w:pPr>
      <w:r>
        <w:rPr>
          <w:b w:val="0"/>
        </w:rPr>
        <w:t>Search ranking uses relevant scope, quality evidence, freshness and helpfulness; do not infer that bestseller means legally correct. Disclose commercial placements and referrals.</w:t>
      </w:r>
    </w:p>
    <w:p>
      <w:pPr>
        <w:pStyle w:val="ListBullet"/>
      </w:pPr>
      <w:r>
        <w:rPr>
          <w:b w:val="0"/>
        </w:rPr>
        <w:t>No law-school replacement claims, guaranteed results or universal jurisdiction compliance. Record applicability and last verified date; stale content can be retired from recommendation without deleting purchase history.</w:t>
      </w:r>
    </w:p>
    <w:p>
      <w:r>
        <w:rPr>
          <w:b w:val="0"/>
        </w:rPr>
      </w:r>
      <w:r>
        <w:rPr>
          <w:b/>
        </w:rPr>
        <w:t>Review operations:</w:t>
      </w:r>
      <w:r>
        <w:rPr>
          <w:b w:val="0"/>
        </w:rPr>
        <w:t xml:space="preserve"> Define queue ownership, escalation, response targets, seller notice and emergency removal. AI screening result is a risk signal, not a legal opinion or irreversible ban. Enforce publication quotas to prevent mass AI-generated spam.</w:t>
      </w:r>
    </w:p>
    <w:p>
      <w:r>
        <w:rPr>
          <w:b w:val="0"/>
        </w:rPr>
      </w:r>
      <w:r>
        <w:rPr>
          <w:b/>
        </w:rPr>
        <w:t>Metrics:</w:t>
      </w:r>
      <w:r>
        <w:rPr>
          <w:b w:val="0"/>
        </w:rPr>
        <w:t xml:space="preserve"> acceptance/rejection by reason, confidential-content reports, takedown timing, appeals overturned, support minutes, refunds, repeat purchases and buyer implementation outcomes. Do not optimize for total uploads or forced community participation.</w:t>
      </w:r>
    </w:p>
    <w:p>
      <w:r>
        <w:br w:type="page"/>
      </w:r>
    </w:p>
    <w:p>
      <w:pPr>
        <w:pStyle w:val="Heading1"/>
      </w:pPr>
      <w:r>
        <w:t>6. Architecture and implementation packages</w:t>
      </w:r>
    </w:p>
    <w:p>
      <w:r>
        <w:rPr>
          <w:b w:val="0"/>
        </w:rPr>
        <w:t>Reuse the Phase 1A modular services: artifact/versions, authorization, entitlements, payments, jobs, audit and notifications. Add marketplace publication, catalog, checkout fulfillment, license and moderation modules. No second identity system or independent seller-wallet balance.</w:t>
      </w:r>
    </w:p>
    <w:tbl>
      <w:tblPr>
        <w:tblW w:type="auto" w:w="0"/>
        <w:jc w:val="center"/>
        <w:tblLayout w:type="fixed"/>
        <w:tblLook w:firstColumn="1" w:firstRow="1" w:lastColumn="0" w:lastRow="0" w:noHBand="0" w:noVBand="1" w:val="04A0"/>
      </w:tblPr>
      <w:tblGrid>
        <w:gridCol w:w="1872"/>
        <w:gridCol w:w="4536"/>
        <w:gridCol w:w="3816"/>
      </w:tblGrid>
      <w:tr>
        <w:trPr>
          <w:tblHeader/>
          <w:cantSplit/>
        </w:trPr>
        <w:tc>
          <w:tcPr>
            <w:tcW w:type="dxa" w:w="1872"/>
            <w:vAlign w:val="center"/>
            <w:tcMar>
              <w:top w:w="90" w:type="dxa"/>
              <w:bottom w:w="90" w:type="dxa"/>
              <w:left w:w="110" w:type="dxa"/>
              <w:right w:w="110" w:type="dxa"/>
            </w:tcMar>
            <w:shd w:fill="8B1F3F"/>
          </w:tcPr>
          <w:p>
            <w:pPr>
              <w:spacing w:after="20" w:line="245" w:lineRule="auto"/>
            </w:pPr>
            <w:r>
              <w:rPr>
                <w:b/>
                <w:color w:val="FFFFFF"/>
                <w:sz w:val="18"/>
              </w:rPr>
              <w:t>Package</w:t>
            </w:r>
          </w:p>
        </w:tc>
        <w:tc>
          <w:tcPr>
            <w:tcW w:type="dxa" w:w="4536"/>
            <w:vAlign w:val="center"/>
            <w:tcMar>
              <w:top w:w="90" w:type="dxa"/>
              <w:bottom w:w="90" w:type="dxa"/>
              <w:left w:w="110" w:type="dxa"/>
              <w:right w:w="110" w:type="dxa"/>
            </w:tcMar>
            <w:shd w:fill="8B1F3F"/>
          </w:tcPr>
          <w:p>
            <w:pPr>
              <w:spacing w:after="20" w:line="245" w:lineRule="auto"/>
            </w:pPr>
            <w:r>
              <w:rPr>
                <w:b/>
                <w:color w:val="FFFFFF"/>
                <w:sz w:val="18"/>
              </w:rPr>
              <w:t>Scope</w:t>
            </w:r>
          </w:p>
        </w:tc>
        <w:tc>
          <w:tcPr>
            <w:tcW w:type="dxa" w:w="3816"/>
            <w:vAlign w:val="center"/>
            <w:tcMar>
              <w:top w:w="90" w:type="dxa"/>
              <w:bottom w:w="90" w:type="dxa"/>
              <w:left w:w="110" w:type="dxa"/>
              <w:right w:w="110" w:type="dxa"/>
            </w:tcMar>
            <w:shd w:fill="8B1F3F"/>
          </w:tcPr>
          <w:p>
            <w:pPr>
              <w:spacing w:after="20" w:line="245" w:lineRule="auto"/>
            </w:pPr>
            <w:r>
              <w:rPr>
                <w:b/>
                <w:color w:val="FFFFFF"/>
                <w:sz w:val="18"/>
              </w:rPr>
              <w:t>Tests</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C1 Rights / publication</w:t>
            </w:r>
          </w:p>
        </w:tc>
        <w:tc>
          <w:tcPr>
            <w:tcW w:type="dxa" w:w="4536"/>
            <w:vAlign w:val="center"/>
            <w:tcMar>
              <w:top w:w="90" w:type="dxa"/>
              <w:bottom w:w="90" w:type="dxa"/>
              <w:left w:w="110" w:type="dxa"/>
              <w:right w:w="110" w:type="dxa"/>
            </w:tcMar>
          </w:tcPr>
          <w:p>
            <w:pPr>
              <w:spacing w:after="20" w:line="245" w:lineRule="auto"/>
            </w:pPr>
            <w:r>
              <w:rPr>
                <w:b w:val="0"/>
                <w:sz w:val="18"/>
              </w:rPr>
              <w:t>Private-source copy, metadata, attestations, screening and review.</w:t>
            </w:r>
          </w:p>
        </w:tc>
        <w:tc>
          <w:tcPr>
            <w:tcW w:type="dxa" w:w="3816"/>
            <w:vAlign w:val="center"/>
            <w:tcMar>
              <w:top w:w="90" w:type="dxa"/>
              <w:bottom w:w="90" w:type="dxa"/>
              <w:left w:w="110" w:type="dxa"/>
              <w:right w:w="110" w:type="dxa"/>
            </w:tcMar>
          </w:tcPr>
          <w:p>
            <w:pPr>
              <w:spacing w:after="20" w:line="245" w:lineRule="auto"/>
            </w:pPr>
            <w:r>
              <w:rPr>
                <w:b w:val="0"/>
                <w:sz w:val="18"/>
              </w:rPr>
              <w:t>Cross-tenant/private-link leak, unpublished asset guess, stale approval, revoked owner.</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C2 Listing / preview</w:t>
            </w:r>
          </w:p>
        </w:tc>
        <w:tc>
          <w:tcPr>
            <w:tcW w:type="dxa" w:w="4536"/>
            <w:vAlign w:val="center"/>
            <w:tcMar>
              <w:top w:w="90" w:type="dxa"/>
              <w:bottom w:w="90" w:type="dxa"/>
              <w:left w:w="110" w:type="dxa"/>
              <w:right w:w="110" w:type="dxa"/>
            </w:tcMar>
          </w:tcPr>
          <w:p>
            <w:pPr>
              <w:spacing w:after="20" w:line="245" w:lineRule="auto"/>
            </w:pPr>
            <w:r>
              <w:rPr>
                <w:b w:val="0"/>
                <w:sz w:val="18"/>
              </w:rPr>
              <w:t>Search, filters, versioned previews, accessibility and availability.</w:t>
            </w:r>
          </w:p>
        </w:tc>
        <w:tc>
          <w:tcPr>
            <w:tcW w:type="dxa" w:w="3816"/>
            <w:vAlign w:val="center"/>
            <w:tcMar>
              <w:top w:w="90" w:type="dxa"/>
              <w:bottom w:w="90" w:type="dxa"/>
              <w:left w:w="110" w:type="dxa"/>
              <w:right w:w="110" w:type="dxa"/>
            </w:tcMar>
          </w:tcPr>
          <w:p>
            <w:pPr>
              <w:spacing w:after="20" w:line="245" w:lineRule="auto"/>
            </w:pPr>
            <w:r>
              <w:rPr>
                <w:b w:val="0"/>
                <w:sz w:val="18"/>
              </w:rPr>
              <w:t>Locked content absent from page/API, sanitizer bypass, retired product.</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C3 Checkout / license</w:t>
            </w:r>
          </w:p>
        </w:tc>
        <w:tc>
          <w:tcPr>
            <w:tcW w:type="dxa" w:w="4536"/>
            <w:vAlign w:val="center"/>
            <w:tcMar>
              <w:top w:w="90" w:type="dxa"/>
              <w:bottom w:w="90" w:type="dxa"/>
              <w:left w:w="110" w:type="dxa"/>
              <w:right w:w="110" w:type="dxa"/>
            </w:tcMar>
          </w:tcPr>
          <w:p>
            <w:pPr>
              <w:spacing w:after="20" w:line="245" w:lineRule="auto"/>
            </w:pPr>
            <w:r>
              <w:rPr>
                <w:b w:val="0"/>
                <w:sz w:val="18"/>
              </w:rPr>
              <w:t>Single-seller charge, fee/tax policy, idempotent fulfillment.</w:t>
            </w:r>
          </w:p>
        </w:tc>
        <w:tc>
          <w:tcPr>
            <w:tcW w:type="dxa" w:w="3816"/>
            <w:vAlign w:val="center"/>
            <w:tcMar>
              <w:top w:w="90" w:type="dxa"/>
              <w:bottom w:w="90" w:type="dxa"/>
              <w:left w:w="110" w:type="dxa"/>
              <w:right w:w="110" w:type="dxa"/>
            </w:tcMar>
          </w:tcPr>
          <w:p>
            <w:pPr>
              <w:spacing w:after="20" w:line="245" w:lineRule="auto"/>
            </w:pPr>
            <w:r>
              <w:rPr>
                <w:b w:val="0"/>
                <w:sz w:val="18"/>
              </w:rPr>
              <w:t>Duplicate webhook, failed charge, missing payout capability, price changed during checkout.</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C4 Buyer use</w:t>
            </w:r>
          </w:p>
        </w:tc>
        <w:tc>
          <w:tcPr>
            <w:tcW w:type="dxa" w:w="4536"/>
            <w:vAlign w:val="center"/>
            <w:tcMar>
              <w:top w:w="90" w:type="dxa"/>
              <w:bottom w:w="90" w:type="dxa"/>
              <w:left w:w="110" w:type="dxa"/>
              <w:right w:w="110" w:type="dxa"/>
            </w:tcMar>
          </w:tcPr>
          <w:p>
            <w:pPr>
              <w:spacing w:after="20" w:line="245" w:lineRule="auto"/>
            </w:pPr>
            <w:r>
              <w:rPr>
                <w:b w:val="0"/>
                <w:sz w:val="18"/>
              </w:rPr>
              <w:t>Private copy, customize, license enforcement, hire-to-implement.</w:t>
            </w:r>
          </w:p>
        </w:tc>
        <w:tc>
          <w:tcPr>
            <w:tcW w:type="dxa" w:w="3816"/>
            <w:vAlign w:val="center"/>
            <w:tcMar>
              <w:top w:w="90" w:type="dxa"/>
              <w:bottom w:w="90" w:type="dxa"/>
              <w:left w:w="110" w:type="dxa"/>
              <w:right w:w="110" w:type="dxa"/>
            </w:tcMar>
          </w:tcPr>
          <w:p>
            <w:pPr>
              <w:spacing w:after="20" w:line="245" w:lineRule="auto"/>
            </w:pPr>
            <w:r>
              <w:rPr>
                <w:b w:val="0"/>
                <w:sz w:val="18"/>
              </w:rPr>
              <w:t>Prohibited resale, multi-org access, source update conflict, contractor invitation.</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C5 Operations</w:t>
            </w:r>
          </w:p>
        </w:tc>
        <w:tc>
          <w:tcPr>
            <w:tcW w:type="dxa" w:w="4536"/>
            <w:vAlign w:val="center"/>
            <w:tcMar>
              <w:top w:w="90" w:type="dxa"/>
              <w:bottom w:w="90" w:type="dxa"/>
              <w:left w:w="110" w:type="dxa"/>
              <w:right w:w="110" w:type="dxa"/>
            </w:tcMar>
          </w:tcPr>
          <w:p>
            <w:pPr>
              <w:spacing w:after="20" w:line="245" w:lineRule="auto"/>
            </w:pPr>
            <w:r>
              <w:rPr>
                <w:b w:val="0"/>
                <w:sz w:val="18"/>
              </w:rPr>
              <w:t>Refunds, dispute evidence, takedown, seller reports and contribution.</w:t>
            </w:r>
          </w:p>
        </w:tc>
        <w:tc>
          <w:tcPr>
            <w:tcW w:type="dxa" w:w="3816"/>
            <w:vAlign w:val="center"/>
            <w:tcMar>
              <w:top w:w="90" w:type="dxa"/>
              <w:bottom w:w="90" w:type="dxa"/>
              <w:left w:w="110" w:type="dxa"/>
              <w:right w:w="110" w:type="dxa"/>
            </w:tcMar>
          </w:tcPr>
          <w:p>
            <w:pPr>
              <w:spacing w:after="20" w:line="245" w:lineRule="auto"/>
            </w:pPr>
            <w:r>
              <w:rPr>
                <w:b w:val="0"/>
                <w:sz w:val="18"/>
              </w:rPr>
              <w:t>Refund/transfer mismatch, negative balance, appeal/reinstatement, complete deletion policy.</w:t>
            </w:r>
          </w:p>
        </w:tc>
      </w:tr>
    </w:tbl>
    <w:p>
      <w:pPr>
        <w:spacing w:after="20"/>
      </w:pPr>
    </w:p>
    <w:p>
      <w:r>
        <w:rPr>
          <w:b w:val="0"/>
        </w:rPr>
      </w:r>
      <w:r>
        <w:rPr>
          <w:b/>
        </w:rPr>
        <w:t>Events:</w:t>
      </w:r>
      <w:r>
        <w:rPr>
          <w:b w:val="0"/>
        </w:rPr>
        <w:t xml:space="preserve"> publication.submitted, publication.approved, listing.published, order.paid, license.granted, order.refunded, content.reported and listing.suspended are proposed internal names. Public webhooks receive minimal authorized metadata, not purchased full text.</w:t>
      </w:r>
    </w:p>
    <w:p>
      <w:pPr>
        <w:pStyle w:val="Heading2"/>
      </w:pPr>
      <w:r>
        <w:t>Build prompt</w:t>
      </w:r>
    </w:p>
    <w:p>
      <w:pPr>
        <w:spacing w:after="140" w:line="240" w:lineRule="auto"/>
        <w:shd w:fill="F3F3F3"/>
      </w:pPr>
      <w:r>
        <w:rPr>
          <w:rFonts w:ascii="Consolas" w:hAnsi="Consolas"/>
          <w:sz w:val="18"/>
        </w:rPr>
        <w:t>Read guide, Phase 1A artifact/finance invariants and Phase 1C.</w:t>
        <w:br/>
        <w:t>List unapproved rights, tax, account-liability and refund terms.</w:t>
        <w:br/>
        <w:t>Do not publish private source records or expose paid full text.</w:t>
        <w:br/>
        <w:t>After separate authorization, implement only selected package</w:t>
        <w:br/>
        <w:t>with synthetic content and test-mode payments. Include source</w:t>
        <w:br/>
        <w:t>copy isolation, entitlement tests, deterministic money allocation,</w:t>
        <w:br/>
        <w:t>moderation evidence and rollback. Do not create a public listing,</w:t>
        <w:br/>
        <w:t>live charge or change seller terms without release approval.</w:t>
      </w:r>
    </w:p>
    <w:p>
      <w:r>
        <w:br w:type="page"/>
      </w:r>
    </w:p>
    <w:p>
      <w:pPr>
        <w:pStyle w:val="Heading1"/>
      </w:pPr>
      <w:r>
        <w:t>7. Validation and next-phase decision</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Mar>
              <w:top w:w="90" w:type="dxa"/>
              <w:bottom w:w="90" w:type="dxa"/>
              <w:left w:w="110" w:type="dxa"/>
              <w:right w:w="110" w:type="dxa"/>
            </w:tcMar>
            <w:shd w:fill="8B1F3F"/>
          </w:tcPr>
          <w:p>
            <w:pPr>
              <w:spacing w:after="20" w:line="245" w:lineRule="auto"/>
            </w:pPr>
            <w:r>
              <w:rPr>
                <w:b/>
                <w:color w:val="FFFFFF"/>
                <w:sz w:val="18"/>
              </w:rPr>
              <w:t>Metric</w:t>
            </w:r>
          </w:p>
        </w:tc>
        <w:tc>
          <w:tcPr>
            <w:tcW w:type="dxa" w:w="7992"/>
            <w:vAlign w:val="center"/>
            <w:tcMar>
              <w:top w:w="90" w:type="dxa"/>
              <w:bottom w:w="90" w:type="dxa"/>
              <w:left w:w="110" w:type="dxa"/>
              <w:right w:w="110" w:type="dxa"/>
            </w:tcMar>
            <w:shd w:fill="8B1F3F"/>
          </w:tcPr>
          <w:p>
            <w:pPr>
              <w:spacing w:after="20" w:line="245" w:lineRule="auto"/>
            </w:pPr>
            <w:r>
              <w:rPr>
                <w:b/>
                <w:color w:val="FFFFFF"/>
                <w:sz w:val="18"/>
              </w:rPr>
              <w:t>Definition / proposed decision use</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Useful supply</w:t>
            </w:r>
          </w:p>
        </w:tc>
        <w:tc>
          <w:tcPr>
            <w:tcW w:type="dxa" w:w="7992"/>
            <w:vAlign w:val="center"/>
            <w:tcMar>
              <w:top w:w="90" w:type="dxa"/>
              <w:bottom w:w="90" w:type="dxa"/>
              <w:left w:w="110" w:type="dxa"/>
              <w:right w:w="110" w:type="dxa"/>
            </w:tcMar>
          </w:tcPr>
          <w:p>
            <w:pPr>
              <w:spacing w:after="20" w:line="245" w:lineRule="auto"/>
            </w:pPr>
            <w:r>
              <w:rPr>
                <w:b w:val="0"/>
                <w:sz w:val="18"/>
              </w:rPr>
              <w:t>Approved original/reusable listings with complete rights and metadata; not AI output count. Start with categories tied to observed delegation needs.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Purchase / claim activation</w:t>
            </w:r>
          </w:p>
        </w:tc>
        <w:tc>
          <w:tcPr>
            <w:tcW w:type="dxa" w:w="7992"/>
            <w:vAlign w:val="center"/>
            <w:tcMar>
              <w:top w:w="90" w:type="dxa"/>
              <w:bottom w:w="90" w:type="dxa"/>
              <w:left w:w="110" w:type="dxa"/>
              <w:right w:w="110" w:type="dxa"/>
            </w:tcMar>
          </w:tcPr>
          <w:p>
            <w:pPr>
              <w:spacing w:after="20" w:line="245" w:lineRule="auto"/>
            </w:pPr>
            <w:r>
              <w:rPr>
                <w:b w:val="0"/>
                <w:sz w:val="18"/>
              </w:rPr>
              <w:t>Buyers who import and use a licensed playbook / eligible buyers or purchasers. Separate free claims from paid sales.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Demand</w:t>
            </w:r>
          </w:p>
        </w:tc>
        <w:tc>
          <w:tcPr>
            <w:tcW w:type="dxa" w:w="7992"/>
            <w:vAlign w:val="center"/>
            <w:tcMar>
              <w:top w:w="90" w:type="dxa"/>
              <w:bottom w:w="90" w:type="dxa"/>
              <w:left w:w="110" w:type="dxa"/>
              <w:right w:w="110" w:type="dxa"/>
            </w:tcMar>
          </w:tcPr>
          <w:p>
            <w:pPr>
              <w:spacing w:after="20" w:line="245" w:lineRule="auto"/>
            </w:pPr>
            <w:r>
              <w:rPr>
                <w:b w:val="0"/>
                <w:sz w:val="18"/>
              </w:rPr>
              <w:t>Real independent purchases, repeat purchases and qualified implementation inquiries; exclude staff/test/related-party promotional transactions.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Economics</w:t>
            </w:r>
          </w:p>
        </w:tc>
        <w:tc>
          <w:tcPr>
            <w:tcW w:type="dxa" w:w="7992"/>
            <w:vAlign w:val="center"/>
            <w:tcMar>
              <w:top w:w="90" w:type="dxa"/>
              <w:bottom w:w="90" w:type="dxa"/>
              <w:left w:w="110" w:type="dxa"/>
              <w:right w:w="110" w:type="dxa"/>
            </w:tcMar>
          </w:tcPr>
          <w:p>
            <w:pPr>
              <w:spacing w:after="20" w:line="245" w:lineRule="auto"/>
            </w:pPr>
            <w:r>
              <w:rPr>
                <w:b w:val="0"/>
                <w:sz w:val="18"/>
              </w:rPr>
              <w:t>Contribution after actual commission, processing allocation, moderation, support, refunds, losses and storage. Do not count seller GMV as Lawfecta revenue.</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Safety</w:t>
            </w:r>
          </w:p>
        </w:tc>
        <w:tc>
          <w:tcPr>
            <w:tcW w:type="dxa" w:w="7992"/>
            <w:vAlign w:val="center"/>
            <w:tcMar>
              <w:top w:w="90" w:type="dxa"/>
              <w:bottom w:w="90" w:type="dxa"/>
              <w:left w:w="110" w:type="dxa"/>
              <w:right w:w="110" w:type="dxa"/>
            </w:tcMar>
          </w:tcPr>
          <w:p>
            <w:pPr>
              <w:spacing w:after="20" w:line="245" w:lineRule="auto"/>
            </w:pPr>
            <w:r>
              <w:rPr>
                <w:b w:val="0"/>
                <w:sz w:val="18"/>
              </w:rPr>
              <w:t>No unresolved high-risk confidential-data exposure; required isolation/payment tests pass; rights complaints and moderation response measured.</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Suggested evidence floor</w:t>
            </w:r>
          </w:p>
        </w:tc>
        <w:tc>
          <w:tcPr>
            <w:tcW w:type="dxa" w:w="7992"/>
            <w:vAlign w:val="center"/>
            <w:tcMar>
              <w:top w:w="90" w:type="dxa"/>
              <w:bottom w:w="90" w:type="dxa"/>
              <w:left w:w="110" w:type="dxa"/>
              <w:right w:w="110" w:type="dxa"/>
            </w:tcMar>
          </w:tcPr>
          <w:p>
            <w:pPr>
              <w:spacing w:after="20" w:line="245" w:lineRule="auto"/>
            </w:pPr>
            <w:r>
              <w:rPr>
                <w:b w:val="0"/>
                <w:sz w:val="18"/>
              </w:rPr>
              <w:t>At least 20 real fulfilled purchases across multiple sellers before interpreting early economics; directional only, not statistical validation or a mandated launch cohort.</w:t>
            </w:r>
          </w:p>
        </w:tc>
      </w:tr>
    </w:tbl>
    <w:p>
      <w:pPr>
        <w:spacing w:after="20"/>
      </w:pPr>
    </w:p>
    <w:p>
      <w:r>
        <w:rPr>
          <w:b w:val="0"/>
        </w:rPr>
      </w:r>
      <w:r>
        <w:rPr>
          <w:b/>
        </w:rPr>
        <w:t>Advance:</w:t>
      </w:r>
      <w:r>
        <w:rPr>
          <w:b w:val="0"/>
        </w:rPr>
        <w:t xml:space="preserve"> Buyers use the material and/or hire for implementation, sellers earn without excessive support, and net contribution is positive. </w:t>
      </w:r>
      <w:r>
        <w:rPr>
          <w:b/>
        </w:rPr>
        <w:t>Iterate:</w:t>
      </w:r>
      <w:r>
        <w:rPr>
          <w:b w:val="0"/>
        </w:rPr>
        <w:t xml:space="preserve"> listings attract views but few purchases, purchases are unused, or refund reasons reveal misleading scope. </w:t>
      </w:r>
      <w:r>
        <w:rPr>
          <w:b/>
        </w:rPr>
        <w:t>Hold:</w:t>
      </w:r>
      <w:r>
        <w:rPr>
          <w:b w:val="0"/>
        </w:rPr>
        <w:t xml:space="preserve"> confidential/IP leakage, broken payment/license fulfillment or unmanageable moderation.</w:t>
      </w:r>
    </w:p>
    <w:p>
      <w:r>
        <w:rPr>
          <w:b w:val="0"/>
        </w:rPr>
      </w:r>
      <w:r>
        <w:rPr>
          <w:b/>
        </w:rPr>
        <w:t>Rollout:</w:t>
      </w:r>
      <w:r>
        <w:rPr>
          <w:b w:val="0"/>
        </w:rPr>
        <w:t xml:space="preserve"> free community publishing may validate quality/discovery before paid checkout. Broad member availability is compatible with category, publishing and payment feature flags. Do not require every member to become a creator.</w:t>
      </w:r>
    </w:p>
    <w:p>
      <w:r>
        <w:rPr>
          <w:b w:val="0"/>
        </w:rPr>
      </w:r>
      <w:r>
        <w:rPr>
          <w:b/>
        </w:rPr>
        <w:t>Future compatibility:</w:t>
      </w:r>
      <w:r>
        <w:rPr>
          <w:b w:val="0"/>
        </w:rPr>
        <w:t xml:space="preserve"> license version/grant model supports bundles, firm seats and optional marketplace templates for agents. Do not make purchased playbooks executable tools. Any later code-bearing or agent product requires a separate sandbox/certification and permission model.</w:t>
      </w:r>
    </w:p>
    <w:p>
      <w:pPr>
        <w:spacing w:before="80" w:after="180"/>
        <w:shd w:fill="F7ECE7"/>
      </w:pPr>
      <w:r>
        <w:rPr>
          <w:b w:val="0"/>
        </w:rPr>
      </w:r>
      <w:r>
        <w:rPr>
          <w:b/>
        </w:rPr>
        <w:t>Decision gate</w:t>
      </w:r>
      <w:r>
        <w:rPr>
          <w:b w:val="0"/>
        </w:rPr>
        <w:t xml:space="preserve">  Launch only with signed seller/buyer terms, merchant/tax responsibility, actual Connect cost/liability configuration, moderation capacity, rights handling and tested private-source separation. The 15% fee alone does not establish viability.</w:t>
      </w:r>
    </w:p>
    <w:p>
      <w:r>
        <w:br w:type="page"/>
      </w:r>
    </w:p>
    <w:p>
      <w:pPr>
        <w:pStyle w:val="Heading1"/>
      </w:pPr>
      <w:r>
        <w:t>Reference notes</w:t>
      </w:r>
    </w:p>
    <w:p>
      <w:r>
        <w:t>Primary technical and regulatory sources checked on 25 October 2026. Revalidate provider behavior, pricing and applicable law before implementation. [Sxx] labels identify sources; unlabelled requirement language is a Lawfecta product decision or proposed engineering design, not a vendor guarantee.</w:t>
      </w:r>
    </w:p>
    <w:p>
      <w:pPr>
        <w:keepLines/>
        <w:spacing w:line="240" w:lineRule="auto" w:after="120"/>
      </w:pPr>
      <w:r>
        <w:rPr>
          <w:b w:val="0"/>
          <w:sz w:val="18"/>
        </w:rPr>
      </w:r>
      <w:r>
        <w:rPr>
          <w:b/>
          <w:sz w:val="18"/>
        </w:rPr>
        <w:t>[S08] Stripe, Disputes on Connect Platforms</w:t>
      </w:r>
      <w:r>
        <w:rPr>
          <w:b w:val="0"/>
          <w:sz w:val="18"/>
        </w:rPr>
      </w:r>
      <w:r>
        <w:rPr>
          <w:sz w:val="18"/>
        </w:rPr>
        <w:br/>
      </w:r>
      <w:hyperlink r:id="rId11">
        <w:r>
          <w:rPr>
            <w:color w:val="8B1F3F"/>
            <w:sz w:val="18"/>
          </w:rPr>
          <w:t>https://docs.stripe.com/connect/disputes</w:t>
        </w:r>
      </w:hyperlink>
    </w:p>
    <w:p>
      <w:pPr>
        <w:keepLines/>
        <w:spacing w:line="240" w:lineRule="auto" w:after="120"/>
      </w:pPr>
      <w:r>
        <w:rPr>
          <w:b w:val="0"/>
          <w:sz w:val="18"/>
        </w:rPr>
      </w:r>
      <w:r>
        <w:rPr>
          <w:b/>
          <w:sz w:val="18"/>
        </w:rPr>
        <w:t>[S11] Stripe, Payments Pricing</w:t>
      </w:r>
      <w:r>
        <w:rPr>
          <w:b w:val="0"/>
          <w:sz w:val="18"/>
        </w:rPr>
      </w:r>
      <w:r>
        <w:rPr>
          <w:sz w:val="18"/>
        </w:rPr>
        <w:br/>
      </w:r>
      <w:hyperlink r:id="rId12">
        <w:r>
          <w:rPr>
            <w:color w:val="8B1F3F"/>
            <w:sz w:val="18"/>
          </w:rPr>
          <w:t>https://stripe.com/pricing</w:t>
        </w:r>
      </w:hyperlink>
    </w:p>
    <w:p>
      <w:pPr>
        <w:keepLines/>
        <w:spacing w:line="240" w:lineRule="auto" w:after="120"/>
      </w:pPr>
      <w:r>
        <w:rPr>
          <w:b w:val="0"/>
          <w:sz w:val="18"/>
        </w:rPr>
      </w:r>
      <w:r>
        <w:rPr>
          <w:b/>
          <w:sz w:val="18"/>
        </w:rPr>
        <w:t>[S12] Stripe, Connect Pricing</w:t>
      </w:r>
      <w:r>
        <w:rPr>
          <w:b w:val="0"/>
          <w:sz w:val="18"/>
        </w:rPr>
      </w:r>
      <w:r>
        <w:rPr>
          <w:sz w:val="18"/>
        </w:rPr>
        <w:br/>
      </w:r>
      <w:hyperlink r:id="rId13">
        <w:r>
          <w:rPr>
            <w:color w:val="8B1F3F"/>
            <w:sz w:val="18"/>
          </w:rPr>
          <w:t>https://stripe.com/connect/pricing</w:t>
        </w:r>
      </w:hyperlink>
    </w:p>
    <w:p>
      <w:pPr>
        <w:keepLines/>
        <w:spacing w:line="240" w:lineRule="auto" w:after="120"/>
      </w:pPr>
      <w:r>
        <w:rPr>
          <w:b w:val="0"/>
          <w:sz w:val="18"/>
        </w:rPr>
      </w:r>
      <w:r>
        <w:rPr>
          <w:b/>
          <w:sz w:val="18"/>
        </w:rPr>
        <w:t>[S15] OWASP, LLM06:2025 Excessive Agency</w:t>
      </w:r>
      <w:r>
        <w:rPr>
          <w:b w:val="0"/>
          <w:sz w:val="18"/>
        </w:rPr>
      </w:r>
      <w:r>
        <w:rPr>
          <w:sz w:val="18"/>
        </w:rPr>
        <w:br/>
      </w:r>
      <w:hyperlink r:id="rId14">
        <w:r>
          <w:rPr>
            <w:color w:val="8B1F3F"/>
            <w:sz w:val="18"/>
          </w:rPr>
          <w:t>https://genai.owasp.org/llmrisk/llm062025-excessive-agency/</w:t>
        </w:r>
      </w:hyperlink>
    </w:p>
    <w:p>
      <w:pPr>
        <w:keepLines/>
        <w:spacing w:line="240" w:lineRule="auto" w:after="120"/>
      </w:pPr>
      <w:r>
        <w:rPr>
          <w:b w:val="0"/>
          <w:sz w:val="18"/>
        </w:rPr>
      </w:r>
      <w:r>
        <w:rPr>
          <w:b/>
          <w:sz w:val="18"/>
        </w:rPr>
        <w:t>[S16] OWASP, LLM01:2025 Prompt Injection</w:t>
      </w:r>
      <w:r>
        <w:rPr>
          <w:b w:val="0"/>
          <w:sz w:val="18"/>
        </w:rPr>
      </w:r>
      <w:r>
        <w:rPr>
          <w:sz w:val="18"/>
        </w:rPr>
        <w:br/>
      </w:r>
      <w:hyperlink r:id="rId15">
        <w:r>
          <w:rPr>
            <w:color w:val="8B1F3F"/>
            <w:sz w:val="18"/>
          </w:rPr>
          <w:t>https://genai.owasp.org/llmrisk/llm01-prompt-injection/</w:t>
        </w:r>
      </w:hyperlink>
    </w:p>
    <w:p>
      <w:pPr>
        <w:keepLines/>
        <w:spacing w:line="240" w:lineRule="auto" w:after="120"/>
      </w:pPr>
      <w:r>
        <w:rPr>
          <w:b w:val="0"/>
          <w:sz w:val="18"/>
        </w:rPr>
      </w:r>
      <w:r>
        <w:rPr>
          <w:b/>
          <w:sz w:val="18"/>
        </w:rPr>
        <w:t>[S26] ABA, Formal Opinion 512 Overview</w:t>
      </w:r>
      <w:r>
        <w:rPr>
          <w:b w:val="0"/>
          <w:sz w:val="18"/>
        </w:rPr>
      </w:r>
      <w:r>
        <w:rPr>
          <w:sz w:val="18"/>
        </w:rPr>
        <w:br/>
      </w:r>
      <w:hyperlink r:id="rId16">
        <w:r>
          <w:rPr>
            <w:color w:val="8B1F3F"/>
            <w:sz w:val="18"/>
          </w:rPr>
          <w:t>https://www.americanbar.org/news/abanews/aba-news-archives/2024/07/aba-issues-first-ethics-guidance-ai-tools/</w:t>
        </w:r>
      </w:hyperlink>
    </w:p>
    <w:p>
      <w:pPr>
        <w:keepLines/>
        <w:spacing w:line="240" w:lineRule="auto" w:after="120"/>
      </w:pPr>
      <w:r>
        <w:rPr>
          <w:b w:val="0"/>
          <w:sz w:val="18"/>
        </w:rPr>
      </w:r>
      <w:r>
        <w:rPr>
          <w:b/>
          <w:sz w:val="18"/>
        </w:rPr>
        <w:t>[S27] FTC, Consumer Reviews and Testimonials Rule Q&amp;A</w:t>
      </w:r>
      <w:r>
        <w:rPr>
          <w:b w:val="0"/>
          <w:sz w:val="18"/>
        </w:rPr>
      </w:r>
      <w:r>
        <w:rPr>
          <w:sz w:val="18"/>
        </w:rPr>
        <w:br/>
      </w:r>
      <w:hyperlink r:id="rId17">
        <w:r>
          <w:rPr>
            <w:color w:val="8B1F3F"/>
            <w:sz w:val="18"/>
          </w:rPr>
          <w:t>https://www.ftc.gov/business-guidance/resources/consumer-reviews-testimonials-rule-questions-answers</w:t>
        </w:r>
      </w:hyperlink>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66666"/>
        <w:sz w:val="16"/>
      </w:rPr>
      <w:t>v1.0  |  25 October 2026  |  Requirements &amp; architecture</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LAWFECTA  |  DELA  /  PHASE 1C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8B1F3F"/>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8B1F3F"/>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8B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8B1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Calibri" w:hAnsi="Calibri"/>
      <w:i/>
      <w:iCs/>
      <w:color w:val="8B1F3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222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ipe.com/connect/disputes" TargetMode="External"/><Relationship Id="rId12" Type="http://schemas.openxmlformats.org/officeDocument/2006/relationships/hyperlink" Target="https://stripe.com/pricing" TargetMode="External"/><Relationship Id="rId13" Type="http://schemas.openxmlformats.org/officeDocument/2006/relationships/hyperlink" Target="https://stripe.com/connect/pricing" TargetMode="External"/><Relationship Id="rId14" Type="http://schemas.openxmlformats.org/officeDocument/2006/relationships/hyperlink" Target="https://genai.owasp.org/llmrisk/llm062025-excessive-agency/" TargetMode="External"/><Relationship Id="rId15" Type="http://schemas.openxmlformats.org/officeDocument/2006/relationships/hyperlink" Target="https://genai.owasp.org/llmrisk/llm01-prompt-injection/" TargetMode="External"/><Relationship Id="rId16" Type="http://schemas.openxmlformats.org/officeDocument/2006/relationships/hyperlink" Target="https://www.americanbar.org/news/abanews/aba-news-archives/2024/07/aba-issues-first-ethics-guidance-ai-tools/" TargetMode="External"/><Relationship Id="rId17" Type="http://schemas.openxmlformats.org/officeDocument/2006/relationships/hyperlink" Target="https://www.ftc.gov/business-guidance/resources/consumer-reviews-testimonials-rule-questions-ans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1C | Community
&amp; Playbook Marketplace</dc:title>
  <dc:subject>DELA pre-development architecture and phased requirements</dc:subject>
  <dc:creator>Lawfecta</dc:creator>
  <cp:keywords>DELA, Lawfecta, requirements, architecture, pre-development</cp:keywords>
  <dc:description>generated by python-docx</dc:description>
  <cp:lastModifiedBy/>
  <cp:revision>1</cp:revision>
  <dcterms:created xsi:type="dcterms:W3CDTF">2013-12-23T23:15:00Z</dcterms:created>
  <dcterms:modified xsi:type="dcterms:W3CDTF">2013-12-23T23:15:00Z</dcterms:modified>
  <cp:category/>
</cp:coreProperties>
</file>