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LAWFECTA  /  DELA DEVELOPMENT SERIES</w:t>
      </w:r>
    </w:p>
    <w:p>
      <w:pPr>
        <w:pStyle w:val="Title"/>
      </w:pPr>
      <w:r>
        <w:t>Phase 2 | Advanced</w:t>
        <w:br/>
        <w:t>Agentic Operations</w:t>
      </w:r>
    </w:p>
    <w:p>
      <w:pPr>
        <w:pStyle w:val="Subtitle"/>
      </w:pPr>
      <w:r>
        <w:t>AI Teams, controlled cross-system execution, MCP and optional Talent Showcase</w:t>
      </w:r>
    </w:p>
    <w:p>
      <w:pPr>
        <w:spacing w:before="80" w:after="180"/>
        <w:shd w:fill="F7ECE7"/>
      </w:pPr>
      <w:r>
        <w:rPr>
          <w:b w:val="0"/>
        </w:rPr>
      </w:r>
      <w:r>
        <w:rPr>
          <w:b/>
        </w:rPr>
        <w:t>Control status</w:t>
      </w:r>
      <w:r>
        <w:rPr>
          <w:b w:val="0"/>
        </w:rPr>
        <w:t xml:space="preserve">  Specification v1.0. Product decisions are preserved; new engineering defaults and numeric gates are proposals. Documentation does not authorize code, configuration changes, production data access, charges or deployment.</w:t>
      </w:r>
    </w:p>
    <w:p>
      <w:pPr>
        <w:pStyle w:val="Heading1"/>
      </w:pPr>
      <w:r>
        <w:t>1. Purpose and inherited launch capabilities</w:t>
      </w:r>
    </w:p>
    <w:p>
      <w:r>
        <w:rPr>
          <w:b w:val="0"/>
        </w:rPr>
        <w:t>Expand DELA from a structured assistant into configurable specialist agents that monitor approved work, prepare useful actions and coordinate execution across Lawfecta and permitted integrations. Members select responsibilities rather than managing several independent chatbots.</w:t>
      </w:r>
    </w:p>
    <w:p>
      <w:r>
        <w:rPr>
          <w:b w:val="0"/>
        </w:rPr>
        <w:t>This phase expands, rather than introduces, Phase 1A proactive bench suggestions, recurring task scheduling and limited standing-arrangement repeat hiring. Those earlier commitments remain intact. New autonomy must earn activation through use-case-specific safety and business evidence.</w:t>
      </w:r>
    </w:p>
    <w:p>
      <w:pPr>
        <w:pStyle w:val="ListBullet"/>
      </w:pPr>
      <w:r>
        <w:rPr>
          <w:b w:val="0"/>
        </w:rPr>
        <w:t>Attorney goals: anticipate meeting follow-ups, maintain delegation backlog, identify missing SOPs, use available bench talent and escalate meaningful decisions.</w:t>
      </w:r>
    </w:p>
    <w:p>
      <w:pPr>
        <w:pStyle w:val="ListBullet"/>
      </w:pPr>
      <w:r>
        <w:rPr>
          <w:b w:val="0"/>
        </w:rPr>
        <w:t>Freelancer goals: find relevant opportunities, improve service presentation, draft appropriate proposals, communicate reliably and execute agreed work with reusable nonconfidential methods.</w:t>
      </w:r>
    </w:p>
    <w:p>
      <w:pPr>
        <w:pStyle w:val="ListBullet"/>
      </w:pPr>
      <w:r>
        <w:rPr>
          <w:b w:val="0"/>
        </w:rPr>
        <w:t>Agency goals: manage explicitly authorized capacity and team handoffs without leaking unrelated client data or assigning unauthorized subcontractors.</w:t>
      </w:r>
    </w:p>
    <w:p>
      <w:pPr>
        <w:pStyle w:val="ListBullet"/>
      </w:pPr>
      <w:r>
        <w:rPr>
          <w:b w:val="0"/>
        </w:rPr>
        <w:t>MCP is a future distribution interface using the same services and permissions, not a second AI platform. Optional video showcase is an experiment, not a dependency for ordinary hiring.</w:t>
      </w:r>
    </w:p>
    <w:tbl>
      <w:tblPr>
        <w:tblW w:type="auto" w:w="0"/>
        <w:jc w:val="center"/>
        <w:tblLayout w:type="fixed"/>
        <w:tblLook w:firstColumn="1" w:firstRow="1" w:lastColumn="0" w:lastRow="0" w:noHBand="0" w:noVBand="1" w:val="04A0"/>
      </w:tblPr>
      <w:tblGrid>
        <w:gridCol w:w="2448"/>
        <w:gridCol w:w="7776"/>
      </w:tblGrid>
      <w:tr>
        <w:trPr>
          <w:tblHeader/>
          <w:cantSplit/>
        </w:trPr>
        <w:tc>
          <w:tcPr>
            <w:tcW w:type="dxa" w:w="2448"/>
            <w:vAlign w:val="center"/>
            <w:tcMar>
              <w:top w:w="90" w:type="dxa"/>
              <w:bottom w:w="90" w:type="dxa"/>
              <w:left w:w="110" w:type="dxa"/>
              <w:right w:w="110" w:type="dxa"/>
            </w:tcMar>
            <w:shd w:fill="8B1F3F"/>
          </w:tcPr>
          <w:p>
            <w:pPr>
              <w:spacing w:after="20" w:line="245" w:lineRule="auto"/>
            </w:pPr>
            <w:r>
              <w:rPr>
                <w:b/>
                <w:color w:val="FFFFFF"/>
                <w:sz w:val="18"/>
              </w:rPr>
              <w:t>Increment</w:t>
            </w:r>
          </w:p>
        </w:tc>
        <w:tc>
          <w:tcPr>
            <w:tcW w:type="dxa" w:w="7776"/>
            <w:vAlign w:val="center"/>
            <w:tcMar>
              <w:top w:w="90" w:type="dxa"/>
              <w:bottom w:w="90" w:type="dxa"/>
              <w:left w:w="110" w:type="dxa"/>
              <w:right w:w="110" w:type="dxa"/>
            </w:tcMar>
            <w:shd w:fill="8B1F3F"/>
          </w:tcPr>
          <w:p>
            <w:pPr>
              <w:spacing w:after="20" w:line="245" w:lineRule="auto"/>
            </w:pPr>
            <w:r>
              <w:rPr>
                <w:b/>
                <w:color w:val="FFFFFF"/>
                <w:sz w:val="18"/>
              </w:rPr>
              <w:t>Deliverable</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2.1 AI Teams configuration</w:t>
            </w:r>
          </w:p>
        </w:tc>
        <w:tc>
          <w:tcPr>
            <w:tcW w:type="dxa" w:w="7776"/>
            <w:vAlign w:val="center"/>
            <w:tcMar>
              <w:top w:w="90" w:type="dxa"/>
              <w:bottom w:w="90" w:type="dxa"/>
              <w:left w:w="110" w:type="dxa"/>
              <w:right w:w="110" w:type="dxa"/>
            </w:tcMar>
          </w:tcPr>
          <w:p>
            <w:pPr>
              <w:spacing w:after="20" w:line="245" w:lineRule="auto"/>
            </w:pPr>
            <w:r>
              <w:rPr>
                <w:b w:val="0"/>
                <w:sz w:val="18"/>
              </w:rPr>
              <w:t>Catalog, role/job description, triggers, data access, autonomy, approval and budget controls.</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2.2 Cross-system actions</w:t>
            </w:r>
          </w:p>
        </w:tc>
        <w:tc>
          <w:tcPr>
            <w:tcW w:type="dxa" w:w="7776"/>
            <w:vAlign w:val="center"/>
            <w:tcMar>
              <w:top w:w="90" w:type="dxa"/>
              <w:bottom w:w="90" w:type="dxa"/>
              <w:left w:w="110" w:type="dxa"/>
              <w:right w:w="110" w:type="dxa"/>
            </w:tcMar>
          </w:tcPr>
          <w:p>
            <w:pPr>
              <w:spacing w:after="20" w:line="245" w:lineRule="auto"/>
            </w:pPr>
            <w:r>
              <w:rPr>
                <w:b w:val="0"/>
                <w:sz w:val="18"/>
              </w:rPr>
              <w:t>Bounded plans, permission-checked tools, durable execution, delegated human checkpoints and reporting.</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2.3 External client access</w:t>
            </w:r>
          </w:p>
        </w:tc>
        <w:tc>
          <w:tcPr>
            <w:tcW w:type="dxa" w:w="7776"/>
            <w:vAlign w:val="center"/>
            <w:tcMar>
              <w:top w:w="90" w:type="dxa"/>
              <w:bottom w:w="90" w:type="dxa"/>
              <w:left w:w="110" w:type="dxa"/>
              <w:right w:w="110" w:type="dxa"/>
            </w:tcMar>
          </w:tcPr>
          <w:p>
            <w:pPr>
              <w:spacing w:after="20" w:line="245" w:lineRule="auto"/>
            </w:pPr>
            <w:r>
              <w:rPr>
                <w:b w:val="0"/>
                <w:sz w:val="18"/>
              </w:rPr>
              <w:t>Read/draft-first MCP with audience-specific tools, OAuth and entitlement parity.</w:t>
            </w:r>
          </w:p>
        </w:tc>
      </w:tr>
      <w:tr>
        <w:trPr>
          <w:cantSplit/>
        </w:trPr>
        <w:tc>
          <w:tcPr>
            <w:tcW w:type="dxa" w:w="2448"/>
            <w:vAlign w:val="center"/>
            <w:tcMar>
              <w:top w:w="90" w:type="dxa"/>
              <w:bottom w:w="90" w:type="dxa"/>
              <w:left w:w="110" w:type="dxa"/>
              <w:right w:w="110" w:type="dxa"/>
            </w:tcMar>
          </w:tcPr>
          <w:p>
            <w:pPr>
              <w:spacing w:after="20" w:line="245" w:lineRule="auto"/>
            </w:pPr>
            <w:r>
              <w:rPr>
                <w:b w:val="0"/>
                <w:sz w:val="18"/>
              </w:rPr>
              <w:t>2.4 Optional extensions</w:t>
            </w:r>
          </w:p>
        </w:tc>
        <w:tc>
          <w:tcPr>
            <w:tcW w:type="dxa" w:w="7776"/>
            <w:vAlign w:val="center"/>
            <w:tcMar>
              <w:top w:w="90" w:type="dxa"/>
              <w:bottom w:w="90" w:type="dxa"/>
              <w:left w:w="110" w:type="dxa"/>
              <w:right w:w="110" w:type="dxa"/>
            </w:tcMar>
          </w:tcPr>
          <w:p>
            <w:pPr>
              <w:spacing w:after="20" w:line="245" w:lineRule="auto"/>
            </w:pPr>
            <w:r>
              <w:rPr>
                <w:b w:val="0"/>
                <w:sz w:val="18"/>
              </w:rPr>
              <w:t>Content-only Talent Showcase assessment, advanced agency coordination and practice packs after validation.</w:t>
            </w:r>
          </w:p>
        </w:tc>
      </w:tr>
    </w:tbl>
    <w:p>
      <w:pPr>
        <w:spacing w:after="20"/>
      </w:pPr>
    </w:p>
    <w:p>
      <w:pPr>
        <w:spacing w:before="80" w:after="180"/>
        <w:shd w:fill="F7ECE7"/>
      </w:pPr>
      <w:r>
        <w:rPr>
          <w:b w:val="0"/>
        </w:rPr>
      </w:r>
      <w:r>
        <w:rPr>
          <w:b/>
        </w:rPr>
        <w:t>Boundary</w:t>
      </w:r>
      <w:r>
        <w:rPr>
          <w:b w:val="0"/>
        </w:rPr>
        <w:t xml:space="preserve">  No automatic legal judgment, signature impersonation, unrestricted spending, undisclosed client communications, cross-client memory reuse or autonomous binding dispute adjudication. Advanced settings cannot override platform/professional safeguards.</w:t>
      </w:r>
    </w:p>
    <w:p>
      <w:r>
        <w:br w:type="page"/>
      </w:r>
    </w:p>
    <w:p>
      <w:pPr>
        <w:pStyle w:val="Heading1"/>
      </w:pPr>
      <w:r>
        <w:t>2. Agent product model and job descriptions</w:t>
      </w:r>
    </w:p>
    <w:p>
      <w:r>
        <w:rPr>
          <w:b w:val="0"/>
        </w:rPr>
        <w:t>An agent is a versioned configuration of objective, capabilities, data grants, schedule, limits, approvals and evaluation cases. Shared orchestration/security services enforce it. A separate prompt or model is not a separate authorization boundary.</w:t>
      </w:r>
    </w:p>
    <w:tbl>
      <w:tblPr>
        <w:tblW w:type="auto" w:w="0"/>
        <w:jc w:val="center"/>
        <w:tblLayout w:type="fixed"/>
        <w:tblLook w:firstColumn="1" w:firstRow="1" w:lastColumn="0" w:lastRow="0" w:noHBand="0" w:noVBand="1" w:val="04A0"/>
      </w:tblPr>
      <w:tblGrid>
        <w:gridCol w:w="2520"/>
        <w:gridCol w:w="7704"/>
      </w:tblGrid>
      <w:tr>
        <w:trPr>
          <w:tblHeader/>
          <w:cantSplit/>
        </w:trPr>
        <w:tc>
          <w:tcPr>
            <w:tcW w:type="dxa" w:w="2520"/>
            <w:vAlign w:val="center"/>
            <w:tcMar>
              <w:top w:w="90" w:type="dxa"/>
              <w:bottom w:w="90" w:type="dxa"/>
              <w:left w:w="110" w:type="dxa"/>
              <w:right w:w="110" w:type="dxa"/>
            </w:tcMar>
            <w:shd w:fill="8B1F3F"/>
          </w:tcPr>
          <w:p>
            <w:pPr>
              <w:spacing w:after="20" w:line="245" w:lineRule="auto"/>
            </w:pPr>
            <w:r>
              <w:rPr>
                <w:b/>
                <w:color w:val="FFFFFF"/>
                <w:sz w:val="18"/>
              </w:rPr>
              <w:t>Manifest field</w:t>
            </w:r>
          </w:p>
        </w:tc>
        <w:tc>
          <w:tcPr>
            <w:tcW w:type="dxa" w:w="7704"/>
            <w:vAlign w:val="center"/>
            <w:tcMar>
              <w:top w:w="90" w:type="dxa"/>
              <w:bottom w:w="90" w:type="dxa"/>
              <w:left w:w="110" w:type="dxa"/>
              <w:right w:w="110" w:type="dxa"/>
            </w:tcMar>
            <w:shd w:fill="8B1F3F"/>
          </w:tcPr>
          <w:p>
            <w:pPr>
              <w:spacing w:after="20" w:line="245" w:lineRule="auto"/>
            </w:pPr>
            <w:r>
              <w:rPr>
                <w:b/>
                <w:color w:val="FFFFFF"/>
                <w:sz w:val="18"/>
              </w:rPr>
              <w:t>Required meaning</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Identity / ownership</w:t>
            </w:r>
          </w:p>
        </w:tc>
        <w:tc>
          <w:tcPr>
            <w:tcW w:type="dxa" w:w="7704"/>
            <w:vAlign w:val="center"/>
            <w:tcMar>
              <w:top w:w="90" w:type="dxa"/>
              <w:bottom w:w="90" w:type="dxa"/>
              <w:left w:w="110" w:type="dxa"/>
              <w:right w:w="110" w:type="dxa"/>
            </w:tcMar>
          </w:tcPr>
          <w:p>
            <w:pPr>
              <w:spacing w:after="20" w:line="245" w:lineRule="auto"/>
            </w:pPr>
            <w:r>
              <w:rPr>
                <w:b w:val="0"/>
                <w:sz w:val="18"/>
              </w:rPr>
              <w:t>agent_definition_version; instance owner person/firm/agency; allowed roles and workspaces.</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Job and exclusions</w:t>
            </w:r>
          </w:p>
        </w:tc>
        <w:tc>
          <w:tcPr>
            <w:tcW w:type="dxa" w:w="7704"/>
            <w:vAlign w:val="center"/>
            <w:tcMar>
              <w:top w:w="90" w:type="dxa"/>
              <w:bottom w:w="90" w:type="dxa"/>
              <w:left w:w="110" w:type="dxa"/>
              <w:right w:w="110" w:type="dxa"/>
            </w:tcMar>
          </w:tcPr>
          <w:p>
            <w:pPr>
              <w:spacing w:after="20" w:line="245" w:lineRule="auto"/>
            </w:pPr>
            <w:r>
              <w:rPr>
                <w:b w:val="0"/>
                <w:sz w:val="18"/>
              </w:rPr>
              <w:t>Goal, supported tasks, measurable outcome, prohibited tasks and escalation triggers.</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Trigger policy</w:t>
            </w:r>
          </w:p>
        </w:tc>
        <w:tc>
          <w:tcPr>
            <w:tcW w:type="dxa" w:w="7704"/>
            <w:vAlign w:val="center"/>
            <w:tcMar>
              <w:top w:w="90" w:type="dxa"/>
              <w:bottom w:w="90" w:type="dxa"/>
              <w:left w:w="110" w:type="dxa"/>
              <w:right w:w="110" w:type="dxa"/>
            </w:tcMar>
          </w:tcPr>
          <w:p>
            <w:pPr>
              <w:spacing w:after="20" w:line="245" w:lineRule="auto"/>
            </w:pPr>
            <w:r>
              <w:rPr>
                <w:b w:val="0"/>
                <w:sz w:val="18"/>
              </w:rPr>
              <w:t>User request, approved event, schedule or condition; quiet hours, deduplication and maximum run frequency.</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Data manifest</w:t>
            </w:r>
          </w:p>
        </w:tc>
        <w:tc>
          <w:tcPr>
            <w:tcW w:type="dxa" w:w="7704"/>
            <w:vAlign w:val="center"/>
            <w:tcMar>
              <w:top w:w="90" w:type="dxa"/>
              <w:bottom w:w="90" w:type="dxa"/>
              <w:left w:w="110" w:type="dxa"/>
              <w:right w:w="110" w:type="dxa"/>
            </w:tcMar>
          </w:tcPr>
          <w:p>
            <w:pPr>
              <w:spacing w:after="20" w:line="245" w:lineRule="auto"/>
            </w:pPr>
            <w:r>
              <w:rPr>
                <w:b w:val="0"/>
                <w:sz w:val="18"/>
              </w:rPr>
              <w:t>Resource filters, sensitivity classes, memory scopes, approved provider/credential payer and retention.</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Capability grants</w:t>
            </w:r>
          </w:p>
        </w:tc>
        <w:tc>
          <w:tcPr>
            <w:tcW w:type="dxa" w:w="7704"/>
            <w:vAlign w:val="center"/>
            <w:tcMar>
              <w:top w:w="90" w:type="dxa"/>
              <w:bottom w:w="90" w:type="dxa"/>
              <w:left w:w="110" w:type="dxa"/>
              <w:right w:w="110" w:type="dxa"/>
            </w:tcMar>
          </w:tcPr>
          <w:p>
            <w:pPr>
              <w:spacing w:after="20" w:line="245" w:lineRule="auto"/>
            </w:pPr>
            <w:r>
              <w:rPr>
                <w:b w:val="0"/>
                <w:sz w:val="18"/>
              </w:rPr>
              <w:t>Narrow read/draft/write operations, external target/recipient constraints and provider permissions.</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Authority</w:t>
            </w:r>
          </w:p>
        </w:tc>
        <w:tc>
          <w:tcPr>
            <w:tcW w:type="dxa" w:w="7704"/>
            <w:vAlign w:val="center"/>
            <w:tcMar>
              <w:top w:w="90" w:type="dxa"/>
              <w:bottom w:w="90" w:type="dxa"/>
              <w:left w:w="110" w:type="dxa"/>
              <w:right w:w="110" w:type="dxa"/>
            </w:tcMar>
          </w:tcPr>
          <w:p>
            <w:pPr>
              <w:spacing w:after="20" w:line="245" w:lineRule="auto"/>
            </w:pPr>
            <w:r>
              <w:rPr>
                <w:b w:val="0"/>
                <w:sz w:val="18"/>
              </w:rPr>
              <w:t>Risk level, human approval conditions, standing mandate reference, expiry/revocation and spending/capacity limits.</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Budget and recovery</w:t>
            </w:r>
          </w:p>
        </w:tc>
        <w:tc>
          <w:tcPr>
            <w:tcW w:type="dxa" w:w="7704"/>
            <w:vAlign w:val="center"/>
            <w:tcMar>
              <w:top w:w="90" w:type="dxa"/>
              <w:bottom w:w="90" w:type="dxa"/>
              <w:left w:w="110" w:type="dxa"/>
              <w:right w:w="110" w:type="dxa"/>
            </w:tcMar>
          </w:tcPr>
          <w:p>
            <w:pPr>
              <w:spacing w:after="20" w:line="245" w:lineRule="auto"/>
            </w:pPr>
            <w:r>
              <w:rPr>
                <w:b w:val="0"/>
                <w:sz w:val="18"/>
              </w:rPr>
              <w:t>Tokens/tool calls/steps/cost/time limits, retries, pause/resume, fallback, compensation and kill switch.</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Quality and provenance</w:t>
            </w:r>
          </w:p>
        </w:tc>
        <w:tc>
          <w:tcPr>
            <w:tcW w:type="dxa" w:w="7704"/>
            <w:vAlign w:val="center"/>
            <w:tcMar>
              <w:top w:w="90" w:type="dxa"/>
              <w:bottom w:w="90" w:type="dxa"/>
              <w:left w:w="110" w:type="dxa"/>
              <w:right w:w="110" w:type="dxa"/>
            </w:tcMar>
          </w:tcPr>
          <w:p>
            <w:pPr>
              <w:spacing w:after="20" w:line="245" w:lineRule="auto"/>
            </w:pPr>
            <w:r>
              <w:rPr>
                <w:b w:val="0"/>
                <w:sz w:val="18"/>
              </w:rPr>
              <w:t>Prompt/model/tool versions, source evidence, result schema, tests and explanation requirements.</w:t>
            </w:r>
          </w:p>
        </w:tc>
      </w:tr>
    </w:tbl>
    <w:p>
      <w:pPr>
        <w:spacing w:after="20"/>
      </w:pPr>
    </w:p>
    <w:p>
      <w:r>
        <w:rPr>
          <w:b w:val="0"/>
        </w:rPr>
      </w:r>
      <w:r>
        <w:rPr>
          <w:b/>
        </w:rPr>
        <w:t>Hire flow:</w:t>
      </w:r>
      <w:r>
        <w:rPr>
          <w:b w:val="0"/>
        </w:rPr>
        <w:t xml:space="preserve"> choose role -&gt; view job description and data destinations -&gt; configure permitted resources -&gt; select autonomy/budget -&gt; run a dry-run against authorized sample -&gt; inspect proposed actions -&gt; activate. All high-impact capabilities start disabled. Firm owner policy may narrow an individual's choices.</w:t>
      </w:r>
    </w:p>
    <w:p>
      <w:r>
        <w:rPr>
          <w:b w:val="0"/>
        </w:rPr>
      </w:r>
      <w:r>
        <w:rPr>
          <w:b/>
        </w:rPr>
        <w:t>Pause or terminate:</w:t>
      </w:r>
      <w:r>
        <w:rPr>
          <w:b w:val="0"/>
        </w:rPr>
        <w:t xml:space="preserve"> stop new triggers, invalidate execution leases and queued approvals as appropriate, revoke tool grants, retain lawful history and preserve active human obligations. An already sent email or completed transfer cannot be undone by toggling a switch; show irreversible effects.</w:t>
      </w:r>
    </w:p>
    <w:p>
      <w:r>
        <w:rPr>
          <w:b w:val="0"/>
        </w:rPr>
      </w:r>
      <w:r>
        <w:rPr>
          <w:b/>
        </w:rPr>
        <w:t>Pricing:</w:t>
      </w:r>
      <w:r>
        <w:rPr>
          <w:b w:val="0"/>
        </w:rPr>
        <w:t xml:space="preserve"> AI Teams can be a paid platform capability; BYOK still exists on all plans. Higher use is not unlimited workers, storage or integrations. Set active-agent/operation budgets only after measurement, not from earlier illustrative allowances.</w:t>
      </w:r>
    </w:p>
    <w:p>
      <w:r>
        <w:br w:type="page"/>
      </w:r>
    </w:p>
    <w:p>
      <w:pPr>
        <w:pStyle w:val="Heading1"/>
      </w:pPr>
      <w:r>
        <w:t>3. Attorney and freelancer agent roles</w:t>
      </w:r>
    </w:p>
    <w:tbl>
      <w:tblPr>
        <w:tblW w:type="auto" w:w="0"/>
        <w:jc w:val="center"/>
        <w:tblLayout w:type="fixed"/>
        <w:tblLook w:firstColumn="1" w:firstRow="1" w:lastColumn="0" w:lastRow="0" w:noHBand="0" w:noVBand="1" w:val="04A0"/>
      </w:tblPr>
      <w:tblGrid>
        <w:gridCol w:w="2160"/>
        <w:gridCol w:w="4320"/>
        <w:gridCol w:w="3744"/>
      </w:tblGrid>
      <w:tr>
        <w:trPr>
          <w:tblHeader/>
          <w:cantSplit/>
        </w:trPr>
        <w:tc>
          <w:tcPr>
            <w:tcW w:type="dxa" w:w="2160"/>
            <w:vAlign w:val="center"/>
            <w:tcMar>
              <w:top w:w="90" w:type="dxa"/>
              <w:bottom w:w="90" w:type="dxa"/>
              <w:left w:w="110" w:type="dxa"/>
              <w:right w:w="110" w:type="dxa"/>
            </w:tcMar>
            <w:shd w:fill="8B1F3F"/>
          </w:tcPr>
          <w:p>
            <w:pPr>
              <w:spacing w:after="20" w:line="245" w:lineRule="auto"/>
            </w:pPr>
            <w:r>
              <w:rPr>
                <w:b/>
                <w:color w:val="FFFFFF"/>
                <w:sz w:val="18"/>
              </w:rPr>
              <w:t>Role</w:t>
            </w:r>
          </w:p>
        </w:tc>
        <w:tc>
          <w:tcPr>
            <w:tcW w:type="dxa" w:w="4320"/>
            <w:vAlign w:val="center"/>
            <w:tcMar>
              <w:top w:w="90" w:type="dxa"/>
              <w:bottom w:w="90" w:type="dxa"/>
              <w:left w:w="110" w:type="dxa"/>
              <w:right w:w="110" w:type="dxa"/>
            </w:tcMar>
            <w:shd w:fill="8B1F3F"/>
          </w:tcPr>
          <w:p>
            <w:pPr>
              <w:spacing w:after="20" w:line="245" w:lineRule="auto"/>
            </w:pPr>
            <w:r>
              <w:rPr>
                <w:b/>
                <w:color w:val="FFFFFF"/>
                <w:sz w:val="18"/>
              </w:rPr>
              <w:t>Authorized useful work</w:t>
            </w:r>
          </w:p>
        </w:tc>
        <w:tc>
          <w:tcPr>
            <w:tcW w:type="dxa" w:w="3744"/>
            <w:vAlign w:val="center"/>
            <w:tcMar>
              <w:top w:w="90" w:type="dxa"/>
              <w:bottom w:w="90" w:type="dxa"/>
              <w:left w:w="110" w:type="dxa"/>
              <w:right w:w="110" w:type="dxa"/>
            </w:tcMar>
            <w:shd w:fill="8B1F3F"/>
          </w:tcPr>
          <w:p>
            <w:pPr>
              <w:spacing w:after="20" w:line="245" w:lineRule="auto"/>
            </w:pPr>
            <w:r>
              <w:rPr>
                <w:b/>
                <w:color w:val="FFFFFF"/>
                <w:sz w:val="18"/>
              </w:rPr>
              <w:t>Human or hard stop</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Meeting Companion</w:t>
            </w:r>
          </w:p>
        </w:tc>
        <w:tc>
          <w:tcPr>
            <w:tcW w:type="dxa" w:w="4320"/>
            <w:vAlign w:val="center"/>
            <w:tcMar>
              <w:top w:w="90" w:type="dxa"/>
              <w:bottom w:w="90" w:type="dxa"/>
              <w:left w:w="110" w:type="dxa"/>
              <w:right w:w="110" w:type="dxa"/>
            </w:tcMar>
          </w:tcPr>
          <w:p>
            <w:pPr>
              <w:spacing w:after="20" w:line="245" w:lineRule="auto"/>
            </w:pPr>
            <w:r>
              <w:rPr>
                <w:b w:val="0"/>
                <w:sz w:val="18"/>
              </w:rPr>
              <w:t>Prepare from permitted calendar/tasks; extract proposed follow-ups from authorized notes.</w:t>
            </w:r>
          </w:p>
        </w:tc>
        <w:tc>
          <w:tcPr>
            <w:tcW w:type="dxa" w:w="3744"/>
            <w:vAlign w:val="center"/>
            <w:tcMar>
              <w:top w:w="90" w:type="dxa"/>
              <w:bottom w:w="90" w:type="dxa"/>
              <w:left w:w="110" w:type="dxa"/>
              <w:right w:w="110" w:type="dxa"/>
            </w:tcMar>
          </w:tcPr>
          <w:p>
            <w:pPr>
              <w:spacing w:after="20" w:line="245" w:lineRule="auto"/>
            </w:pPr>
            <w:r>
              <w:rPr>
                <w:b w:val="0"/>
                <w:sz w:val="18"/>
              </w:rPr>
              <w:t>No invented meeting decisions or covert recording.</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Workflow Architect</w:t>
            </w:r>
          </w:p>
        </w:tc>
        <w:tc>
          <w:tcPr>
            <w:tcW w:type="dxa" w:w="4320"/>
            <w:vAlign w:val="center"/>
            <w:tcMar>
              <w:top w:w="90" w:type="dxa"/>
              <w:bottom w:w="90" w:type="dxa"/>
              <w:left w:w="110" w:type="dxa"/>
              <w:right w:w="110" w:type="dxa"/>
            </w:tcMar>
          </w:tcPr>
          <w:p>
            <w:pPr>
              <w:spacing w:after="20" w:line="245" w:lineRule="auto"/>
            </w:pPr>
            <w:r>
              <w:rPr>
                <w:b w:val="0"/>
                <w:sz w:val="18"/>
              </w:rPr>
              <w:t>Find approved SOP, flag gaps and draft versioned steps/criteria.</w:t>
            </w:r>
          </w:p>
        </w:tc>
        <w:tc>
          <w:tcPr>
            <w:tcW w:type="dxa" w:w="3744"/>
            <w:vAlign w:val="center"/>
            <w:tcMar>
              <w:top w:w="90" w:type="dxa"/>
              <w:bottom w:w="90" w:type="dxa"/>
              <w:left w:w="110" w:type="dxa"/>
              <w:right w:w="110" w:type="dxa"/>
            </w:tcMar>
          </w:tcPr>
          <w:p>
            <w:pPr>
              <w:spacing w:after="20" w:line="245" w:lineRule="auto"/>
            </w:pPr>
            <w:r>
              <w:rPr>
                <w:b w:val="0"/>
                <w:sz w:val="18"/>
              </w:rPr>
              <w:t>No new legal rule or firm policy without review.</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Delegation Manager</w:t>
            </w:r>
          </w:p>
        </w:tc>
        <w:tc>
          <w:tcPr>
            <w:tcW w:type="dxa" w:w="4320"/>
            <w:vAlign w:val="center"/>
            <w:tcMar>
              <w:top w:w="90" w:type="dxa"/>
              <w:bottom w:w="90" w:type="dxa"/>
              <w:left w:w="110" w:type="dxa"/>
              <w:right w:w="110" w:type="dxa"/>
            </w:tcMar>
          </w:tcPr>
          <w:p>
            <w:pPr>
              <w:spacing w:after="20" w:line="245" w:lineRule="auto"/>
            </w:pPr>
            <w:r>
              <w:rPr>
                <w:b w:val="0"/>
                <w:sz w:val="18"/>
              </w:rPr>
              <w:t>Track dependencies, approvals, task backlog and available bench candidates.</w:t>
            </w:r>
          </w:p>
        </w:tc>
        <w:tc>
          <w:tcPr>
            <w:tcW w:type="dxa" w:w="3744"/>
            <w:vAlign w:val="center"/>
            <w:tcMar>
              <w:top w:w="90" w:type="dxa"/>
              <w:bottom w:w="90" w:type="dxa"/>
              <w:left w:w="110" w:type="dxa"/>
              <w:right w:w="110" w:type="dxa"/>
            </w:tcMar>
          </w:tcPr>
          <w:p>
            <w:pPr>
              <w:spacing w:after="20" w:line="245" w:lineRule="auto"/>
            </w:pPr>
            <w:r>
              <w:rPr>
                <w:b w:val="0"/>
                <w:sz w:val="18"/>
              </w:rPr>
              <w:t>No new staffing commitment beyond a valid mandate.</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Talent Scout</w:t>
            </w:r>
          </w:p>
        </w:tc>
        <w:tc>
          <w:tcPr>
            <w:tcW w:type="dxa" w:w="4320"/>
            <w:vAlign w:val="center"/>
            <w:tcMar>
              <w:top w:w="90" w:type="dxa"/>
              <w:bottom w:w="90" w:type="dxa"/>
              <w:left w:w="110" w:type="dxa"/>
              <w:right w:w="110" w:type="dxa"/>
            </w:tcMar>
          </w:tcPr>
          <w:p>
            <w:pPr>
              <w:spacing w:after="20" w:line="245" w:lineRule="auto"/>
            </w:pPr>
            <w:r>
              <w:rPr>
                <w:b w:val="0"/>
                <w:sz w:val="18"/>
              </w:rPr>
              <w:t>Use sanitized work requirements to find available qualified members and prepare invitations.</w:t>
            </w:r>
          </w:p>
        </w:tc>
        <w:tc>
          <w:tcPr>
            <w:tcW w:type="dxa" w:w="3744"/>
            <w:vAlign w:val="center"/>
            <w:tcMar>
              <w:top w:w="90" w:type="dxa"/>
              <w:bottom w:w="90" w:type="dxa"/>
              <w:left w:w="110" w:type="dxa"/>
              <w:right w:w="110" w:type="dxa"/>
            </w:tcMar>
          </w:tcPr>
          <w:p>
            <w:pPr>
              <w:spacing w:after="20" w:line="245" w:lineRule="auto"/>
            </w:pPr>
            <w:r>
              <w:rPr>
                <w:b w:val="0"/>
                <w:sz w:val="18"/>
              </w:rPr>
              <w:t>No confidential disclosure or uncontrolled mass outreach.</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Engagement Coordinator</w:t>
            </w:r>
          </w:p>
        </w:tc>
        <w:tc>
          <w:tcPr>
            <w:tcW w:type="dxa" w:w="4320"/>
            <w:vAlign w:val="center"/>
            <w:tcMar>
              <w:top w:w="90" w:type="dxa"/>
              <w:bottom w:w="90" w:type="dxa"/>
              <w:left w:w="110" w:type="dxa"/>
              <w:right w:w="110" w:type="dxa"/>
            </w:tcMar>
          </w:tcPr>
          <w:p>
            <w:pPr>
              <w:spacing w:after="20" w:line="245" w:lineRule="auto"/>
            </w:pPr>
            <w:r>
              <w:rPr>
                <w:b w:val="0"/>
                <w:sz w:val="18"/>
              </w:rPr>
              <w:t>Reminders, submission completeness, changes and closeout preparation.</w:t>
            </w:r>
          </w:p>
        </w:tc>
        <w:tc>
          <w:tcPr>
            <w:tcW w:type="dxa" w:w="3744"/>
            <w:vAlign w:val="center"/>
            <w:tcMar>
              <w:top w:w="90" w:type="dxa"/>
              <w:bottom w:w="90" w:type="dxa"/>
              <w:left w:w="110" w:type="dxa"/>
              <w:right w:w="110" w:type="dxa"/>
            </w:tcMar>
          </w:tcPr>
          <w:p>
            <w:pPr>
              <w:spacing w:after="20" w:line="245" w:lineRule="auto"/>
            </w:pPr>
            <w:r>
              <w:rPr>
                <w:b w:val="0"/>
                <w:sz w:val="18"/>
              </w:rPr>
              <w:t>No AI-only legal acceptance or unapproved money movement.</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Opportunity Scout</w:t>
            </w:r>
          </w:p>
        </w:tc>
        <w:tc>
          <w:tcPr>
            <w:tcW w:type="dxa" w:w="4320"/>
            <w:vAlign w:val="center"/>
            <w:tcMar>
              <w:top w:w="90" w:type="dxa"/>
              <w:bottom w:w="90" w:type="dxa"/>
              <w:left w:w="110" w:type="dxa"/>
              <w:right w:w="110" w:type="dxa"/>
            </w:tcMar>
          </w:tcPr>
          <w:p>
            <w:pPr>
              <w:spacing w:after="20" w:line="245" w:lineRule="auto"/>
            </w:pPr>
            <w:r>
              <w:rPr>
                <w:b w:val="0"/>
                <w:sz w:val="18"/>
              </w:rPr>
              <w:t>Match actual gigs to freelancer expertise/capacity; notify with preferences.</w:t>
            </w:r>
          </w:p>
        </w:tc>
        <w:tc>
          <w:tcPr>
            <w:tcW w:type="dxa" w:w="3744"/>
            <w:vAlign w:val="center"/>
            <w:tcMar>
              <w:top w:w="90" w:type="dxa"/>
              <w:bottom w:w="90" w:type="dxa"/>
              <w:left w:w="110" w:type="dxa"/>
              <w:right w:w="110" w:type="dxa"/>
            </w:tcMar>
          </w:tcPr>
          <w:p>
            <w:pPr>
              <w:spacing w:after="20" w:line="245" w:lineRule="auto"/>
            </w:pPr>
            <w:r>
              <w:rPr>
                <w:b w:val="0"/>
                <w:sz w:val="18"/>
              </w:rPr>
              <w:t>No fabricated demand, quota bypass or automated spam.</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Proposal / Growth Assistant</w:t>
            </w:r>
          </w:p>
        </w:tc>
        <w:tc>
          <w:tcPr>
            <w:tcW w:type="dxa" w:w="4320"/>
            <w:vAlign w:val="center"/>
            <w:tcMar>
              <w:top w:w="90" w:type="dxa"/>
              <w:bottom w:w="90" w:type="dxa"/>
              <w:left w:w="110" w:type="dxa"/>
              <w:right w:w="110" w:type="dxa"/>
            </w:tcMar>
          </w:tcPr>
          <w:p>
            <w:pPr>
              <w:spacing w:after="20" w:line="245" w:lineRule="auto"/>
            </w:pPr>
            <w:r>
              <w:rPr>
                <w:b w:val="0"/>
                <w:sz w:val="18"/>
              </w:rPr>
              <w:t>Draft tailored proposals, services and promotions from truthful evidence.</w:t>
            </w:r>
          </w:p>
        </w:tc>
        <w:tc>
          <w:tcPr>
            <w:tcW w:type="dxa" w:w="3744"/>
            <w:vAlign w:val="center"/>
            <w:tcMar>
              <w:top w:w="90" w:type="dxa"/>
              <w:bottom w:w="90" w:type="dxa"/>
              <w:left w:w="110" w:type="dxa"/>
              <w:right w:w="110" w:type="dxa"/>
            </w:tcMar>
          </w:tcPr>
          <w:p>
            <w:pPr>
              <w:spacing w:after="20" w:line="245" w:lineRule="auto"/>
            </w:pPr>
            <w:r>
              <w:rPr>
                <w:b w:val="0"/>
                <w:sz w:val="18"/>
              </w:rPr>
              <w:t>Member approves publishing; no invented credentials.</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Project Companion</w:t>
            </w:r>
          </w:p>
        </w:tc>
        <w:tc>
          <w:tcPr>
            <w:tcW w:type="dxa" w:w="4320"/>
            <w:vAlign w:val="center"/>
            <w:tcMar>
              <w:top w:w="90" w:type="dxa"/>
              <w:bottom w:w="90" w:type="dxa"/>
              <w:left w:w="110" w:type="dxa"/>
              <w:right w:w="110" w:type="dxa"/>
            </w:tcMar>
          </w:tcPr>
          <w:p>
            <w:pPr>
              <w:spacing w:after="20" w:line="245" w:lineRule="auto"/>
            </w:pPr>
            <w:r>
              <w:rPr>
                <w:b w:val="0"/>
                <w:sz w:val="18"/>
              </w:rPr>
              <w:t>Interpret approved scope, create checklists, prepare updates and suggest reusable methods.</w:t>
            </w:r>
          </w:p>
        </w:tc>
        <w:tc>
          <w:tcPr>
            <w:tcW w:type="dxa" w:w="3744"/>
            <w:vAlign w:val="center"/>
            <w:tcMar>
              <w:top w:w="90" w:type="dxa"/>
              <w:bottom w:w="90" w:type="dxa"/>
              <w:left w:w="110" w:type="dxa"/>
              <w:right w:w="110" w:type="dxa"/>
            </w:tcMar>
          </w:tcPr>
          <w:p>
            <w:pPr>
              <w:spacing w:after="20" w:line="245" w:lineRule="auto"/>
            </w:pPr>
            <w:r>
              <w:rPr>
                <w:b w:val="0"/>
                <w:sz w:val="18"/>
              </w:rPr>
              <w:t>No client-to-client reuse or substantive independent legal advice.</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Agency Coordinator</w:t>
            </w:r>
          </w:p>
        </w:tc>
        <w:tc>
          <w:tcPr>
            <w:tcW w:type="dxa" w:w="4320"/>
            <w:vAlign w:val="center"/>
            <w:tcMar>
              <w:top w:w="90" w:type="dxa"/>
              <w:bottom w:w="90" w:type="dxa"/>
              <w:left w:w="110" w:type="dxa"/>
              <w:right w:w="110" w:type="dxa"/>
            </w:tcMar>
          </w:tcPr>
          <w:p>
            <w:pPr>
              <w:spacing w:after="20" w:line="245" w:lineRule="auto"/>
            </w:pPr>
            <w:r>
              <w:rPr>
                <w:b w:val="0"/>
                <w:sz w:val="18"/>
              </w:rPr>
              <w:t>Suggest authorized team assignments/capacity and internal handoffs.</w:t>
            </w:r>
          </w:p>
        </w:tc>
        <w:tc>
          <w:tcPr>
            <w:tcW w:type="dxa" w:w="3744"/>
            <w:vAlign w:val="center"/>
            <w:tcMar>
              <w:top w:w="90" w:type="dxa"/>
              <w:bottom w:w="90" w:type="dxa"/>
              <w:left w:w="110" w:type="dxa"/>
              <w:right w:w="110" w:type="dxa"/>
            </w:tcMar>
          </w:tcPr>
          <w:p>
            <w:pPr>
              <w:spacing w:after="20" w:line="245" w:lineRule="auto"/>
            </w:pPr>
            <w:r>
              <w:rPr>
                <w:b w:val="0"/>
                <w:sz w:val="18"/>
              </w:rPr>
              <w:t>No automatic client disclosure to a new subcontractor.</w:t>
            </w:r>
          </w:p>
        </w:tc>
      </w:tr>
    </w:tbl>
    <w:p>
      <w:pPr>
        <w:spacing w:after="20"/>
      </w:pPr>
    </w:p>
    <w:p>
      <w:r>
        <w:rPr>
          <w:b w:val="0"/>
        </w:rPr>
        <w:t>The UI remains one DELA experience with an AI Team activity view and unified approval inbox. A user should not choose an agent merely to ask a simple question. Specialist decomposition is justified only by distinct tool/scope/evaluation needs.</w:t>
      </w:r>
    </w:p>
    <w:p>
      <w:r>
        <w:rPr>
          <w:b w:val="0"/>
        </w:rPr>
      </w:r>
      <w:r>
        <w:rPr>
          <w:b/>
        </w:rPr>
        <w:t>Shared handoff:</w:t>
      </w:r>
      <w:r>
        <w:rPr>
          <w:b w:val="0"/>
        </w:rPr>
        <w:t xml:space="preserve"> Meeting context stays matter-scoped. Talent Scout receives a sanitized requirement record, not the full transcript. Proposal Assistant receives an applicant-authorized brief, not competitor pricing or attorney-private notes. Each child run reauthorizes its own inputs.</w:t>
      </w:r>
    </w:p>
    <w:p>
      <w:r>
        <w:br w:type="page"/>
      </w:r>
    </w:p>
    <w:p>
      <w:pPr>
        <w:pStyle w:val="Heading1"/>
      </w:pPr>
      <w:r>
        <w:t>4. Proactive execution and coordination</w:t>
      </w:r>
    </w:p>
    <w:p>
      <w:pPr>
        <w:spacing w:after="140" w:line="240" w:lineRule="auto"/>
        <w:shd w:fill="F3F3F3"/>
      </w:pPr>
      <w:r>
        <w:rPr>
          <w:rFonts w:ascii="Consolas" w:hAnsi="Consolas"/>
          <w:sz w:val="18"/>
        </w:rPr>
        <w:t>event / schedule -&gt; eligibility + deduplication -&gt; plan draft</w:t>
        <w:br/>
        <w:t>-&gt; bounded tool steps -&gt; approval pause where required</w:t>
        <w:br/>
        <w:t>-&gt; reauthorize current context -&gt; execute via service gateway</w:t>
        <w:br/>
        <w:t>-&gt; reconcile external outcome -&gt; audit + consolidated report</w:t>
      </w:r>
    </w:p>
    <w:p>
      <w:pPr>
        <w:pStyle w:val="ListBullet"/>
      </w:pPr>
      <w:r>
        <w:rPr>
          <w:b w:val="0"/>
        </w:rPr>
        <w:t>Use deterministic rules for deadlines, renewal tasks and simple status changes. Invoke models when interpretation adds value; an idle agent does not continuously consume tokens.</w:t>
      </w:r>
    </w:p>
    <w:p>
      <w:pPr>
        <w:pStyle w:val="ListBullet"/>
      </w:pPr>
      <w:r>
        <w:rPr>
          <w:b w:val="0"/>
        </w:rPr>
        <w:t>Every run carries tenant/context, budget reservation, causal event, manifest version, capability grants, current object versions and a termination bound.</w:t>
      </w:r>
    </w:p>
    <w:p>
      <w:pPr>
        <w:pStyle w:val="ListBullet"/>
      </w:pPr>
      <w:r>
        <w:rPr>
          <w:b w:val="0"/>
        </w:rPr>
        <w:t>Persist checkpoints and pending approvals. Worker crashes or model-provider outages resume safely rather than rerunning earlier charges, messages or creations.</w:t>
      </w:r>
    </w:p>
    <w:p>
      <w:pPr>
        <w:pStyle w:val="ListBullet"/>
      </w:pPr>
      <w:r>
        <w:rPr>
          <w:b w:val="0"/>
        </w:rPr>
        <w:t>Approval binds exact action/target/amount/content version and expires. Material change invalidates approval; a broad chat response such as "looks good" is not permission to alter every downstream system.</w:t>
      </w:r>
    </w:p>
    <w:p>
      <w:pPr>
        <w:pStyle w:val="ListBullet"/>
      </w:pPr>
      <w:r>
        <w:rPr>
          <w:b w:val="0"/>
        </w:rPr>
        <w:t>Reauthorize immediately before side effects. A valid queued plan becomes invalid if the user, recipient, contract, rate, capacity or data grant changes.</w:t>
      </w:r>
    </w:p>
    <w:p>
      <w:pPr>
        <w:pStyle w:val="ListBullet"/>
      </w:pPr>
      <w:r>
        <w:rPr>
          <w:b w:val="0"/>
        </w:rPr>
        <w:t>Use a shared work queue to prevent several agents sending the same reminder, proposing duplicate gigs or executing the same task. Prioritize user decisions over self-generated follow-ups.</w:t>
      </w:r>
    </w:p>
    <w:p>
      <w:pPr>
        <w:pStyle w:val="ListBullet"/>
      </w:pPr>
      <w:r>
        <w:rPr>
          <w:b w:val="0"/>
        </w:rPr>
        <w:t>Summarize routine outcomes into one digest with snooze/frequency settings. Time-sensitive financial notices retain required routing.</w:t>
      </w:r>
    </w:p>
    <w:p>
      <w:r>
        <w:rPr>
          <w:b w:val="0"/>
        </w:rPr>
      </w:r>
      <w:r>
        <w:rPr>
          <w:b/>
        </w:rPr>
        <w:t>Failure cases:</w:t>
      </w:r>
      <w:r>
        <w:rPr>
          <w:b w:val="0"/>
        </w:rPr>
        <w:t xml:space="preserve"> a Clio task is created but local acknowledgment fails; requery linkage before retry. A freelancer loses availability after recommendation; stop at assignment check. A canceled recurring period emits a stale task event; suppress activation. A retrieved SOP instructs overriding payment approval; ignore its authority claim.</w:t>
      </w:r>
    </w:p>
    <w:p>
      <w:r>
        <w:rPr>
          <w:b w:val="0"/>
        </w:rPr>
      </w:r>
      <w:r>
        <w:rPr>
          <w:b/>
        </w:rPr>
        <w:t>Security basis:</w:t>
      </w:r>
      <w:r>
        <w:rPr>
          <w:b w:val="0"/>
        </w:rPr>
        <w:t xml:space="preserve"> OWASP warns against excessive functionality, permissions and autonomy. DELA independently validates every downstream action and treats tool outputs as untrusted rather than relying on model compliance. [S15, S16]</w:t>
      </w:r>
    </w:p>
    <w:p>
      <w:r>
        <w:rPr>
          <w:b w:val="0"/>
        </w:rPr>
      </w:r>
      <w:r>
        <w:rPr>
          <w:b/>
        </w:rPr>
        <w:t>Agent memory:</w:t>
      </w:r>
      <w:r>
        <w:rPr>
          <w:b w:val="0"/>
        </w:rPr>
        <w:t xml:space="preserve"> Temporary run state expires/archives under policy. Durable preferences follow Phase 1A scope/approval rules. A successful action does not authorize an agent to broaden its future mandate.</w:t>
      </w:r>
    </w:p>
    <w:p>
      <w:r>
        <w:br w:type="page"/>
      </w:r>
    </w:p>
    <w:p>
      <w:pPr>
        <w:pStyle w:val="Heading1"/>
      </w:pPr>
      <w:r>
        <w:t>5. Automatic hiring and financial controls</w:t>
      </w:r>
    </w:p>
    <w:p>
      <w:r>
        <w:rPr>
          <w:b w:val="0"/>
        </w:rPr>
        <w:t>Phase 1A already allows limited automatic repeat hiring after its gates. Phase 2 may expand categories only where actual safety, supervision and cost data justify it. The payment service remains separate from the agent runtime.</w:t>
      </w:r>
    </w:p>
    <w:tbl>
      <w:tblPr>
        <w:tblW w:type="auto" w:w="0"/>
        <w:jc w:val="center"/>
        <w:tblLayout w:type="fixed"/>
        <w:tblLook w:firstColumn="1" w:firstRow="1" w:lastColumn="0" w:lastRow="0" w:noHBand="0" w:noVBand="1" w:val="04A0"/>
      </w:tblPr>
      <w:tblGrid>
        <w:gridCol w:w="2232"/>
        <w:gridCol w:w="7992"/>
      </w:tblGrid>
      <w:tr>
        <w:trPr>
          <w:tblHeader/>
          <w:cantSplit/>
        </w:trPr>
        <w:tc>
          <w:tcPr>
            <w:tcW w:type="dxa" w:w="2232"/>
            <w:vAlign w:val="center"/>
            <w:tcMar>
              <w:top w:w="90" w:type="dxa"/>
              <w:bottom w:w="90" w:type="dxa"/>
              <w:left w:w="110" w:type="dxa"/>
              <w:right w:w="110" w:type="dxa"/>
            </w:tcMar>
            <w:shd w:fill="8B1F3F"/>
          </w:tcPr>
          <w:p>
            <w:pPr>
              <w:spacing w:after="20" w:line="245" w:lineRule="auto"/>
            </w:pPr>
            <w:r>
              <w:rPr>
                <w:b/>
                <w:color w:val="FFFFFF"/>
                <w:sz w:val="18"/>
              </w:rPr>
              <w:t>Check</w:t>
            </w:r>
          </w:p>
        </w:tc>
        <w:tc>
          <w:tcPr>
            <w:tcW w:type="dxa" w:w="7992"/>
            <w:vAlign w:val="center"/>
            <w:tcMar>
              <w:top w:w="90" w:type="dxa"/>
              <w:bottom w:w="90" w:type="dxa"/>
              <w:left w:w="110" w:type="dxa"/>
              <w:right w:w="110" w:type="dxa"/>
            </w:tcMar>
            <w:shd w:fill="8B1F3F"/>
          </w:tcPr>
          <w:p>
            <w:pPr>
              <w:spacing w:after="20" w:line="245" w:lineRule="auto"/>
            </w:pPr>
            <w:r>
              <w:rPr>
                <w:b/>
                <w:color w:val="FFFFFF"/>
                <w:sz w:val="18"/>
              </w:rPr>
              <w:t>Required outcome</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Relationship</w:t>
            </w:r>
          </w:p>
        </w:tc>
        <w:tc>
          <w:tcPr>
            <w:tcW w:type="dxa" w:w="7992"/>
            <w:vAlign w:val="center"/>
            <w:tcMar>
              <w:top w:w="90" w:type="dxa"/>
              <w:bottom w:w="90" w:type="dxa"/>
              <w:left w:w="110" w:type="dxa"/>
              <w:right w:w="110" w:type="dxa"/>
            </w:tcMar>
          </w:tcPr>
          <w:p>
            <w:pPr>
              <w:spacing w:after="20" w:line="245" w:lineRule="auto"/>
            </w:pPr>
            <w:r>
              <w:rPr>
                <w:b w:val="0"/>
                <w:sz w:val="18"/>
              </w:rPr>
              <w:t>Accepted bench relationship if used; active signed standing arrangement or fresh freelancer consent.</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Scope</w:t>
            </w:r>
          </w:p>
        </w:tc>
        <w:tc>
          <w:tcPr>
            <w:tcW w:type="dxa" w:w="7992"/>
            <w:vAlign w:val="center"/>
            <w:tcMar>
              <w:top w:w="90" w:type="dxa"/>
              <w:bottom w:w="90" w:type="dxa"/>
              <w:left w:w="110" w:type="dxa"/>
              <w:right w:w="110" w:type="dxa"/>
            </w:tcMar>
          </w:tcPr>
          <w:p>
            <w:pPr>
              <w:spacing w:after="20" w:line="245" w:lineRule="auto"/>
            </w:pPr>
            <w:r>
              <w:rPr>
                <w:b w:val="0"/>
                <w:sz w:val="18"/>
              </w:rPr>
              <w:t>Task category, template version, deliverables, input availability and deadline inside the agreed envelope.</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Capacity / rate</w:t>
            </w:r>
          </w:p>
        </w:tc>
        <w:tc>
          <w:tcPr>
            <w:tcW w:type="dxa" w:w="7992"/>
            <w:vAlign w:val="center"/>
            <w:tcMar>
              <w:top w:w="90" w:type="dxa"/>
              <w:bottom w:w="90" w:type="dxa"/>
              <w:left w:w="110" w:type="dxa"/>
              <w:right w:w="110" w:type="dxa"/>
            </w:tcMar>
          </w:tcPr>
          <w:p>
            <w:pPr>
              <w:spacing w:after="20" w:line="245" w:lineRule="auto"/>
            </w:pPr>
            <w:r>
              <w:rPr>
                <w:b w:val="0"/>
                <w:sz w:val="18"/>
              </w:rPr>
              <w:t>Current eligible availability, no exceeded workload, price within agreed formula and per-job/monthly caps.</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Firm authority</w:t>
            </w:r>
          </w:p>
        </w:tc>
        <w:tc>
          <w:tcPr>
            <w:tcW w:type="dxa" w:w="7992"/>
            <w:vAlign w:val="center"/>
            <w:tcMar>
              <w:top w:w="90" w:type="dxa"/>
              <w:bottom w:w="90" w:type="dxa"/>
              <w:left w:w="110" w:type="dxa"/>
              <w:right w:w="110" w:type="dxa"/>
            </w:tcMar>
          </w:tcPr>
          <w:p>
            <w:pPr>
              <w:spacing w:after="20" w:line="245" w:lineRule="auto"/>
            </w:pPr>
            <w:r>
              <w:rPr>
                <w:b w:val="0"/>
                <w:sz w:val="18"/>
              </w:rPr>
              <w:t>Current signatory/spend grant; no role loss, cancellation or security/chargeback restriction.</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Funding</w:t>
            </w:r>
          </w:p>
        </w:tc>
        <w:tc>
          <w:tcPr>
            <w:tcW w:type="dxa" w:w="7992"/>
            <w:vAlign w:val="center"/>
            <w:tcMar>
              <w:top w:w="90" w:type="dxa"/>
              <w:bottom w:w="90" w:type="dxa"/>
              <w:left w:w="110" w:type="dxa"/>
              <w:right w:w="110" w:type="dxa"/>
            </w:tcMar>
          </w:tcPr>
          <w:p>
            <w:pPr>
              <w:spacing w:after="20" w:line="245" w:lineRule="auto"/>
            </w:pPr>
            <w:r>
              <w:rPr>
                <w:b w:val="0"/>
                <w:sz w:val="18"/>
              </w:rPr>
              <w:t>Provider-confirmed required funding before work; no assumption from a saved card or model output.</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Release</w:t>
            </w:r>
          </w:p>
        </w:tc>
        <w:tc>
          <w:tcPr>
            <w:tcW w:type="dxa" w:w="7992"/>
            <w:vAlign w:val="center"/>
            <w:tcMar>
              <w:top w:w="90" w:type="dxa"/>
              <w:bottom w:w="90" w:type="dxa"/>
              <w:left w:w="110" w:type="dxa"/>
              <w:right w:w="110" w:type="dxa"/>
            </w:tcMar>
          </w:tcPr>
          <w:p>
            <w:pPr>
              <w:spacing w:after="20" w:line="245" w:lineRule="auto"/>
            </w:pPr>
            <w:r>
              <w:rPr>
                <w:b w:val="0"/>
                <w:sz w:val="18"/>
              </w:rPr>
              <w:t>Independent acceptance conditions, risk and balance/reconciliation checks; internal AI score is insufficient by itself.</w:t>
            </w:r>
          </w:p>
        </w:tc>
      </w:tr>
    </w:tbl>
    <w:p>
      <w:pPr>
        <w:spacing w:after="20"/>
      </w:pPr>
    </w:p>
    <w:p>
      <w:r>
        <w:rPr>
          <w:b w:val="0"/>
        </w:rPr>
        <w:t>Use an atomic spend reservation across concurrent agents. Mandate limits should include total exposure and pending commitments, not merely money already transferred. Automatically release reservations for canceled eligible drafts; never erase the audit.</w:t>
      </w:r>
    </w:p>
    <w:p>
      <w:r>
        <w:rPr>
          <w:b w:val="0"/>
        </w:rPr>
      </w:r>
      <w:r>
        <w:rPr>
          <w:b/>
        </w:rPr>
        <w:t>Legal review boundary:</w:t>
      </w:r>
      <w:r>
        <w:rPr>
          <w:b w:val="0"/>
        </w:rPr>
        <w:t xml:space="preserve"> Standing arrangements, off-session consent and contractual administrative acceptance must be enforceable and professionally appropriate. Substantive legal output requires the relevant human authorization; an operations agent does not sign filings or decide client rights. [S07, S26]</w:t>
      </w:r>
    </w:p>
    <w:p>
      <w:r>
        <w:rPr>
          <w:b w:val="0"/>
        </w:rPr>
      </w:r>
      <w:r>
        <w:rPr>
          <w:b/>
        </w:rPr>
        <w:t>Rollback:</w:t>
      </w:r>
      <w:r>
        <w:rPr>
          <w:b w:val="0"/>
        </w:rPr>
        <w:t xml:space="preserve"> External commitments require cancellation/compensation, not database deletion. Report actual charge, transfer and payout outcomes separately. Unknown provider outcomes enter reconciliation hold instead of another payment attempt.</w:t>
      </w:r>
    </w:p>
    <w:p>
      <w:r>
        <w:rPr>
          <w:b w:val="0"/>
        </w:rPr>
      </w:r>
      <w:r>
        <w:rPr>
          <w:b/>
        </w:rPr>
        <w:t>Metric:</w:t>
      </w:r>
      <w:r>
        <w:rPr>
          <w:b w:val="0"/>
        </w:rPr>
        <w:t xml:space="preserve"> completed authorized assignments per mandate, human overrides, scope exceptions, duplicate prevention, payment failures and loss exposure. A high number of autonomous actions is not a success metric if the attorney spends more time correcting them.</w:t>
      </w:r>
    </w:p>
    <w:p>
      <w:r>
        <w:br w:type="page"/>
      </w:r>
    </w:p>
    <w:p>
      <w:pPr>
        <w:pStyle w:val="Heading1"/>
      </w:pPr>
      <w:r>
        <w:t>6. Lawfecta MCP and external AI clients</w:t>
      </w:r>
    </w:p>
    <w:p>
      <w:r>
        <w:rPr>
          <w:b w:val="0"/>
        </w:rPr>
        <w:t>Expose narrowly scoped Lawfecta capabilities through a remote MCP service that calls the same application services. This offers convenient access from compatible AI tools without creating a permission, payment or entitlement bypass.</w:t>
      </w:r>
    </w:p>
    <w:tbl>
      <w:tblPr>
        <w:tblW w:type="auto" w:w="0"/>
        <w:jc w:val="center"/>
        <w:tblLayout w:type="fixed"/>
        <w:tblLook w:firstColumn="1" w:firstRow="1" w:lastColumn="0" w:lastRow="0" w:noHBand="0" w:noVBand="1" w:val="04A0"/>
      </w:tblPr>
      <w:tblGrid>
        <w:gridCol w:w="2160"/>
        <w:gridCol w:w="4608"/>
        <w:gridCol w:w="3456"/>
      </w:tblGrid>
      <w:tr>
        <w:trPr>
          <w:tblHeader/>
          <w:cantSplit/>
        </w:trPr>
        <w:tc>
          <w:tcPr>
            <w:tcW w:type="dxa" w:w="2160"/>
            <w:vAlign w:val="center"/>
            <w:tcMar>
              <w:top w:w="90" w:type="dxa"/>
              <w:bottom w:w="90" w:type="dxa"/>
              <w:left w:w="110" w:type="dxa"/>
              <w:right w:w="110" w:type="dxa"/>
            </w:tcMar>
            <w:shd w:fill="8B1F3F"/>
          </w:tcPr>
          <w:p>
            <w:pPr>
              <w:spacing w:after="20" w:line="245" w:lineRule="auto"/>
            </w:pPr>
            <w:r>
              <w:rPr>
                <w:b/>
                <w:color w:val="FFFFFF"/>
                <w:sz w:val="18"/>
              </w:rPr>
              <w:t>Audience</w:t>
            </w:r>
          </w:p>
        </w:tc>
        <w:tc>
          <w:tcPr>
            <w:tcW w:type="dxa" w:w="4608"/>
            <w:vAlign w:val="center"/>
            <w:tcMar>
              <w:top w:w="90" w:type="dxa"/>
              <w:bottom w:w="90" w:type="dxa"/>
              <w:left w:w="110" w:type="dxa"/>
              <w:right w:w="110" w:type="dxa"/>
            </w:tcMar>
            <w:shd w:fill="8B1F3F"/>
          </w:tcPr>
          <w:p>
            <w:pPr>
              <w:spacing w:after="20" w:line="245" w:lineRule="auto"/>
            </w:pPr>
            <w:r>
              <w:rPr>
                <w:b/>
                <w:color w:val="FFFFFF"/>
                <w:sz w:val="18"/>
              </w:rPr>
              <w:t>Initial tool groups</w:t>
            </w:r>
          </w:p>
        </w:tc>
        <w:tc>
          <w:tcPr>
            <w:tcW w:type="dxa" w:w="3456"/>
            <w:vAlign w:val="center"/>
            <w:tcMar>
              <w:top w:w="90" w:type="dxa"/>
              <w:bottom w:w="90" w:type="dxa"/>
              <w:left w:w="110" w:type="dxa"/>
              <w:right w:w="110" w:type="dxa"/>
            </w:tcMar>
            <w:shd w:fill="8B1F3F"/>
          </w:tcPr>
          <w:p>
            <w:pPr>
              <w:spacing w:after="20" w:line="245" w:lineRule="auto"/>
            </w:pPr>
            <w:r>
              <w:rPr>
                <w:b/>
                <w:color w:val="FFFFFF"/>
                <w:sz w:val="18"/>
              </w:rPr>
              <w:t>Deferred / blocked</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Attorney</w:t>
            </w:r>
          </w:p>
        </w:tc>
        <w:tc>
          <w:tcPr>
            <w:tcW w:type="dxa" w:w="4608"/>
            <w:vAlign w:val="center"/>
            <w:tcMar>
              <w:top w:w="90" w:type="dxa"/>
              <w:bottom w:w="90" w:type="dxa"/>
              <w:left w:w="110" w:type="dxa"/>
              <w:right w:w="110" w:type="dxa"/>
            </w:tcMar>
          </w:tcPr>
          <w:p>
            <w:pPr>
              <w:spacing w:after="20" w:line="245" w:lineRule="auto"/>
            </w:pPr>
            <w:r>
              <w:rPr>
                <w:b w:val="0"/>
                <w:sz w:val="18"/>
              </w:rPr>
              <w:t>Read owned playbooks, authorized project status, pending decisions, relevant public talent; draft new delegation plan.</w:t>
            </w:r>
          </w:p>
        </w:tc>
        <w:tc>
          <w:tcPr>
            <w:tcW w:type="dxa" w:w="3456"/>
            <w:vAlign w:val="center"/>
            <w:tcMar>
              <w:top w:w="90" w:type="dxa"/>
              <w:bottom w:w="90" w:type="dxa"/>
              <w:left w:w="110" w:type="dxa"/>
              <w:right w:w="110" w:type="dxa"/>
            </w:tcMar>
          </w:tcPr>
          <w:p>
            <w:pPr>
              <w:spacing w:after="20" w:line="245" w:lineRule="auto"/>
            </w:pPr>
            <w:r>
              <w:rPr>
                <w:b w:val="0"/>
                <w:sz w:val="18"/>
              </w:rPr>
              <w:t>Automatic charging/signing in external chat; arbitrary matter export.</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Freelancer</w:t>
            </w:r>
          </w:p>
        </w:tc>
        <w:tc>
          <w:tcPr>
            <w:tcW w:type="dxa" w:w="4608"/>
            <w:vAlign w:val="center"/>
            <w:tcMar>
              <w:top w:w="90" w:type="dxa"/>
              <w:bottom w:w="90" w:type="dxa"/>
              <w:left w:w="110" w:type="dxa"/>
              <w:right w:w="110" w:type="dxa"/>
            </w:tcMar>
          </w:tcPr>
          <w:p>
            <w:pPr>
              <w:spacing w:after="20" w:line="245" w:lineRule="auto"/>
            </w:pPr>
            <w:r>
              <w:rPr>
                <w:b w:val="0"/>
                <w:sz w:val="18"/>
              </w:rPr>
              <w:t>Read own profile/tasks, permitted gigs, proposal history; prepare draft proposal or update.</w:t>
            </w:r>
          </w:p>
        </w:tc>
        <w:tc>
          <w:tcPr>
            <w:tcW w:type="dxa" w:w="3456"/>
            <w:vAlign w:val="center"/>
            <w:tcMar>
              <w:top w:w="90" w:type="dxa"/>
              <w:bottom w:w="90" w:type="dxa"/>
              <w:left w:w="110" w:type="dxa"/>
              <w:right w:w="110" w:type="dxa"/>
            </w:tcMar>
          </w:tcPr>
          <w:p>
            <w:pPr>
              <w:spacing w:after="20" w:line="245" w:lineRule="auto"/>
            </w:pPr>
            <w:r>
              <w:rPr>
                <w:b w:val="0"/>
                <w:sz w:val="18"/>
              </w:rPr>
              <w:t>Quota bypass, unsolicited pitches, unrelated client data.</w:t>
            </w:r>
          </w:p>
        </w:tc>
      </w:tr>
      <w:tr>
        <w:trPr>
          <w:cantSplit/>
        </w:trPr>
        <w:tc>
          <w:tcPr>
            <w:tcW w:type="dxa" w:w="2160"/>
            <w:vAlign w:val="center"/>
            <w:tcMar>
              <w:top w:w="90" w:type="dxa"/>
              <w:bottom w:w="90" w:type="dxa"/>
              <w:left w:w="110" w:type="dxa"/>
              <w:right w:w="110" w:type="dxa"/>
            </w:tcMar>
          </w:tcPr>
          <w:p>
            <w:pPr>
              <w:spacing w:after="20" w:line="245" w:lineRule="auto"/>
            </w:pPr>
            <w:r>
              <w:rPr>
                <w:b w:val="0"/>
                <w:sz w:val="18"/>
              </w:rPr>
              <w:t>Firm / agency manager</w:t>
            </w:r>
          </w:p>
        </w:tc>
        <w:tc>
          <w:tcPr>
            <w:tcW w:type="dxa" w:w="4608"/>
            <w:vAlign w:val="center"/>
            <w:tcMar>
              <w:top w:w="90" w:type="dxa"/>
              <w:bottom w:w="90" w:type="dxa"/>
              <w:left w:w="110" w:type="dxa"/>
              <w:right w:w="110" w:type="dxa"/>
            </w:tcMar>
          </w:tcPr>
          <w:p>
            <w:pPr>
              <w:spacing w:after="20" w:line="245" w:lineRule="auto"/>
            </w:pPr>
            <w:r>
              <w:rPr>
                <w:b w:val="0"/>
                <w:sz w:val="18"/>
              </w:rPr>
              <w:t>Read scoped team capacity, authorized bench/workflow activity.</w:t>
            </w:r>
          </w:p>
        </w:tc>
        <w:tc>
          <w:tcPr>
            <w:tcW w:type="dxa" w:w="3456"/>
            <w:vAlign w:val="center"/>
            <w:tcMar>
              <w:top w:w="90" w:type="dxa"/>
              <w:bottom w:w="90" w:type="dxa"/>
              <w:left w:w="110" w:type="dxa"/>
              <w:right w:w="110" w:type="dxa"/>
            </w:tcMar>
          </w:tcPr>
          <w:p>
            <w:pPr>
              <w:spacing w:after="20" w:line="245" w:lineRule="auto"/>
            </w:pPr>
            <w:r>
              <w:rPr>
                <w:b w:val="0"/>
                <w:sz w:val="18"/>
              </w:rPr>
              <w:t>All-personal-memory access or undeclared subcontractor access.</w:t>
            </w:r>
          </w:p>
        </w:tc>
      </w:tr>
    </w:tbl>
    <w:p>
      <w:pPr>
        <w:spacing w:after="20"/>
      </w:pPr>
    </w:p>
    <w:p>
      <w:r>
        <w:rPr>
          <w:b w:val="0"/>
        </w:rPr>
        <w:t>Use provider-supported OAuth/resource-bound tokens, least scopes, tenant binding, short-lived approval links and revocation. Do not pass through Clio or user BYOK keys. MCP security guidance addresses token passthrough, confused-deputy and related authorization risks. [S28]</w:t>
      </w:r>
    </w:p>
    <w:p>
      <w:pPr>
        <w:pStyle w:val="ListBullet"/>
      </w:pPr>
      <w:r>
        <w:rPr>
          <w:b w:val="0"/>
        </w:rPr>
        <w:t>Return only the data authorized for that tool/client. The outside assistant may retain/process returned data under its own terms; Lawfecta storage controls cannot recall it.</w:t>
      </w:r>
    </w:p>
    <w:p>
      <w:pPr>
        <w:pStyle w:val="ListBullet"/>
      </w:pPr>
      <w:r>
        <w:rPr>
          <w:b w:val="0"/>
        </w:rPr>
        <w:t>Confidential content stays disabled for external clients until approved client/workspace/data-processing controls exist. User login is not automatically firm consent to a consumer AI environment.</w:t>
      </w:r>
    </w:p>
    <w:p>
      <w:pPr>
        <w:pStyle w:val="ListBullet"/>
      </w:pPr>
      <w:r>
        <w:rPr>
          <w:b w:val="0"/>
        </w:rPr>
        <w:t>Carry the same proposal, AI, export and integration rules into MCP. Readable content cannot be made copy-proof; do not claim MCP prevents copying a fully authorized plan.</w:t>
      </w:r>
    </w:p>
    <w:p>
      <w:pPr>
        <w:pStyle w:val="ListBullet"/>
      </w:pPr>
      <w:r>
        <w:rPr>
          <w:b w:val="0"/>
        </w:rPr>
        <w:t>Read and draft first; consequential actions use explicit protected Lawfecta confirmation or tightly approved capability rules. Model annotations are hints, not enforcement.</w:t>
      </w:r>
    </w:p>
    <w:p>
      <w:pPr>
        <w:pStyle w:val="ListBullet"/>
      </w:pPr>
      <w:r>
        <w:rPr>
          <w:b w:val="0"/>
        </w:rPr>
        <w:t>Rate limits, audit and traceability identify member, client, tool, source record, authorization and cost. Client prompt text cannot override tenant scope.</w:t>
      </w:r>
    </w:p>
    <w:p>
      <w:r>
        <w:rPr>
          <w:b w:val="0"/>
        </w:rPr>
        <w:t>Test client compatibility per version/plan; do not promise identical write capabilities in every assistant. Track external-origin conversion, successful tasks, retention and platform cost separately from native DELA.</w:t>
      </w:r>
    </w:p>
    <w:p>
      <w:r>
        <w:br w:type="page"/>
      </w:r>
    </w:p>
    <w:p>
      <w:pPr>
        <w:pStyle w:val="Heading1"/>
      </w:pPr>
      <w:r>
        <w:t>7. Optional Talent Showcase experiment</w:t>
      </w:r>
    </w:p>
    <w:p>
      <w:r>
        <w:rPr>
          <w:b w:val="0"/>
        </w:rPr>
        <w:t>Talent Showcase remains an optional candidate-evaluation enhancement. It should not delay the delegation-to-funded-work loop or require every freelancer to perform unpaid custom work.</w:t>
      </w:r>
    </w:p>
    <w:p>
      <w:pPr>
        <w:pStyle w:val="ListBullet"/>
      </w:pPr>
      <w:r>
        <w:rPr>
          <w:b w:val="0"/>
        </w:rPr>
        <w:t>Attorney approves sanitized project brief, consistent job-related questions and rubric. Freelancer can record/upload a short response or provide equivalent written/accessibility alternative; questions visible first, retakes allowed.</w:t>
      </w:r>
    </w:p>
    <w:p>
      <w:pPr>
        <w:pStyle w:val="ListBullet"/>
      </w:pPr>
      <w:r>
        <w:rPr>
          <w:b w:val="0"/>
        </w:rPr>
        <w:t>Build Lawfecta invitation/submission/review UI; use approved private media and transcription infrastructure. Do not assume raw object storage is adaptive video infrastructure or that any media vendor is already selected.</w:t>
      </w:r>
    </w:p>
    <w:p>
      <w:pPr>
        <w:pStyle w:val="ListBullet"/>
      </w:pPr>
      <w:r>
        <w:rPr>
          <w:b w:val="0"/>
        </w:rPr>
        <w:t>AI evaluates transcript content against demonstrated project requirements with timestamp/source evidence, uncertainty and verification gaps. No face, accent, emotion, personality or disability inference.</w:t>
      </w:r>
    </w:p>
    <w:p>
      <w:pPr>
        <w:pStyle w:val="ListBullet"/>
      </w:pPr>
      <w:r>
        <w:rPr>
          <w:b w:val="0"/>
        </w:rPr>
        <w:t>Do not automatically reject or rank applicants through unsupported fit percentages. Use evidence summary and human selection initially; review employment/AI-hiring rules and contractor classification before enabling scoring.</w:t>
      </w:r>
    </w:p>
    <w:p>
      <w:pPr>
        <w:pStyle w:val="ListBullet"/>
      </w:pPr>
      <w:r>
        <w:rPr>
          <w:b w:val="0"/>
        </w:rPr>
        <w:t>Consent specifies transcription/analysis, recipients, retention and no default training. Original response remains available for human review; transcript correction has provenance and cannot secretly alter recording evidence.</w:t>
      </w:r>
    </w:p>
    <w:p>
      <w:pPr>
        <w:pStyle w:val="ListBullet"/>
      </w:pPr>
      <w:r>
        <w:rPr>
          <w:b w:val="0"/>
        </w:rPr>
        <w:t>Ask-back Q&amp;A makes the process reciprocal. No benefit based solely on smiling, camera use, technical quality or agreeing to unpaid substantive deliverables.</w:t>
      </w:r>
    </w:p>
    <w:p>
      <w:r>
        <w:rPr>
          <w:b w:val="0"/>
        </w:rPr>
      </w:r>
      <w:r>
        <w:rPr>
          <w:b/>
        </w:rPr>
        <w:t>Experiment:</w:t>
      </w:r>
      <w:r>
        <w:rPr>
          <w:b w:val="0"/>
        </w:rPr>
        <w:t xml:space="preserve"> Randomly offer optional showcase to eligible gigs where practical; compare qualified-call/hire conversion and attorney decision time against ordinary proposals. Measure freelancer completion, burden, accessibility complaints, moderation and inference cost. Nonparticipation must not silently penalize applicants.</w:t>
      </w:r>
    </w:p>
    <w:p>
      <w:r>
        <w:rPr>
          <w:b w:val="0"/>
        </w:rPr>
      </w:r>
      <w:r>
        <w:rPr>
          <w:b/>
        </w:rPr>
        <w:t>Stop rule:</w:t>
      </w:r>
      <w:r>
        <w:rPr>
          <w:b w:val="0"/>
        </w:rPr>
        <w:t xml:space="preserve"> If screening adds candidate effort without meaningful selection/quality improvement, remove the step rather than making it mandatory. Any discrimination/confidentiality concern blocks expansion pending expert review.</w:t>
      </w:r>
    </w:p>
    <w:p>
      <w:r>
        <w:rPr>
          <w:b w:val="0"/>
        </w:rPr>
      </w:r>
      <w:r>
        <w:rPr>
          <w:b/>
        </w:rPr>
        <w:t>Future hooks:</w:t>
      </w:r>
      <w:r>
        <w:rPr>
          <w:b w:val="0"/>
        </w:rPr>
        <w:t xml:space="preserve"> Media asset IDs, consent and retention classes, job-specific rubric versions and private delivery events can reuse the existing artifact service. Do not mix candidate assessments with public professional credentials or completed-engagement reviews.</w:t>
      </w:r>
    </w:p>
    <w:p>
      <w:r>
        <w:br w:type="page"/>
      </w:r>
    </w:p>
    <w:p>
      <w:pPr>
        <w:pStyle w:val="Heading1"/>
      </w:pPr>
      <w:r>
        <w:t>8. Evaluation, operations and build prompt</w:t>
      </w:r>
    </w:p>
    <w:tbl>
      <w:tblPr>
        <w:tblW w:type="auto" w:w="0"/>
        <w:jc w:val="center"/>
        <w:tblLayout w:type="fixed"/>
        <w:tblLook w:firstColumn="1" w:firstRow="1" w:lastColumn="0" w:lastRow="0" w:noHBand="0" w:noVBand="1" w:val="04A0"/>
      </w:tblPr>
      <w:tblGrid>
        <w:gridCol w:w="2376"/>
        <w:gridCol w:w="7848"/>
      </w:tblGrid>
      <w:tr>
        <w:trPr>
          <w:tblHeader/>
          <w:cantSplit/>
        </w:trPr>
        <w:tc>
          <w:tcPr>
            <w:tcW w:type="dxa" w:w="2376"/>
            <w:vAlign w:val="center"/>
            <w:tcMar>
              <w:top w:w="90" w:type="dxa"/>
              <w:bottom w:w="90" w:type="dxa"/>
              <w:left w:w="110" w:type="dxa"/>
              <w:right w:w="110" w:type="dxa"/>
            </w:tcMar>
            <w:shd w:fill="8B1F3F"/>
          </w:tcPr>
          <w:p>
            <w:pPr>
              <w:spacing w:after="20" w:line="245" w:lineRule="auto"/>
            </w:pPr>
            <w:r>
              <w:rPr>
                <w:b/>
                <w:color w:val="FFFFFF"/>
                <w:sz w:val="18"/>
              </w:rPr>
              <w:t>Evidence</w:t>
            </w:r>
          </w:p>
        </w:tc>
        <w:tc>
          <w:tcPr>
            <w:tcW w:type="dxa" w:w="7848"/>
            <w:vAlign w:val="center"/>
            <w:tcMar>
              <w:top w:w="90" w:type="dxa"/>
              <w:bottom w:w="90" w:type="dxa"/>
              <w:left w:w="110" w:type="dxa"/>
              <w:right w:w="110" w:type="dxa"/>
            </w:tcMar>
            <w:shd w:fill="8B1F3F"/>
          </w:tcPr>
          <w:p>
            <w:pPr>
              <w:spacing w:after="20" w:line="245" w:lineRule="auto"/>
            </w:pPr>
            <w:r>
              <w:rPr>
                <w:b/>
                <w:color w:val="FFFFFF"/>
                <w:sz w:val="18"/>
              </w:rPr>
              <w:t>Proposed gate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Authority / safety</w:t>
            </w:r>
          </w:p>
        </w:tc>
        <w:tc>
          <w:tcPr>
            <w:tcW w:type="dxa" w:w="7848"/>
            <w:vAlign w:val="center"/>
            <w:tcMar>
              <w:top w:w="90" w:type="dxa"/>
              <w:bottom w:w="90" w:type="dxa"/>
              <w:left w:w="110" w:type="dxa"/>
              <w:right w:w="110" w:type="dxa"/>
            </w:tcMar>
          </w:tcPr>
          <w:p>
            <w:pPr>
              <w:spacing w:after="20" w:line="245" w:lineRule="auto"/>
            </w:pPr>
            <w:r>
              <w:rPr>
                <w:b w:val="0"/>
                <w:sz w:val="18"/>
              </w:rPr>
              <w:t>All required cross-tenant, injection, revoked-grant, spend-race, duplicate-action and side-effect tests pass; zero unresolved blocking findings.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Useful autonomous work</w:t>
            </w:r>
          </w:p>
        </w:tc>
        <w:tc>
          <w:tcPr>
            <w:tcW w:type="dxa" w:w="7848"/>
            <w:vAlign w:val="center"/>
            <w:tcMar>
              <w:top w:w="90" w:type="dxa"/>
              <w:bottom w:w="90" w:type="dxa"/>
              <w:left w:w="110" w:type="dxa"/>
              <w:right w:w="110" w:type="dxa"/>
            </w:tcMar>
          </w:tcPr>
          <w:p>
            <w:pPr>
              <w:spacing w:after="20" w:line="245" w:lineRule="auto"/>
            </w:pPr>
            <w:r>
              <w:rPr>
                <w:b w:val="0"/>
                <w:sz w:val="18"/>
              </w:rPr>
              <w:t>Measure correctly completed authorized outcomes / attempted eligible runs. Proposed &gt;=95% in low-risk test workflows, with representative failure cases; threshold varies by consequence.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Attention saved</w:t>
            </w:r>
          </w:p>
        </w:tc>
        <w:tc>
          <w:tcPr>
            <w:tcW w:type="dxa" w:w="7848"/>
            <w:vAlign w:val="center"/>
            <w:tcMar>
              <w:top w:w="90" w:type="dxa"/>
              <w:bottom w:w="90" w:type="dxa"/>
              <w:left w:w="110" w:type="dxa"/>
              <w:right w:w="110" w:type="dxa"/>
            </w:tcMar>
          </w:tcPr>
          <w:p>
            <w:pPr>
              <w:spacing w:after="20" w:line="245" w:lineRule="auto"/>
            </w:pPr>
            <w:r>
              <w:rPr>
                <w:b w:val="0"/>
                <w:sz w:val="18"/>
              </w:rPr>
              <w:t>Compare review/correction minutes with manual process; include missed or unnecessary suggestions. Expand only if net burden falls.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Commercial impact</w:t>
            </w:r>
          </w:p>
        </w:tc>
        <w:tc>
          <w:tcPr>
            <w:tcW w:type="dxa" w:w="7848"/>
            <w:vAlign w:val="center"/>
            <w:tcMar>
              <w:top w:w="90" w:type="dxa"/>
              <w:bottom w:w="90" w:type="dxa"/>
              <w:left w:w="110" w:type="dxa"/>
              <w:right w:w="110" w:type="dxa"/>
            </w:tcMar>
          </w:tcPr>
          <w:p>
            <w:pPr>
              <w:spacing w:after="20" w:line="245" w:lineRule="auto"/>
            </w:pPr>
            <w:r>
              <w:rPr>
                <w:b w:val="0"/>
                <w:sz w:val="18"/>
              </w:rPr>
              <w:t>Repeat engagements, funded conversion and subscription retention; separate raw agent usage from incremental value.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Economics</w:t>
            </w:r>
          </w:p>
        </w:tc>
        <w:tc>
          <w:tcPr>
            <w:tcW w:type="dxa" w:w="7848"/>
            <w:vAlign w:val="center"/>
            <w:tcMar>
              <w:top w:w="90" w:type="dxa"/>
              <w:bottom w:w="90" w:type="dxa"/>
              <w:left w:w="110" w:type="dxa"/>
              <w:right w:w="110" w:type="dxa"/>
            </w:tcMar>
          </w:tcPr>
          <w:p>
            <w:pPr>
              <w:spacing w:after="20" w:line="245" w:lineRule="auto"/>
            </w:pPr>
            <w:r>
              <w:rPr>
                <w:b w:val="0"/>
                <w:sz w:val="18"/>
              </w:rPr>
              <w:t>Cost per accepted outcome incl. failed runs, BYOK platform costs, review and support. No uncapped token/tool chains.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Optional showcase / MCP</w:t>
            </w:r>
          </w:p>
        </w:tc>
        <w:tc>
          <w:tcPr>
            <w:tcW w:type="dxa" w:w="7848"/>
            <w:vAlign w:val="center"/>
            <w:tcMar>
              <w:top w:w="90" w:type="dxa"/>
              <w:bottom w:w="90" w:type="dxa"/>
              <w:left w:w="110" w:type="dxa"/>
              <w:right w:w="110" w:type="dxa"/>
            </w:tcMar>
          </w:tcPr>
          <w:p>
            <w:pPr>
              <w:spacing w:after="20" w:line="245" w:lineRule="auto"/>
            </w:pPr>
            <w:r>
              <w:rPr>
                <w:b w:val="0"/>
                <w:sz w:val="18"/>
              </w:rPr>
              <w:t>Independent adoption, outcome and safety gates; neither must succeed for core delegation to be viable.</w:t>
            </w:r>
          </w:p>
        </w:tc>
      </w:tr>
    </w:tbl>
    <w:p>
      <w:pPr>
        <w:spacing w:after="20"/>
      </w:pPr>
    </w:p>
    <w:p>
      <w:r>
        <w:rPr>
          <w:b w:val="0"/>
        </w:rPr>
      </w:r>
      <w:r>
        <w:rPr>
          <w:b/>
        </w:rPr>
        <w:t>Rollout:</w:t>
      </w:r>
      <w:r>
        <w:rPr>
          <w:b w:val="0"/>
        </w:rPr>
        <w:t xml:space="preserve"> dry-run/shadow proposals -&gt; human approval on all consequential actions -&gt; narrow standing mandates -&gt; broader permitted templates only after evidence. Broad member availability remains possible; feature scope and risk eligibility control activation, not indiscriminate autonomy.</w:t>
      </w:r>
    </w:p>
    <w:p>
      <w:r>
        <w:rPr>
          <w:b w:val="0"/>
        </w:rPr>
      </w:r>
      <w:r>
        <w:rPr>
          <w:b/>
        </w:rPr>
        <w:t>Build packages:</w:t>
      </w:r>
      <w:r>
        <w:rPr>
          <w:b w:val="0"/>
        </w:rPr>
        <w:t xml:space="preserve"> agent manifest and job-description UI; trigger/job orchestration; unified approval inbox; role-specific capabilities; cost/risk telemetry; external MCP adapter; optional media experiment. Each package reuses Phase 1 authorization, memory, events and finance.</w:t>
      </w:r>
    </w:p>
    <w:p>
      <w:pPr>
        <w:spacing w:after="140" w:line="240" w:lineRule="auto"/>
        <w:shd w:fill="F3F3F3"/>
      </w:pPr>
      <w:r>
        <w:rPr>
          <w:rFonts w:ascii="Consolas" w:hAnsi="Consolas"/>
          <w:sz w:val="18"/>
        </w:rPr>
        <w:t>Read guide and Phase 1/1B invariants before this phase.</w:t>
        <w:br/>
        <w:t>Identify the selected agent and exact authorized capabilities.</w:t>
        <w:br/>
        <w:t>Design threat/failure cases, budget and evaluation set first.</w:t>
        <w:br/>
        <w:t>Do not give the model raw SQL, secret APIs or financial authority.</w:t>
        <w:br/>
        <w:t>After separate approval, implement a bounded draft/shadow path</w:t>
        <w:br/>
        <w:t>and prove it in staging. Enable external actions only through</w:t>
        <w:br/>
        <w:t>current grants and independently approved mandates. Return</w:t>
        <w:br/>
        <w:t>action traces, cost/quality results and rollback evidence.</w:t>
      </w:r>
    </w:p>
    <w:p>
      <w:r>
        <w:rPr>
          <w:b w:val="0"/>
        </w:rPr>
      </w:r>
      <w:r>
        <w:rPr>
          <w:b/>
        </w:rPr>
        <w:t>Future foundation:</w:t>
      </w:r>
      <w:r>
        <w:rPr>
          <w:b w:val="0"/>
        </w:rPr>
        <w:t xml:space="preserve"> Model/provider portability, tool versioning, causal run tracing, replay-resistant approvals, safe data export and per-tenant execution isolation prepare the system for scale. A third-party agent marketplace is a separate security and commercial decision, not a natural consequence of having a catalog.</w:t>
      </w:r>
    </w:p>
    <w:p>
      <w:r>
        <w:br w:type="page"/>
      </w:r>
    </w:p>
    <w:p>
      <w:pPr>
        <w:pStyle w:val="Heading1"/>
      </w:pPr>
      <w:r>
        <w:t>Reference notes</w:t>
      </w:r>
    </w:p>
    <w:p>
      <w:r>
        <w:t>Primary technical and regulatory sources checked on 25 October 2026. Revalidate provider behavior, pricing and applicable law before implementation. [Sxx] labels identify sources; unlabelled requirement language is a Lawfecta product decision or proposed engineering design, not a vendor guarantee.</w:t>
      </w:r>
    </w:p>
    <w:p>
      <w:pPr>
        <w:keepLines/>
        <w:spacing w:line="240" w:lineRule="auto" w:after="120"/>
      </w:pPr>
      <w:r>
        <w:rPr>
          <w:b w:val="0"/>
          <w:sz w:val="18"/>
        </w:rPr>
      </w:r>
      <w:r>
        <w:rPr>
          <w:b/>
          <w:sz w:val="18"/>
        </w:rPr>
        <w:t>[S07] Stripe, Setup Intents and Future Payment Consent</w:t>
      </w:r>
      <w:r>
        <w:rPr>
          <w:b w:val="0"/>
          <w:sz w:val="18"/>
        </w:rPr>
      </w:r>
      <w:r>
        <w:rPr>
          <w:sz w:val="18"/>
        </w:rPr>
        <w:br/>
      </w:r>
      <w:hyperlink r:id="rId11">
        <w:r>
          <w:rPr>
            <w:color w:val="8B1F3F"/>
            <w:sz w:val="18"/>
          </w:rPr>
          <w:t>https://docs.stripe.com/payments/setup-intents</w:t>
        </w:r>
      </w:hyperlink>
    </w:p>
    <w:p>
      <w:pPr>
        <w:keepLines/>
        <w:spacing w:line="240" w:lineRule="auto" w:after="120"/>
      </w:pPr>
      <w:r>
        <w:rPr>
          <w:b w:val="0"/>
          <w:sz w:val="18"/>
        </w:rPr>
      </w:r>
      <w:r>
        <w:rPr>
          <w:b/>
          <w:sz w:val="18"/>
        </w:rPr>
        <w:t>[S08] Stripe, Disputes on Connect Platforms</w:t>
      </w:r>
      <w:r>
        <w:rPr>
          <w:b w:val="0"/>
          <w:sz w:val="18"/>
        </w:rPr>
      </w:r>
      <w:r>
        <w:rPr>
          <w:sz w:val="18"/>
        </w:rPr>
        <w:br/>
      </w:r>
      <w:hyperlink r:id="rId12">
        <w:r>
          <w:rPr>
            <w:color w:val="8B1F3F"/>
            <w:sz w:val="18"/>
          </w:rPr>
          <w:t>https://docs.stripe.com/connect/disputes</w:t>
        </w:r>
      </w:hyperlink>
    </w:p>
    <w:p>
      <w:pPr>
        <w:keepLines/>
        <w:spacing w:line="240" w:lineRule="auto" w:after="120"/>
      </w:pPr>
      <w:r>
        <w:rPr>
          <w:b w:val="0"/>
          <w:sz w:val="18"/>
        </w:rPr>
      </w:r>
      <w:r>
        <w:rPr>
          <w:b/>
          <w:sz w:val="18"/>
        </w:rPr>
        <w:t>[S14] OpenAI, API Data Controls</w:t>
      </w:r>
      <w:r>
        <w:rPr>
          <w:b w:val="0"/>
          <w:sz w:val="18"/>
        </w:rPr>
      </w:r>
      <w:r>
        <w:rPr>
          <w:sz w:val="18"/>
        </w:rPr>
        <w:br/>
      </w:r>
      <w:hyperlink r:id="rId13">
        <w:r>
          <w:rPr>
            <w:color w:val="8B1F3F"/>
            <w:sz w:val="18"/>
          </w:rPr>
          <w:t>https://developers.openai.com/api/docs/guides/your-data</w:t>
        </w:r>
      </w:hyperlink>
    </w:p>
    <w:p>
      <w:pPr>
        <w:keepLines/>
        <w:spacing w:line="240" w:lineRule="auto" w:after="120"/>
      </w:pPr>
      <w:r>
        <w:rPr>
          <w:b w:val="0"/>
          <w:sz w:val="18"/>
        </w:rPr>
      </w:r>
      <w:r>
        <w:rPr>
          <w:b/>
          <w:sz w:val="18"/>
        </w:rPr>
        <w:t>[S15] OWASP, LLM06:2025 Excessive Agency</w:t>
      </w:r>
      <w:r>
        <w:rPr>
          <w:b w:val="0"/>
          <w:sz w:val="18"/>
        </w:rPr>
      </w:r>
      <w:r>
        <w:rPr>
          <w:sz w:val="18"/>
        </w:rPr>
        <w:br/>
      </w:r>
      <w:hyperlink r:id="rId14">
        <w:r>
          <w:rPr>
            <w:color w:val="8B1F3F"/>
            <w:sz w:val="18"/>
          </w:rPr>
          <w:t>https://genai.owasp.org/llmrisk/llm062025-excessive-agency/</w:t>
        </w:r>
      </w:hyperlink>
    </w:p>
    <w:p>
      <w:pPr>
        <w:keepLines/>
        <w:spacing w:line="240" w:lineRule="auto" w:after="120"/>
      </w:pPr>
      <w:r>
        <w:rPr>
          <w:b w:val="0"/>
          <w:sz w:val="18"/>
        </w:rPr>
      </w:r>
      <w:r>
        <w:rPr>
          <w:b/>
          <w:sz w:val="18"/>
        </w:rPr>
        <w:t>[S16] OWASP, LLM01:2025 Prompt Injection</w:t>
      </w:r>
      <w:r>
        <w:rPr>
          <w:b w:val="0"/>
          <w:sz w:val="18"/>
        </w:rPr>
      </w:r>
      <w:r>
        <w:rPr>
          <w:sz w:val="18"/>
        </w:rPr>
        <w:br/>
      </w:r>
      <w:hyperlink r:id="rId15">
        <w:r>
          <w:rPr>
            <w:color w:val="8B1F3F"/>
            <w:sz w:val="18"/>
          </w:rPr>
          <w:t>https://genai.owasp.org/llmrisk/llm01-prompt-injection/</w:t>
        </w:r>
      </w:hyperlink>
    </w:p>
    <w:p>
      <w:pPr>
        <w:keepLines/>
        <w:spacing w:line="240" w:lineRule="auto" w:after="120"/>
      </w:pPr>
      <w:r>
        <w:rPr>
          <w:b w:val="0"/>
          <w:sz w:val="18"/>
        </w:rPr>
      </w:r>
      <w:r>
        <w:rPr>
          <w:b/>
          <w:sz w:val="18"/>
        </w:rPr>
        <w:t>[S17] Claude Code, Permission Controls</w:t>
      </w:r>
      <w:r>
        <w:rPr>
          <w:b w:val="0"/>
          <w:sz w:val="18"/>
        </w:rPr>
      </w:r>
      <w:r>
        <w:rPr>
          <w:sz w:val="18"/>
        </w:rPr>
        <w:br/>
      </w:r>
      <w:hyperlink r:id="rId16">
        <w:r>
          <w:rPr>
            <w:color w:val="8B1F3F"/>
            <w:sz w:val="18"/>
          </w:rPr>
          <w:t>https://code.claude.com/docs/en/permissions</w:t>
        </w:r>
      </w:hyperlink>
    </w:p>
    <w:p>
      <w:pPr>
        <w:keepLines/>
        <w:spacing w:line="240" w:lineRule="auto" w:after="120"/>
      </w:pPr>
      <w:r>
        <w:rPr>
          <w:b w:val="0"/>
          <w:sz w:val="18"/>
        </w:rPr>
      </w:r>
      <w:r>
        <w:rPr>
          <w:b/>
          <w:sz w:val="18"/>
        </w:rPr>
        <w:t>[S21] Clio Manage, API Permissions</w:t>
      </w:r>
      <w:r>
        <w:rPr>
          <w:b w:val="0"/>
          <w:sz w:val="18"/>
        </w:rPr>
      </w:r>
      <w:r>
        <w:rPr>
          <w:sz w:val="18"/>
        </w:rPr>
        <w:br/>
      </w:r>
      <w:hyperlink r:id="rId17">
        <w:r>
          <w:rPr>
            <w:color w:val="8B1F3F"/>
            <w:sz w:val="18"/>
          </w:rPr>
          <w:t>https://docs.developers.clio.com/api-docs/clio-manage/permissions/</w:t>
        </w:r>
      </w:hyperlink>
    </w:p>
    <w:p>
      <w:pPr>
        <w:keepLines/>
        <w:spacing w:line="240" w:lineRule="auto" w:after="120"/>
      </w:pPr>
      <w:r>
        <w:rPr>
          <w:b w:val="0"/>
          <w:sz w:val="18"/>
        </w:rPr>
      </w:r>
      <w:r>
        <w:rPr>
          <w:b/>
          <w:sz w:val="18"/>
        </w:rPr>
        <w:t>[S26] ABA, Formal Opinion 512 Overview</w:t>
      </w:r>
      <w:r>
        <w:rPr>
          <w:b w:val="0"/>
          <w:sz w:val="18"/>
        </w:rPr>
      </w:r>
      <w:r>
        <w:rPr>
          <w:sz w:val="18"/>
        </w:rPr>
        <w:br/>
      </w:r>
      <w:hyperlink r:id="rId18">
        <w:r>
          <w:rPr>
            <w:color w:val="8B1F3F"/>
            <w:sz w:val="18"/>
          </w:rPr>
          <w:t>https://www.americanbar.org/news/abanews/aba-news-archives/2024/07/aba-issues-first-ethics-guidance-ai-tools/</w:t>
        </w:r>
      </w:hyperlink>
    </w:p>
    <w:p>
      <w:pPr>
        <w:keepLines/>
        <w:spacing w:line="240" w:lineRule="auto" w:after="120"/>
      </w:pPr>
      <w:r>
        <w:rPr>
          <w:b w:val="0"/>
          <w:sz w:val="18"/>
        </w:rPr>
      </w:r>
      <w:r>
        <w:rPr>
          <w:b/>
          <w:sz w:val="18"/>
        </w:rPr>
        <w:t>[S28] Model Context Protocol, Security Best Practices</w:t>
      </w:r>
      <w:r>
        <w:rPr>
          <w:b w:val="0"/>
          <w:sz w:val="18"/>
        </w:rPr>
      </w:r>
      <w:r>
        <w:rPr>
          <w:sz w:val="18"/>
        </w:rPr>
        <w:br/>
      </w:r>
      <w:hyperlink r:id="rId19">
        <w:r>
          <w:rPr>
            <w:color w:val="8B1F3F"/>
            <w:sz w:val="18"/>
          </w:rPr>
          <w:t>https://modelcontextprotocol.io/specification/latest/basic/security_best_practices</w:t>
        </w:r>
      </w:hyperlink>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66666"/>
        <w:sz w:val="16"/>
      </w:rPr>
      <w:t>v1.0  |  25 October 2026  |  Requirements &amp; architecture</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LAWFECTA  |  DELA  /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8B1F3F"/>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8B1F3F"/>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8B1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8B1F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00"/>
    </w:pPr>
    <w:rPr>
      <w:rFonts w:asciiTheme="majorHAnsi" w:eastAsiaTheme="majorEastAsia" w:hAnsiTheme="majorHAnsi" w:cstheme="majorBidi" w:ascii="Calibri" w:hAnsi="Calibri"/>
      <w:i/>
      <w:iCs/>
      <w:color w:val="8B1F3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222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tripe.com/payments/setup-intents" TargetMode="External"/><Relationship Id="rId12" Type="http://schemas.openxmlformats.org/officeDocument/2006/relationships/hyperlink" Target="https://docs.stripe.com/connect/disputes" TargetMode="External"/><Relationship Id="rId13" Type="http://schemas.openxmlformats.org/officeDocument/2006/relationships/hyperlink" Target="https://developers.openai.com/api/docs/guides/your-data" TargetMode="External"/><Relationship Id="rId14" Type="http://schemas.openxmlformats.org/officeDocument/2006/relationships/hyperlink" Target="https://genai.owasp.org/llmrisk/llm062025-excessive-agency/" TargetMode="External"/><Relationship Id="rId15" Type="http://schemas.openxmlformats.org/officeDocument/2006/relationships/hyperlink" Target="https://genai.owasp.org/llmrisk/llm01-prompt-injection/" TargetMode="External"/><Relationship Id="rId16" Type="http://schemas.openxmlformats.org/officeDocument/2006/relationships/hyperlink" Target="https://code.claude.com/docs/en/permissions" TargetMode="External"/><Relationship Id="rId17" Type="http://schemas.openxmlformats.org/officeDocument/2006/relationships/hyperlink" Target="https://docs.developers.clio.com/api-docs/clio-manage/permissions/" TargetMode="External"/><Relationship Id="rId18" Type="http://schemas.openxmlformats.org/officeDocument/2006/relationships/hyperlink" Target="https://www.americanbar.org/news/abanews/aba-news-archives/2024/07/aba-issues-first-ethics-guidance-ai-tools/" TargetMode="External"/><Relationship Id="rId19" Type="http://schemas.openxmlformats.org/officeDocument/2006/relationships/hyperlink" Target="https://modelcontextprotocol.io/specification/latest/basic/security_best_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 Advanced
Agentic Operations</dc:title>
  <dc:subject>DELA pre-development architecture and phased requirements</dc:subject>
  <dc:creator>Lawfecta</dc:creator>
  <cp:keywords>DELA, Lawfecta, requirements, architecture, pre-development</cp:keywords>
  <dc:description>generated by python-docx</dc:description>
  <cp:lastModifiedBy/>
  <cp:revision>1</cp:revision>
  <dcterms:created xsi:type="dcterms:W3CDTF">2013-12-23T23:15:00Z</dcterms:created>
  <dcterms:modified xsi:type="dcterms:W3CDTF">2013-12-23T23:15:00Z</dcterms:modified>
  <cp:category/>
</cp:coreProperties>
</file>