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LAWFECTA  /  DELA DEVELOPMENT SERIES</w:t>
      </w:r>
    </w:p>
    <w:p>
      <w:pPr>
        <w:pStyle w:val="Title"/>
      </w:pPr>
      <w:r>
        <w:t>Phase 3 | Scale, Economics</w:t>
        <w:br/>
        <w:t>&amp; Payment Strategy</w:t>
      </w:r>
    </w:p>
    <w:p>
      <w:pPr>
        <w:pStyle w:val="Subtitle"/>
      </w:pPr>
      <w:r>
        <w:t>Operational resilience, provider evaluation, optional protection and evidence-led expansion</w:t>
      </w:r>
    </w:p>
    <w:p>
      <w:pPr>
        <w:spacing w:before="80" w:after="180"/>
        <w:shd w:fill="F7ECE7"/>
      </w:pPr>
      <w:r>
        <w:rPr>
          <w:b w:val="0"/>
        </w:rPr>
      </w:r>
      <w:r>
        <w:rPr>
          <w:b/>
        </w:rPr>
        <w:t>Control status</w:t>
      </w:r>
      <w:r>
        <w:rPr>
          <w:b w:val="0"/>
        </w:rPr>
        <w:t xml:space="preserve">  Specification v1.0. Product decisions are preserved; new engineering defaults and numeric gates are proposals. Documentation does not authorize code, configuration changes, production data access, charges or deployment.</w:t>
      </w:r>
    </w:p>
    <w:p>
      <w:pPr>
        <w:pStyle w:val="Heading1"/>
      </w:pPr>
      <w:r>
        <w:t>1. Scale the validated model, not every feature</w:t>
      </w:r>
    </w:p>
    <w:p>
      <w:r>
        <w:rPr>
          <w:b w:val="0"/>
        </w:rPr>
        <w:t>This phase strengthens reliability, economics and financial protection after measurable delegation demand exists. It does not automatically replace Stripe, create an escrow business, introduce a freelancer guarantee or enter another country.</w:t>
      </w:r>
    </w:p>
    <w:p>
      <w:pPr>
        <w:pStyle w:val="ListBullet"/>
      </w:pPr>
      <w:r>
        <w:rPr>
          <w:b w:val="0"/>
        </w:rPr>
        <w:t>Preserve primary growth driver: profitable completed engagements and repeat relationships. Subscription MRR, exports and creator commerce are separate contribution lines.</w:t>
      </w:r>
    </w:p>
    <w:p>
      <w:pPr>
        <w:pStyle w:val="ListBullet"/>
      </w:pPr>
      <w:r>
        <w:rPr>
          <w:b w:val="0"/>
        </w:rPr>
        <w:t>Evaluate full-project prepayment and an appropriately authorized escrow/payment provider when data justifies it. The current milestone-prefunding flow still needs its own legal review before Phase 1 live use.</w:t>
      </w:r>
    </w:p>
    <w:p>
      <w:pPr>
        <w:pStyle w:val="ListBullet"/>
      </w:pPr>
      <w:r>
        <w:rPr>
          <w:b w:val="0"/>
        </w:rPr>
        <w:t>Revisit payment and protection questions during Phases 2-3 as originally requested, not only after scaling is complete. This document is the decision/playbook for that review.</w:t>
      </w:r>
    </w:p>
    <w:p>
      <w:pPr>
        <w:pStyle w:val="ListBullet"/>
      </w:pPr>
      <w:r>
        <w:rPr>
          <w:b w:val="0"/>
        </w:rPr>
        <w:t>Keep U.S.-first operations. Canada/other countries are later opportunities, not enabled through a country dropdown or Delaware incorporation.</w:t>
      </w:r>
    </w:p>
    <w:p>
      <w:pPr>
        <w:pStyle w:val="ListBullet"/>
      </w:pPr>
      <w:r>
        <w:rPr>
          <w:b w:val="0"/>
        </w:rPr>
        <w:t>Scale actual bottlenecks. Queue workers, indexes, storage and support capacity precede speculative microservice or multi-region rewrites.</w:t>
      </w:r>
    </w:p>
    <w:tbl>
      <w:tblPr>
        <w:tblW w:type="auto" w:w="0"/>
        <w:jc w:val="center"/>
        <w:tblLayout w:type="fixed"/>
        <w:tblLook w:firstColumn="1" w:firstRow="1" w:lastColumn="0" w:lastRow="0" w:noHBand="0" w:noVBand="1" w:val="04A0"/>
      </w:tblPr>
      <w:tblGrid>
        <w:gridCol w:w="2448"/>
        <w:gridCol w:w="7776"/>
      </w:tblGrid>
      <w:tr>
        <w:trPr>
          <w:tblHeader/>
          <w:cantSplit/>
        </w:trPr>
        <w:tc>
          <w:tcPr>
            <w:tcW w:type="dxa" w:w="2448"/>
            <w:vAlign w:val="center"/>
            <w:tcMar>
              <w:top w:w="90" w:type="dxa"/>
              <w:bottom w:w="90" w:type="dxa"/>
              <w:left w:w="110" w:type="dxa"/>
              <w:right w:w="110" w:type="dxa"/>
            </w:tcMar>
            <w:shd w:fill="8B1F3F"/>
          </w:tcPr>
          <w:p>
            <w:pPr>
              <w:spacing w:after="20" w:line="245" w:lineRule="auto"/>
            </w:pPr>
            <w:r>
              <w:rPr>
                <w:b/>
                <w:color w:val="FFFFFF"/>
                <w:sz w:val="18"/>
              </w:rPr>
              <w:t>Workstream</w:t>
            </w:r>
          </w:p>
        </w:tc>
        <w:tc>
          <w:tcPr>
            <w:tcW w:type="dxa" w:w="7776"/>
            <w:vAlign w:val="center"/>
            <w:tcMar>
              <w:top w:w="90" w:type="dxa"/>
              <w:bottom w:w="90" w:type="dxa"/>
              <w:left w:w="110" w:type="dxa"/>
              <w:right w:w="110" w:type="dxa"/>
            </w:tcMar>
            <w:shd w:fill="8B1F3F"/>
          </w:tcPr>
          <w:p>
            <w:pPr>
              <w:spacing w:after="20" w:line="245" w:lineRule="auto"/>
            </w:pPr>
            <w:r>
              <w:rPr>
                <w:b/>
                <w:color w:val="FFFFFF"/>
                <w:sz w:val="18"/>
              </w:rPr>
              <w:t>Trigger for investment</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Payments / protection</w:t>
            </w:r>
          </w:p>
        </w:tc>
        <w:tc>
          <w:tcPr>
            <w:tcW w:type="dxa" w:w="7776"/>
            <w:vAlign w:val="center"/>
            <w:tcMar>
              <w:top w:w="90" w:type="dxa"/>
              <w:bottom w:w="90" w:type="dxa"/>
              <w:left w:w="110" w:type="dxa"/>
              <w:right w:w="110" w:type="dxa"/>
            </w:tcMar>
          </w:tcPr>
          <w:p>
            <w:pPr>
              <w:spacing w:after="20" w:line="245" w:lineRule="auto"/>
            </w:pPr>
            <w:r>
              <w:rPr>
                <w:b w:val="0"/>
                <w:sz w:val="18"/>
              </w:rPr>
              <w:t>Funding failures, delayed work, chargebacks or member trust materially limit conversion or retention.</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Infrastructure</w:t>
            </w:r>
          </w:p>
        </w:tc>
        <w:tc>
          <w:tcPr>
            <w:tcW w:type="dxa" w:w="7776"/>
            <w:vAlign w:val="center"/>
            <w:tcMar>
              <w:top w:w="90" w:type="dxa"/>
              <w:bottom w:w="90" w:type="dxa"/>
              <w:left w:w="110" w:type="dxa"/>
              <w:right w:w="110" w:type="dxa"/>
            </w:tcMar>
          </w:tcPr>
          <w:p>
            <w:pPr>
              <w:spacing w:after="20" w:line="245" w:lineRule="auto"/>
            </w:pPr>
            <w:r>
              <w:rPr>
                <w:b w:val="0"/>
                <w:sz w:val="18"/>
              </w:rPr>
              <w:t>Measured latency, queue age, storage or concurrency breaches agreed service objectives.</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Membership / pricing</w:t>
            </w:r>
          </w:p>
        </w:tc>
        <w:tc>
          <w:tcPr>
            <w:tcW w:type="dxa" w:w="7776"/>
            <w:vAlign w:val="center"/>
            <w:tcMar>
              <w:top w:w="90" w:type="dxa"/>
              <w:bottom w:w="90" w:type="dxa"/>
              <w:left w:w="110" w:type="dxa"/>
              <w:right w:w="110" w:type="dxa"/>
            </w:tcMar>
          </w:tcPr>
          <w:p>
            <w:pPr>
              <w:spacing w:after="20" w:line="245" w:lineRule="auto"/>
            </w:pPr>
            <w:r>
              <w:rPr>
                <w:b w:val="0"/>
                <w:sz w:val="18"/>
              </w:rPr>
              <w:t>Actual allowances, discount erosion, support and losses invalidate contribution assumptions.</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Marketplace liquidity</w:t>
            </w:r>
          </w:p>
        </w:tc>
        <w:tc>
          <w:tcPr>
            <w:tcW w:type="dxa" w:w="7776"/>
            <w:vAlign w:val="center"/>
            <w:tcMar>
              <w:top w:w="90" w:type="dxa"/>
              <w:bottom w:w="90" w:type="dxa"/>
              <w:left w:w="110" w:type="dxa"/>
              <w:right w:w="110" w:type="dxa"/>
            </w:tcMar>
          </w:tcPr>
          <w:p>
            <w:pPr>
              <w:spacing w:after="20" w:line="245" w:lineRule="auto"/>
            </w:pPr>
            <w:r>
              <w:rPr>
                <w:b w:val="0"/>
                <w:sz w:val="18"/>
              </w:rPr>
              <w:t>Qualified demand has insufficient available supply, or active supply lacks suitable attorney demand.</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Enterprise / geography</w:t>
            </w:r>
          </w:p>
        </w:tc>
        <w:tc>
          <w:tcPr>
            <w:tcW w:type="dxa" w:w="7776"/>
            <w:vAlign w:val="center"/>
            <w:tcMar>
              <w:top w:w="90" w:type="dxa"/>
              <w:bottom w:w="90" w:type="dxa"/>
              <w:left w:w="110" w:type="dxa"/>
              <w:right w:w="110" w:type="dxa"/>
            </w:tcMar>
          </w:tcPr>
          <w:p>
            <w:pPr>
              <w:spacing w:after="20" w:line="245" w:lineRule="auto"/>
            </w:pPr>
            <w:r>
              <w:rPr>
                <w:b w:val="0"/>
                <w:sz w:val="18"/>
              </w:rPr>
              <w:t>Repeated paying customer need and a supportable legal/security operating model.</w:t>
            </w:r>
          </w:p>
        </w:tc>
      </w:tr>
    </w:tbl>
    <w:p>
      <w:pPr>
        <w:spacing w:after="20"/>
      </w:pPr>
    </w:p>
    <w:p>
      <w:pPr>
        <w:spacing w:before="80" w:after="180"/>
        <w:shd w:fill="F7ECE7"/>
      </w:pPr>
      <w:r>
        <w:rPr>
          <w:b w:val="0"/>
        </w:rPr>
      </w:r>
      <w:r>
        <w:rPr>
          <w:b/>
        </w:rPr>
        <w:t>Launch conditions remain</w:t>
      </w:r>
      <w:r>
        <w:rPr>
          <w:b w:val="0"/>
        </w:rPr>
        <w:t xml:space="preserve">  No live feature is exempt from authorization, privacy, financial reconciliation or professional obligations merely because an earlier phase passed. Reassess material model, provider, data-use and money-flow changes.</w:t>
      </w:r>
    </w:p>
    <w:p>
      <w:r>
        <w:br w:type="page"/>
      </w:r>
    </w:p>
    <w:p>
      <w:pPr>
        <w:pStyle w:val="Heading1"/>
      </w:pPr>
      <w:r>
        <w:t>2. Financial model and decision evidence</w:t>
      </w:r>
    </w:p>
    <w:p>
      <w:r>
        <w:rPr>
          <w:b w:val="0"/>
        </w:rPr>
        <w:t>Use settled/recognized revenue and actual costs, not optimistic registration conversion. Report membership subscriptions, engagement fees, paid export revenue and playbook commission independently. Recurring freelancer gross service fees are not Lawfecta MRR.</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tcMar>
              <w:top w:w="90" w:type="dxa"/>
              <w:bottom w:w="90" w:type="dxa"/>
              <w:left w:w="110" w:type="dxa"/>
              <w:right w:w="110" w:type="dxa"/>
            </w:tcMar>
            <w:shd w:fill="8B1F3F"/>
          </w:tcPr>
          <w:p>
            <w:pPr>
              <w:spacing w:after="20" w:line="245" w:lineRule="auto"/>
            </w:pPr>
            <w:r>
              <w:rPr>
                <w:b/>
                <w:color w:val="FFFFFF"/>
                <w:sz w:val="18"/>
              </w:rPr>
              <w:t>Measure</w:t>
            </w:r>
          </w:p>
        </w:tc>
        <w:tc>
          <w:tcPr>
            <w:tcW w:type="dxa" w:w="7848"/>
            <w:vAlign w:val="center"/>
            <w:tcMar>
              <w:top w:w="90" w:type="dxa"/>
              <w:bottom w:w="90" w:type="dxa"/>
              <w:left w:w="110" w:type="dxa"/>
              <w:right w:w="110" w:type="dxa"/>
            </w:tcMar>
            <w:shd w:fill="8B1F3F"/>
          </w:tcPr>
          <w:p>
            <w:pPr>
              <w:spacing w:after="20" w:line="245" w:lineRule="auto"/>
            </w:pPr>
            <w:r>
              <w:rPr>
                <w:b/>
                <w:color w:val="FFFFFF"/>
                <w:sz w:val="18"/>
              </w:rPr>
              <w:t>Required calculation / segmentation</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Engagement contribution</w:t>
            </w:r>
          </w:p>
        </w:tc>
        <w:tc>
          <w:tcPr>
            <w:tcW w:type="dxa" w:w="7848"/>
            <w:vAlign w:val="center"/>
            <w:tcMar>
              <w:top w:w="90" w:type="dxa"/>
              <w:bottom w:w="90" w:type="dxa"/>
              <w:left w:w="110" w:type="dxa"/>
              <w:right w:w="110" w:type="dxa"/>
            </w:tcMar>
          </w:tcPr>
          <w:p>
            <w:pPr>
              <w:spacing w:after="20" w:line="245" w:lineRule="auto"/>
            </w:pPr>
            <w:r>
              <w:rPr>
                <w:b w:val="0"/>
                <w:sz w:val="18"/>
              </w:rPr>
              <w:t>Fees retained minus card/Connect/Billing costs, refunds, AI/tool usage, variable infrastructure, support and expected or realized losses; by project size and tier pair.</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Member contribution</w:t>
            </w:r>
          </w:p>
        </w:tc>
        <w:tc>
          <w:tcPr>
            <w:tcW w:type="dxa" w:w="7848"/>
            <w:vAlign w:val="center"/>
            <w:tcMar>
              <w:top w:w="90" w:type="dxa"/>
              <w:bottom w:w="90" w:type="dxa"/>
              <w:left w:w="110" w:type="dxa"/>
              <w:right w:w="110" w:type="dxa"/>
            </w:tcMar>
          </w:tcPr>
          <w:p>
            <w:pPr>
              <w:spacing w:after="20" w:line="245" w:lineRule="auto"/>
            </w:pPr>
            <w:r>
              <w:rPr>
                <w:b w:val="0"/>
                <w:sz w:val="18"/>
              </w:rPr>
              <w:t>Subscription margin plus attributable engagement/export contribution minus included AI and service costs; prevent allocation to both parties twice.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Free / BYOK</w:t>
            </w:r>
          </w:p>
        </w:tc>
        <w:tc>
          <w:tcPr>
            <w:tcW w:type="dxa" w:w="7848"/>
            <w:vAlign w:val="center"/>
            <w:tcMar>
              <w:top w:w="90" w:type="dxa"/>
              <w:bottom w:w="90" w:type="dxa"/>
              <w:left w:w="110" w:type="dxa"/>
              <w:right w:w="110" w:type="dxa"/>
            </w:tcMar>
          </w:tcPr>
          <w:p>
            <w:pPr>
              <w:spacing w:after="20" w:line="245" w:lineRule="auto"/>
            </w:pPr>
            <w:r>
              <w:rPr>
                <w:b w:val="0"/>
                <w:sz w:val="18"/>
              </w:rPr>
              <w:t>Model cost avoided versus credential/security/support/worker/storage cost; assess conversion and heavy-tail use, not just average tokens.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Liquidity exposure</w:t>
            </w:r>
          </w:p>
        </w:tc>
        <w:tc>
          <w:tcPr>
            <w:tcW w:type="dxa" w:w="7848"/>
            <w:vAlign w:val="center"/>
            <w:tcMar>
              <w:top w:w="90" w:type="dxa"/>
              <w:bottom w:w="90" w:type="dxa"/>
              <w:left w:w="110" w:type="dxa"/>
              <w:right w:w="110" w:type="dxa"/>
            </w:tcMar>
          </w:tcPr>
          <w:p>
            <w:pPr>
              <w:spacing w:after="20" w:line="245" w:lineRule="auto"/>
            </w:pPr>
            <w:r>
              <w:rPr>
                <w:b w:val="0"/>
                <w:sz w:val="18"/>
              </w:rPr>
              <w:t>Unreleased obligations, available/restricted processor balances, chargeback debit risk, already-paid unrecoverable transfers and reserve needs.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Cash forecast</w:t>
            </w:r>
          </w:p>
        </w:tc>
        <w:tc>
          <w:tcPr>
            <w:tcW w:type="dxa" w:w="7848"/>
            <w:vAlign w:val="center"/>
            <w:tcMar>
              <w:top w:w="90" w:type="dxa"/>
              <w:bottom w:w="90" w:type="dxa"/>
              <w:left w:w="110" w:type="dxa"/>
              <w:right w:w="110" w:type="dxa"/>
            </w:tcMar>
          </w:tcPr>
          <w:p>
            <w:pPr>
              <w:spacing w:after="20" w:line="245" w:lineRule="auto"/>
            </w:pPr>
            <w:r>
              <w:rPr>
                <w:b w:val="0"/>
                <w:sz w:val="18"/>
              </w:rPr>
              <w:t>Timing of collections, taxes, fees, payouts, refunds and disputes; subscription annual cash is not all recognized monthly revenue.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Acquisition and retention</w:t>
            </w:r>
          </w:p>
        </w:tc>
        <w:tc>
          <w:tcPr>
            <w:tcW w:type="dxa" w:w="7848"/>
            <w:vAlign w:val="center"/>
            <w:tcMar>
              <w:top w:w="90" w:type="dxa"/>
              <w:bottom w:w="90" w:type="dxa"/>
              <w:left w:w="110" w:type="dxa"/>
              <w:right w:w="110" w:type="dxa"/>
            </w:tcMar>
          </w:tcPr>
          <w:p>
            <w:pPr>
              <w:spacing w:after="20" w:line="245" w:lineRule="auto"/>
            </w:pPr>
            <w:r>
              <w:rPr>
                <w:b w:val="0"/>
                <w:sz w:val="18"/>
              </w:rPr>
              <w:t>Cost per activated and first-paying attorney; mature repeat cohorts; freelancer fill and response rate; empirical contribution LTV, not assumed perpetual retention.</w:t>
            </w:r>
          </w:p>
        </w:tc>
      </w:tr>
    </w:tbl>
    <w:p>
      <w:pPr>
        <w:spacing w:after="20"/>
      </w:pPr>
    </w:p>
    <w:p>
      <w:r>
        <w:rPr>
          <w:b w:val="0"/>
        </w:rPr>
      </w:r>
      <w:r>
        <w:rPr>
          <w:b/>
        </w:rPr>
        <w:t>Stress scenarios:</w:t>
      </w:r>
      <w:r>
        <w:rPr>
          <w:b w:val="0"/>
        </w:rPr>
        <w:t xml:space="preserve"> zero hires but heavy AI; both parties on lowest fee tier; many small milestones; delayed fund availability; chargeback after payout; unrecoverable transfer; unexpected support/reviewer time; processor freeze; recurring cancellation spike; third-party price increase. Include taxes, insurance/security and fixed staffing in company break-even separately.</w:t>
      </w:r>
    </w:p>
    <w:p>
      <w:r>
        <w:rPr>
          <w:b w:val="0"/>
        </w:rPr>
        <w:t>A $1,000 chargeback can exceed many small engagement margins even without a freelancer-protection promise. Provision loss scenarios and minimum operating liquidity before expanding volume. Use actual configuration pricing; published fees are not an individualized quote. [S08, S11-S13]</w:t>
      </w:r>
    </w:p>
    <w:p>
      <w:r>
        <w:rPr>
          <w:b w:val="0"/>
        </w:rPr>
      </w:r>
      <w:r>
        <w:rPr>
          <w:b/>
        </w:rPr>
        <w:t>Decision options:</w:t>
      </w:r>
      <w:r>
        <w:rPr>
          <w:b w:val="0"/>
        </w:rPr>
        <w:t xml:space="preserve"> adjust minimum project/fee floors, payout aggregation, tier pricing, AI quotas, transaction discounts and supported categories. Keep terms transparent; apply approved changes prospectively to new agreements rather than silently rewriting existing fee snapshots.</w:t>
      </w:r>
    </w:p>
    <w:p>
      <w:r>
        <w:br w:type="page"/>
      </w:r>
    </w:p>
    <w:p>
      <w:pPr>
        <w:pStyle w:val="Heading1"/>
      </w:pPr>
      <w:r>
        <w:t>3. Future payment provider architecture</w:t>
      </w:r>
    </w:p>
    <w:p>
      <w:r>
        <w:rPr>
          <w:b w:val="0"/>
        </w:rPr>
        <w:t>The adapter designed in Phase 1 supports multiple provider capabilities without pretending every provider has identical legal or operational semantics. One engagement has one funding-provider assignment once funded.</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tcMar>
              <w:top w:w="90" w:type="dxa"/>
              <w:bottom w:w="90" w:type="dxa"/>
              <w:left w:w="110" w:type="dxa"/>
              <w:right w:w="110" w:type="dxa"/>
            </w:tcMar>
            <w:shd w:fill="8B1F3F"/>
          </w:tcPr>
          <w:p>
            <w:pPr>
              <w:spacing w:after="20" w:line="245" w:lineRule="auto"/>
            </w:pPr>
            <w:r>
              <w:rPr>
                <w:b/>
                <w:color w:val="FFFFFF"/>
                <w:sz w:val="18"/>
              </w:rPr>
              <w:t>Capability</w:t>
            </w:r>
          </w:p>
        </w:tc>
        <w:tc>
          <w:tcPr>
            <w:tcW w:type="dxa" w:w="7848"/>
            <w:vAlign w:val="center"/>
            <w:tcMar>
              <w:top w:w="90" w:type="dxa"/>
              <w:bottom w:w="90" w:type="dxa"/>
              <w:left w:w="110" w:type="dxa"/>
              <w:right w:w="110" w:type="dxa"/>
            </w:tcMar>
            <w:shd w:fill="8B1F3F"/>
          </w:tcPr>
          <w:p>
            <w:pPr>
              <w:spacing w:after="20" w:line="245" w:lineRule="auto"/>
            </w:pPr>
            <w:r>
              <w:rPr>
                <w:b/>
                <w:color w:val="FFFFFF"/>
                <w:sz w:val="18"/>
              </w:rPr>
              <w:t>Required representation</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Funding</w:t>
            </w:r>
          </w:p>
        </w:tc>
        <w:tc>
          <w:tcPr>
            <w:tcW w:type="dxa" w:w="7848"/>
            <w:vAlign w:val="center"/>
            <w:tcMar>
              <w:top w:w="90" w:type="dxa"/>
              <w:bottom w:w="90" w:type="dxa"/>
              <w:left w:w="110" w:type="dxa"/>
              <w:right w:w="110" w:type="dxa"/>
            </w:tcMar>
          </w:tcPr>
          <w:p>
            <w:pPr>
              <w:spacing w:after="20" w:line="245" w:lineRule="auto"/>
            </w:pPr>
            <w:r>
              <w:rPr>
                <w:b w:val="0"/>
                <w:sz w:val="18"/>
              </w:rPr>
              <w:t>Available methods, payer consent, confirmation/finality limitations, holds and restrictions. No universal boolean funds_safe.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Allocation</w:t>
            </w:r>
          </w:p>
        </w:tc>
        <w:tc>
          <w:tcPr>
            <w:tcW w:type="dxa" w:w="7848"/>
            <w:vAlign w:val="center"/>
            <w:tcMar>
              <w:top w:w="90" w:type="dxa"/>
              <w:bottom w:w="90" w:type="dxa"/>
              <w:left w:w="110" w:type="dxa"/>
              <w:right w:w="110" w:type="dxa"/>
            </w:tcMar>
          </w:tcPr>
          <w:p>
            <w:pPr>
              <w:spacing w:after="20" w:line="245" w:lineRule="auto"/>
            </w:pPr>
            <w:r>
              <w:rPr>
                <w:b w:val="0"/>
                <w:sz w:val="18"/>
              </w:rPr>
              <w:t>Per-milestone obligation records, legal custody classification and permitted retention. Ledger allocation does not itself segregate money.</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Release</w:t>
            </w:r>
          </w:p>
        </w:tc>
        <w:tc>
          <w:tcPr>
            <w:tcW w:type="dxa" w:w="7848"/>
            <w:vAlign w:val="center"/>
            <w:tcMar>
              <w:top w:w="90" w:type="dxa"/>
              <w:bottom w:w="90" w:type="dxa"/>
              <w:left w:w="110" w:type="dxa"/>
              <w:right w:w="110" w:type="dxa"/>
            </w:tcMar>
          </w:tcPr>
          <w:p>
            <w:pPr>
              <w:spacing w:after="20" w:line="245" w:lineRule="auto"/>
            </w:pPr>
            <w:r>
              <w:rPr>
                <w:b w:val="0"/>
                <w:sz w:val="18"/>
              </w:rPr>
              <w:t>Authorized instruction basis, deadline, provider review/dispute blocking and separate transfer/payout stages.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Refund / dispute</w:t>
            </w:r>
          </w:p>
        </w:tc>
        <w:tc>
          <w:tcPr>
            <w:tcW w:type="dxa" w:w="7848"/>
            <w:vAlign w:val="center"/>
            <w:tcMar>
              <w:top w:w="90" w:type="dxa"/>
              <w:bottom w:w="90" w:type="dxa"/>
              <w:left w:w="110" w:type="dxa"/>
              <w:right w:w="110" w:type="dxa"/>
            </w:tcMar>
          </w:tcPr>
          <w:p>
            <w:pPr>
              <w:spacing w:after="20" w:line="245" w:lineRule="auto"/>
            </w:pPr>
            <w:r>
              <w:rPr>
                <w:b w:val="0"/>
                <w:sz w:val="18"/>
              </w:rPr>
              <w:t>Cancelable amount, already-paid recoverability, dispute ownership, evidence deadline and liability.</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Reconciliation</w:t>
            </w:r>
          </w:p>
        </w:tc>
        <w:tc>
          <w:tcPr>
            <w:tcW w:type="dxa" w:w="7848"/>
            <w:vAlign w:val="center"/>
            <w:tcMar>
              <w:top w:w="90" w:type="dxa"/>
              <w:bottom w:w="90" w:type="dxa"/>
              <w:left w:w="110" w:type="dxa"/>
              <w:right w:w="110" w:type="dxa"/>
            </w:tcMar>
          </w:tcPr>
          <w:p>
            <w:pPr>
              <w:spacing w:after="20" w:line="245" w:lineRule="auto"/>
            </w:pPr>
            <w:r>
              <w:rPr>
                <w:b w:val="0"/>
                <w:sz w:val="18"/>
              </w:rPr>
              <w:t>Provider object/balance transaction IDs, raw and normalized states, variance resolution and retry rules.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Fees / geography</w:t>
            </w:r>
          </w:p>
        </w:tc>
        <w:tc>
          <w:tcPr>
            <w:tcW w:type="dxa" w:w="7848"/>
            <w:vAlign w:val="center"/>
            <w:tcMar>
              <w:top w:w="90" w:type="dxa"/>
              <w:bottom w:w="90" w:type="dxa"/>
              <w:left w:w="110" w:type="dxa"/>
              <w:right w:w="110" w:type="dxa"/>
            </w:tcMar>
          </w:tcPr>
          <w:p>
            <w:pPr>
              <w:spacing w:after="20" w:line="245" w:lineRule="auto"/>
            </w:pPr>
            <w:r>
              <w:rPr>
                <w:b w:val="0"/>
                <w:sz w:val="18"/>
              </w:rPr>
              <w:t>Actual all-in fees, taxes, entity/country eligibility, currency, seller onboarding and account restrictions.</w:t>
            </w:r>
          </w:p>
        </w:tc>
      </w:tr>
    </w:tbl>
    <w:p>
      <w:pPr>
        <w:spacing w:after="20"/>
      </w:pPr>
    </w:p>
    <w:p>
      <w:r>
        <w:rPr>
          <w:b w:val="0"/>
        </w:rPr>
      </w:r>
      <w:r>
        <w:rPr>
          <w:b/>
        </w:rPr>
        <w:t>Due diligence:</w:t>
      </w:r>
      <w:r>
        <w:rPr>
          <w:b w:val="0"/>
        </w:rPr>
        <w:t xml:space="preserve"> entity/license or other legal basis, actual funds holder, who controls release, permitted U.S. jurisdictions, customer terms, bank/provider role, insolvency treatment, chargeback allocation, reserve, API/webhooks, sandbox, privacy, service continuity, duration, fees and exit plan. Low advertised percentage alone does not qualify a provider.</w:t>
      </w:r>
    </w:p>
    <w:p>
      <w:r>
        <w:rPr>
          <w:b w:val="0"/>
        </w:rPr>
        <w:t>Stripe documents that it does not provide escrow; payout delay controls and Separate Charges and Transfers are not regulatory exemptions. California DFPI describes licensing applicability to internet escrow activity. Obtain a fact-specific multistate analysis; Delaware incorporation does not settle it. [S09, S24]</w:t>
      </w:r>
    </w:p>
    <w:p>
      <w:r>
        <w:rPr>
          <w:b w:val="0"/>
        </w:rPr>
      </w:r>
      <w:r>
        <w:rPr>
          <w:b/>
        </w:rPr>
        <w:t>Possible outcome:</w:t>
      </w:r>
      <w:r>
        <w:rPr>
          <w:b w:val="0"/>
        </w:rPr>
        <w:t xml:space="preserve"> stay on approved sequential milestone funding, adopt approved full prepayment, offer a licensed third-party option for selected new transactions, or decline unsupported use cases. No guaranteed requirement to migrate.</w:t>
      </w:r>
    </w:p>
    <w:p>
      <w:r>
        <w:rPr>
          <w:b w:val="0"/>
        </w:rPr>
      </w:r>
      <w:r>
        <w:rPr>
          <w:b/>
        </w:rPr>
        <w:t>Tests:</w:t>
      </w:r>
      <w:r>
        <w:rPr>
          <w:b w:val="0"/>
        </w:rPr>
        <w:t xml:space="preserve"> each provider contract-tested for duplicate events, partial releases, refunds after payout, lost chargeback, provider freeze, sunset, negative balance and timeout. Display honest distinctions between payment received, accepted work and money available.</w:t>
      </w:r>
    </w:p>
    <w:p>
      <w:r>
        <w:br w:type="page"/>
      </w:r>
    </w:p>
    <w:p>
      <w:pPr>
        <w:pStyle w:val="Heading1"/>
      </w:pPr>
      <w:r>
        <w:t>4. Provider migration and optional protection</w:t>
      </w:r>
    </w:p>
    <w:p>
      <w:pPr>
        <w:pStyle w:val="Heading2"/>
      </w:pPr>
      <w:r>
        <w:t>Migration rules</w:t>
      </w:r>
    </w:p>
    <w:p>
      <w:pPr>
        <w:pStyle w:val="ListBullet"/>
      </w:pPr>
      <w:r>
        <w:rPr>
          <w:b w:val="0"/>
        </w:rPr>
        <w:t>New engagements can be routed by approved country, amount, availability and risk rules. Member choice is not assumed; provider-selection policy remains open.</w:t>
      </w:r>
    </w:p>
    <w:p>
      <w:pPr>
        <w:pStyle w:val="ListBullet"/>
      </w:pPr>
      <w:r>
        <w:rPr>
          <w:b w:val="0"/>
        </w:rPr>
        <w:t>Existing funded engagements stay on the original provider until settled, canceled/refunded or a separately consented supported transition. Do not redirect funds by changing a database reference.</w:t>
      </w:r>
    </w:p>
    <w:p>
      <w:pPr>
        <w:pStyle w:val="ListBullet"/>
      </w:pPr>
      <w:r>
        <w:rPr>
          <w:b w:val="0"/>
        </w:rPr>
        <w:t>Run dual adapters with separate reconciliation, secrets, webhook endpoints, liability records and support procedures. Preserve original contract/provider terms and disclosure history.</w:t>
      </w:r>
    </w:p>
    <w:p>
      <w:pPr>
        <w:pStyle w:val="ListBullet"/>
      </w:pPr>
      <w:r>
        <w:rPr>
          <w:b w:val="0"/>
        </w:rPr>
        <w:t>Use a limited transaction exposure cap and flags for the new provider; broad membership access need not mean unbounded financial exposure.</w:t>
      </w:r>
    </w:p>
    <w:p>
      <w:pPr>
        <w:pStyle w:val="ListBullet"/>
      </w:pPr>
      <w:r>
        <w:rPr>
          <w:b w:val="0"/>
        </w:rPr>
        <w:t>Rollback stops new routing; it does not unwind already accepted obligations. Define wind-down, archive, outstanding refund and evidence access.</w:t>
      </w:r>
    </w:p>
    <w:p>
      <w:pPr>
        <w:pStyle w:val="Heading2"/>
      </w:pPr>
      <w:r>
        <w:t>Freelancer protection is optional and deferred</w:t>
      </w:r>
    </w:p>
    <w:p>
      <w:r>
        <w:rPr>
          <w:b w:val="0"/>
        </w:rPr>
        <w:t>No $500/$1,000 guarantee launches automatically. Reconsider only with a separately approved reserve/funding source, eligibility/cap/aggregate rules, loss allocation, recovery rights, claim handling, disclosures, fraud controls and legal/insurance review. A payout cannot be booked as a certain recoverable asset merely because the attorney may owe money.</w:t>
      </w:r>
    </w:p>
    <w:p>
      <w:r>
        <w:rPr>
          <w:b w:val="0"/>
        </w:rPr>
        <w:t>The existing self-service evidence/support scope remains. No automatic court selection, jurisdiction-specific drafting, Lawfecta-chosen arbitrator or platform litigation service is added. Lawfecta's own fee recovery is kept separate from unpaid freelancer claims.</w:t>
      </w:r>
    </w:p>
    <w:p>
      <w:r>
        <w:rPr>
          <w:b w:val="0"/>
        </w:rPr>
      </w:r>
      <w:r>
        <w:rPr>
          <w:b/>
        </w:rPr>
        <w:t>Financial trigger:</w:t>
      </w:r>
      <w:r>
        <w:rPr>
          <w:b w:val="0"/>
        </w:rPr>
        <w:t xml:space="preserve"> Compare expected prevented churn/commercial value with expected claim severity/frequency, review costs, reserve capital, recoveries, legal costs and adverse selection. If coverage cannot be financed without threatening operations, do not launch it.</w:t>
      </w:r>
    </w:p>
    <w:p>
      <w:r>
        <w:rPr>
          <w:b w:val="0"/>
        </w:rPr>
      </w:r>
      <w:r>
        <w:rPr>
          <w:b/>
        </w:rPr>
        <w:t>Protection gate:</w:t>
      </w:r>
      <w:r>
        <w:rPr>
          <w:b w:val="0"/>
        </w:rPr>
        <w:t xml:space="preserve"> Legal terms and operational capacity are necessary, not merely software fields. If coverage is ever offered, preserve policy version, eligibility evidence, claim ID, payouts, aggregate caps and lawful recovery linkage; no double recovery.</w:t>
      </w:r>
    </w:p>
    <w:p>
      <w:r>
        <w:br w:type="page"/>
      </w:r>
    </w:p>
    <w:p>
      <w:pPr>
        <w:pStyle w:val="Heading1"/>
      </w:pPr>
      <w:r>
        <w:t>5. Infrastructure scaling and reliability</w:t>
      </w:r>
    </w:p>
    <w:p>
      <w:pPr>
        <w:pStyle w:val="ListBullet"/>
      </w:pPr>
      <w:r>
        <w:rPr>
          <w:b w:val="0"/>
        </w:rPr>
        <w:t>Monitor p95/p99 latency by operation, database locks/connections, queue age, event lag, private storage/egress, synchronization load and per-tenant resource concentration.</w:t>
      </w:r>
    </w:p>
    <w:p>
      <w:pPr>
        <w:pStyle w:val="ListBullet"/>
      </w:pPr>
      <w:r>
        <w:rPr>
          <w:b w:val="0"/>
        </w:rPr>
        <w:t>Tune indexes and query plans from real workload; partition large event/audit data when justified. Keep tenant authorization and financial invariants intact through caching and replicas.</w:t>
      </w:r>
    </w:p>
    <w:p>
      <w:pPr>
        <w:pStyle w:val="ListBullet"/>
      </w:pPr>
      <w:r>
        <w:rPr>
          <w:b w:val="0"/>
        </w:rPr>
        <w:t>Scale asynchronous workers independently from interactive APIs. Fair-share tenant queues prevent noisy-neighbor starvation. Financial and security work has protected priority.</w:t>
      </w:r>
    </w:p>
    <w:p>
      <w:pPr>
        <w:pStyle w:val="ListBullet"/>
      </w:pPr>
      <w:r>
        <w:rPr>
          <w:b w:val="0"/>
        </w:rPr>
        <w:t>Introduce dedicated resources/isolation for high-sensitivity customers only with supportable operational guarantees. Do not claim dedicated model/database isolation unless actually deployed and tested.</w:t>
      </w:r>
    </w:p>
    <w:p>
      <w:pPr>
        <w:pStyle w:val="ListBullet"/>
      </w:pPr>
      <w:r>
        <w:rPr>
          <w:b w:val="0"/>
        </w:rPr>
        <w:t>Test object and database restore, region/provider outage, credential compromise and mass replay. Establish RPO/RTO with named owners and routinely verify recovery. Database backup alone does not restore file objects. [S04]</w:t>
      </w:r>
    </w:p>
    <w:p>
      <w:pPr>
        <w:pStyle w:val="ListBullet"/>
      </w:pPr>
      <w:r>
        <w:rPr>
          <w:b w:val="0"/>
        </w:rPr>
        <w:t>Publish internal SLO/error budgets and user-facing service limitations. Reduce feature change when reliability budget is exhausted. Multi-region adds data residency, failover and consistency complexity; justify with measured need.</w:t>
      </w:r>
    </w:p>
    <w:p>
      <w:pPr>
        <w:pStyle w:val="Heading2"/>
      </w:pPr>
      <w:r>
        <w:t>Operational ownership</w:t>
      </w:r>
    </w:p>
    <w:p>
      <w:r>
        <w:rPr>
          <w:b w:val="0"/>
        </w:rPr>
        <w:t>Support, finance/risk, security and engineering need an escalation rota. A founder-only dashboard cannot guarantee response to chargebacks or a compromise. Track alerts acknowledged, response time, missed deadlines, false-positive holds, appeal outcomes and post-incident corrective actions.</w:t>
      </w:r>
    </w:p>
    <w:p>
      <w:r>
        <w:rPr>
          <w:b w:val="0"/>
        </w:rPr>
      </w:r>
      <w:r>
        <w:rPr>
          <w:b/>
        </w:rPr>
        <w:t>Supply health:</w:t>
      </w:r>
      <w:r>
        <w:rPr>
          <w:b w:val="0"/>
        </w:rPr>
        <w:t xml:space="preserve"> Measure available verified paralegals by service, practice familiarity, technology, timeframe and rates. Do not advertise aggregate profile count as accessible capacity. Avoid ranking that entrenches incumbents or penalizes newcomers lacking transaction history.</w:t>
      </w:r>
    </w:p>
    <w:p>
      <w:r>
        <w:rPr>
          <w:b w:val="0"/>
        </w:rPr>
      </w:r>
      <w:r>
        <w:rPr>
          <w:b/>
        </w:rPr>
        <w:t>Data governance:</w:t>
      </w:r>
      <w:r>
        <w:rPr>
          <w:b w:val="0"/>
        </w:rPr>
        <w:t xml:space="preserve"> Review retention and analytics access as dataset value grows. Aggregate outcome insights must not expose tiny groups, client facts or firm methods. Learning from private data remains governed by the original permission boundaries, not enabled by scale.</w:t>
      </w:r>
    </w:p>
    <w:p>
      <w:r>
        <w:br w:type="page"/>
      </w:r>
    </w:p>
    <w:p>
      <w:pPr>
        <w:pStyle w:val="Heading1"/>
      </w:pPr>
      <w:r>
        <w:t>6. Enterprise, agency and international options</w:t>
      </w:r>
    </w:p>
    <w:p>
      <w:r>
        <w:rPr>
          <w:b w:val="0"/>
        </w:rPr>
        <w:t>These are architecture options, not approved market launches. Growth should preserve the initial solo-attorney/freelance-paralegal value proposition rather than replacing it with an enterprise product before demand is demonstrated.</w:t>
      </w:r>
    </w:p>
    <w:tbl>
      <w:tblPr>
        <w:tblW w:type="auto" w:w="0"/>
        <w:jc w:val="center"/>
        <w:tblLayout w:type="fixed"/>
        <w:tblLook w:firstColumn="1" w:firstRow="1" w:lastColumn="0" w:lastRow="0" w:noHBand="0" w:noVBand="1" w:val="04A0"/>
      </w:tblPr>
      <w:tblGrid>
        <w:gridCol w:w="2304"/>
        <w:gridCol w:w="7920"/>
      </w:tblGrid>
      <w:tr>
        <w:trPr>
          <w:tblHeader/>
          <w:cantSplit/>
        </w:trPr>
        <w:tc>
          <w:tcPr>
            <w:tcW w:type="dxa" w:w="2304"/>
            <w:vAlign w:val="center"/>
            <w:tcMar>
              <w:top w:w="90" w:type="dxa"/>
              <w:bottom w:w="90" w:type="dxa"/>
              <w:left w:w="110" w:type="dxa"/>
              <w:right w:w="110" w:type="dxa"/>
            </w:tcMar>
            <w:shd w:fill="8B1F3F"/>
          </w:tcPr>
          <w:p>
            <w:pPr>
              <w:spacing w:after="20" w:line="245" w:lineRule="auto"/>
            </w:pPr>
            <w:r>
              <w:rPr>
                <w:b/>
                <w:color w:val="FFFFFF"/>
                <w:sz w:val="18"/>
              </w:rPr>
              <w:t>Option</w:t>
            </w:r>
          </w:p>
        </w:tc>
        <w:tc>
          <w:tcPr>
            <w:tcW w:type="dxa" w:w="7920"/>
            <w:vAlign w:val="center"/>
            <w:tcMar>
              <w:top w:w="90" w:type="dxa"/>
              <w:bottom w:w="90" w:type="dxa"/>
              <w:left w:w="110" w:type="dxa"/>
              <w:right w:w="110" w:type="dxa"/>
            </w:tcMar>
            <w:shd w:fill="8B1F3F"/>
          </w:tcPr>
          <w:p>
            <w:pPr>
              <w:spacing w:after="20" w:line="245" w:lineRule="auto"/>
            </w:pPr>
            <w:r>
              <w:rPr>
                <w:b/>
                <w:color w:val="FFFFFF"/>
                <w:sz w:val="18"/>
              </w:rPr>
              <w:t>Required readiness</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Larger firms</w:t>
            </w:r>
          </w:p>
        </w:tc>
        <w:tc>
          <w:tcPr>
            <w:tcW w:type="dxa" w:w="7920"/>
            <w:vAlign w:val="center"/>
            <w:tcMar>
              <w:top w:w="90" w:type="dxa"/>
              <w:bottom w:w="90" w:type="dxa"/>
              <w:left w:w="110" w:type="dxa"/>
              <w:right w:w="110" w:type="dxa"/>
            </w:tcMar>
          </w:tcPr>
          <w:p>
            <w:pPr>
              <w:spacing w:after="20" w:line="245" w:lineRule="auto"/>
            </w:pPr>
            <w:r>
              <w:rPr>
                <w:b w:val="0"/>
                <w:sz w:val="18"/>
              </w:rPr>
              <w:t>Delegated purchasing, firm identity/SSO where needed, audit exports, ethical walls, seat/usage pools, data terms and support commitments.</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Agencies</w:t>
            </w:r>
          </w:p>
        </w:tc>
        <w:tc>
          <w:tcPr>
            <w:tcW w:type="dxa" w:w="7920"/>
            <w:vAlign w:val="center"/>
            <w:tcMar>
              <w:top w:w="90" w:type="dxa"/>
              <w:bottom w:w="90" w:type="dxa"/>
              <w:left w:w="110" w:type="dxa"/>
              <w:right w:w="110" w:type="dxa"/>
            </w:tcMar>
          </w:tcPr>
          <w:p>
            <w:pPr>
              <w:spacing w:after="20" w:line="245" w:lineRule="auto"/>
            </w:pPr>
            <w:r>
              <w:rPr>
                <w:b w:val="0"/>
                <w:sz w:val="18"/>
              </w:rPr>
              <w:t>Approved team/bench mapping, individual access, client subcontracting consent, capacity, employee departure and handoff; billing entity distinct from worker.</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Canada</w:t>
            </w:r>
          </w:p>
        </w:tc>
        <w:tc>
          <w:tcPr>
            <w:tcW w:type="dxa" w:w="7920"/>
            <w:vAlign w:val="center"/>
            <w:tcMar>
              <w:top w:w="90" w:type="dxa"/>
              <w:bottom w:w="90" w:type="dxa"/>
              <w:left w:w="110" w:type="dxa"/>
              <w:right w:w="110" w:type="dxa"/>
            </w:tcMar>
          </w:tcPr>
          <w:p>
            <w:pPr>
              <w:spacing w:after="20" w:line="245" w:lineRule="auto"/>
            </w:pPr>
            <w:r>
              <w:rPr>
                <w:b w:val="0"/>
                <w:sz w:val="18"/>
              </w:rPr>
              <w:t>Select a province and profession; verify regulator, title/scope, privacy/data transfer, currency, tax, payments and local agreement requirements.</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Europe / UK</w:t>
            </w:r>
          </w:p>
        </w:tc>
        <w:tc>
          <w:tcPr>
            <w:tcW w:type="dxa" w:w="7920"/>
            <w:vAlign w:val="center"/>
            <w:tcMar>
              <w:top w:w="90" w:type="dxa"/>
              <w:bottom w:w="90" w:type="dxa"/>
              <w:left w:w="110" w:type="dxa"/>
              <w:right w:w="110" w:type="dxa"/>
            </w:tcMar>
          </w:tcPr>
          <w:p>
            <w:pPr>
              <w:spacing w:after="20" w:line="245" w:lineRule="auto"/>
            </w:pPr>
            <w:r>
              <w:rPr>
                <w:b w:val="0"/>
                <w:sz w:val="18"/>
              </w:rPr>
              <w:t>Treat as separate countries/professional systems, not one jurisdiction; privacy/AI/labor/professional rules and data-transfer model need review.</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Hourly / other billing</w:t>
            </w:r>
          </w:p>
        </w:tc>
        <w:tc>
          <w:tcPr>
            <w:tcW w:type="dxa" w:w="7920"/>
            <w:vAlign w:val="center"/>
            <w:tcMar>
              <w:top w:w="90" w:type="dxa"/>
              <w:bottom w:w="90" w:type="dxa"/>
              <w:left w:w="110" w:type="dxa"/>
              <w:right w:w="110" w:type="dxa"/>
            </w:tcMar>
          </w:tcPr>
          <w:p>
            <w:pPr>
              <w:spacing w:after="20" w:line="245" w:lineRule="auto"/>
            </w:pPr>
            <w:r>
              <w:rPr>
                <w:b w:val="0"/>
                <w:sz w:val="18"/>
              </w:rPr>
              <w:t>Separate timesheet/approval/cap model, not artificial milestones; migration and law/processor review.</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Third-party agents</w:t>
            </w:r>
          </w:p>
        </w:tc>
        <w:tc>
          <w:tcPr>
            <w:tcW w:type="dxa" w:w="7920"/>
            <w:vAlign w:val="center"/>
            <w:tcMar>
              <w:top w:w="90" w:type="dxa"/>
              <w:bottom w:w="90" w:type="dxa"/>
              <w:left w:w="110" w:type="dxa"/>
              <w:right w:w="110" w:type="dxa"/>
            </w:tcMar>
          </w:tcPr>
          <w:p>
            <w:pPr>
              <w:spacing w:after="20" w:line="245" w:lineRule="auto"/>
            </w:pPr>
            <w:r>
              <w:rPr>
                <w:b w:val="0"/>
                <w:sz w:val="18"/>
              </w:rPr>
              <w:t>Developer vetting, signed versions, sandbox, egress/permissions, data terms, abuse/incident response and independent certification process.</w:t>
            </w:r>
          </w:p>
        </w:tc>
      </w:tr>
    </w:tbl>
    <w:p>
      <w:pPr>
        <w:spacing w:after="20"/>
      </w:pPr>
    </w:p>
    <w:p>
      <w:r>
        <w:rPr>
          <w:b w:val="0"/>
        </w:rPr>
        <w:t>Phase 1 fields for country, currency, professional issuer, organization, license and policy version preserve flexibility. They do not activate international transactions or prove a professional can practice across borders.</w:t>
      </w:r>
    </w:p>
    <w:p>
      <w:r>
        <w:rPr>
          <w:b w:val="0"/>
        </w:rPr>
      </w:r>
      <w:r>
        <w:rPr>
          <w:b/>
        </w:rPr>
        <w:t>Strategic gate:</w:t>
      </w:r>
      <w:r>
        <w:rPr>
          <w:b w:val="0"/>
        </w:rPr>
        <w:t xml:space="preserve"> Repeated existing-customer demand, addressable workflow need, qualified supply, sustainable contribution and operational capacity. Do not expand because competitor checklists contain a feature or because the schema can accommodate it.</w:t>
      </w:r>
    </w:p>
    <w:p>
      <w:r>
        <w:rPr>
          <w:b w:val="0"/>
        </w:rPr>
      </w:r>
      <w:r>
        <w:rPr>
          <w:b/>
        </w:rPr>
        <w:t>Member migration:</w:t>
      </w:r>
      <w:r>
        <w:rPr>
          <w:b w:val="0"/>
        </w:rPr>
        <w:t xml:space="preserve"> A new Business/enterprise plan must preserve signed commitments, licenses, active projects and lawful data access. New pricing, seat caps and transaction rates apply under clear notice/version rules. No forced double billing.</w:t>
      </w:r>
    </w:p>
    <w:p>
      <w:r>
        <w:br w:type="page"/>
      </w:r>
    </w:p>
    <w:p>
      <w:pPr>
        <w:pStyle w:val="Heading1"/>
      </w:pPr>
      <w:r>
        <w:t>7. Build packages, evaluation and decision gates</w:t>
      </w:r>
    </w:p>
    <w:tbl>
      <w:tblPr>
        <w:tblW w:type="auto" w:w="0"/>
        <w:jc w:val="center"/>
        <w:tblLayout w:type="fixed"/>
        <w:tblLook w:firstColumn="1" w:firstRow="1" w:lastColumn="0" w:lastRow="0" w:noHBand="0" w:noVBand="1" w:val="04A0"/>
      </w:tblPr>
      <w:tblGrid>
        <w:gridCol w:w="2016"/>
        <w:gridCol w:w="4464"/>
        <w:gridCol w:w="3744"/>
      </w:tblGrid>
      <w:tr>
        <w:trPr>
          <w:tblHeader/>
          <w:cantSplit/>
        </w:trPr>
        <w:tc>
          <w:tcPr>
            <w:tcW w:type="dxa" w:w="2016"/>
            <w:vAlign w:val="center"/>
            <w:tcMar>
              <w:top w:w="90" w:type="dxa"/>
              <w:bottom w:w="90" w:type="dxa"/>
              <w:left w:w="110" w:type="dxa"/>
              <w:right w:w="110" w:type="dxa"/>
            </w:tcMar>
            <w:shd w:fill="8B1F3F"/>
          </w:tcPr>
          <w:p>
            <w:pPr>
              <w:spacing w:after="20" w:line="245" w:lineRule="auto"/>
            </w:pPr>
            <w:r>
              <w:rPr>
                <w:b/>
                <w:color w:val="FFFFFF"/>
                <w:sz w:val="18"/>
              </w:rPr>
              <w:t>Package</w:t>
            </w:r>
          </w:p>
        </w:tc>
        <w:tc>
          <w:tcPr>
            <w:tcW w:type="dxa" w:w="4464"/>
            <w:vAlign w:val="center"/>
            <w:tcMar>
              <w:top w:w="90" w:type="dxa"/>
              <w:bottom w:w="90" w:type="dxa"/>
              <w:left w:w="110" w:type="dxa"/>
              <w:right w:w="110" w:type="dxa"/>
            </w:tcMar>
            <w:shd w:fill="8B1F3F"/>
          </w:tcPr>
          <w:p>
            <w:pPr>
              <w:spacing w:after="20" w:line="245" w:lineRule="auto"/>
            </w:pPr>
            <w:r>
              <w:rPr>
                <w:b/>
                <w:color w:val="FFFFFF"/>
                <w:sz w:val="18"/>
              </w:rPr>
              <w:t>Deliverable</w:t>
            </w:r>
          </w:p>
        </w:tc>
        <w:tc>
          <w:tcPr>
            <w:tcW w:type="dxa" w:w="3744"/>
            <w:vAlign w:val="center"/>
            <w:tcMar>
              <w:top w:w="90" w:type="dxa"/>
              <w:bottom w:w="90" w:type="dxa"/>
              <w:left w:w="110" w:type="dxa"/>
              <w:right w:w="110" w:type="dxa"/>
            </w:tcMar>
            <w:shd w:fill="8B1F3F"/>
          </w:tcPr>
          <w:p>
            <w:pPr>
              <w:spacing w:after="20" w:line="245" w:lineRule="auto"/>
            </w:pPr>
            <w:r>
              <w:rPr>
                <w:b/>
                <w:color w:val="FFFFFF"/>
                <w:sz w:val="18"/>
              </w:rPr>
              <w:t>Evidence to approve</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S1 Economics and exposure</w:t>
            </w:r>
          </w:p>
        </w:tc>
        <w:tc>
          <w:tcPr>
            <w:tcW w:type="dxa" w:w="4464"/>
            <w:vAlign w:val="center"/>
            <w:tcMar>
              <w:top w:w="90" w:type="dxa"/>
              <w:bottom w:w="90" w:type="dxa"/>
              <w:left w:w="110" w:type="dxa"/>
              <w:right w:w="110" w:type="dxa"/>
            </w:tcMar>
          </w:tcPr>
          <w:p>
            <w:pPr>
              <w:spacing w:after="20" w:line="245" w:lineRule="auto"/>
            </w:pPr>
            <w:r>
              <w:rPr>
                <w:b w:val="0"/>
                <w:sz w:val="18"/>
              </w:rPr>
              <w:t>Reconciled cost model, cash/exposure dashboard, stress scenarios and pricing policy options.</w:t>
            </w:r>
          </w:p>
        </w:tc>
        <w:tc>
          <w:tcPr>
            <w:tcW w:type="dxa" w:w="3744"/>
            <w:vAlign w:val="center"/>
            <w:tcMar>
              <w:top w:w="90" w:type="dxa"/>
              <w:bottom w:w="90" w:type="dxa"/>
              <w:left w:w="110" w:type="dxa"/>
              <w:right w:w="110" w:type="dxa"/>
            </w:tcMar>
          </w:tcPr>
          <w:p>
            <w:pPr>
              <w:spacing w:after="20" w:line="245" w:lineRule="auto"/>
            </w:pPr>
            <w:r>
              <w:rPr>
                <w:b w:val="0"/>
                <w:sz w:val="18"/>
              </w:rPr>
              <w:t>Actual cohort data and finance signoff; no double-counted revenue.</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S2 Provider evaluation</w:t>
            </w:r>
          </w:p>
        </w:tc>
        <w:tc>
          <w:tcPr>
            <w:tcW w:type="dxa" w:w="4464"/>
            <w:vAlign w:val="center"/>
            <w:tcMar>
              <w:top w:w="90" w:type="dxa"/>
              <w:bottom w:w="90" w:type="dxa"/>
              <w:left w:w="110" w:type="dxa"/>
              <w:right w:w="110" w:type="dxa"/>
            </w:tcMar>
          </w:tcPr>
          <w:p>
            <w:pPr>
              <w:spacing w:after="20" w:line="245" w:lineRule="auto"/>
            </w:pPr>
            <w:r>
              <w:rPr>
                <w:b w:val="0"/>
                <w:sz w:val="18"/>
              </w:rPr>
              <w:t>Legal/provider matrix, all-in quotes, sandbox contract tests and migration plan.</w:t>
            </w:r>
          </w:p>
        </w:tc>
        <w:tc>
          <w:tcPr>
            <w:tcW w:type="dxa" w:w="3744"/>
            <w:vAlign w:val="center"/>
            <w:tcMar>
              <w:top w:w="90" w:type="dxa"/>
              <w:bottom w:w="90" w:type="dxa"/>
              <w:left w:w="110" w:type="dxa"/>
              <w:right w:w="110" w:type="dxa"/>
            </w:tcMar>
          </w:tcPr>
          <w:p>
            <w:pPr>
              <w:spacing w:after="20" w:line="245" w:lineRule="auto"/>
            </w:pPr>
            <w:r>
              <w:rPr>
                <w:b w:val="0"/>
                <w:sz w:val="18"/>
              </w:rPr>
              <w:t>Documented lawful role and credible unit economics.</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S3 Reliability scaling</w:t>
            </w:r>
          </w:p>
        </w:tc>
        <w:tc>
          <w:tcPr>
            <w:tcW w:type="dxa" w:w="4464"/>
            <w:vAlign w:val="center"/>
            <w:tcMar>
              <w:top w:w="90" w:type="dxa"/>
              <w:bottom w:w="90" w:type="dxa"/>
              <w:left w:w="110" w:type="dxa"/>
              <w:right w:w="110" w:type="dxa"/>
            </w:tcMar>
          </w:tcPr>
          <w:p>
            <w:pPr>
              <w:spacing w:after="20" w:line="245" w:lineRule="auto"/>
            </w:pPr>
            <w:r>
              <w:rPr>
                <w:b w:val="0"/>
                <w:sz w:val="18"/>
              </w:rPr>
              <w:t>Measured bottleneck fixes, capacity/chaos/restore tests, operations coverage.</w:t>
            </w:r>
          </w:p>
        </w:tc>
        <w:tc>
          <w:tcPr>
            <w:tcW w:type="dxa" w:w="3744"/>
            <w:vAlign w:val="center"/>
            <w:tcMar>
              <w:top w:w="90" w:type="dxa"/>
              <w:bottom w:w="90" w:type="dxa"/>
              <w:left w:w="110" w:type="dxa"/>
              <w:right w:w="110" w:type="dxa"/>
            </w:tcMar>
          </w:tcPr>
          <w:p>
            <w:pPr>
              <w:spacing w:after="20" w:line="245" w:lineRule="auto"/>
            </w:pPr>
            <w:r>
              <w:rPr>
                <w:b w:val="0"/>
                <w:sz w:val="18"/>
              </w:rPr>
              <w:t>Agreed SLO and recovery evidence with no permission regression.</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S4 Optional expansion</w:t>
            </w:r>
          </w:p>
        </w:tc>
        <w:tc>
          <w:tcPr>
            <w:tcW w:type="dxa" w:w="4464"/>
            <w:vAlign w:val="center"/>
            <w:tcMar>
              <w:top w:w="90" w:type="dxa"/>
              <w:bottom w:w="90" w:type="dxa"/>
              <w:left w:w="110" w:type="dxa"/>
              <w:right w:w="110" w:type="dxa"/>
            </w:tcMar>
          </w:tcPr>
          <w:p>
            <w:pPr>
              <w:spacing w:after="20" w:line="245" w:lineRule="auto"/>
            </w:pPr>
            <w:r>
              <w:rPr>
                <w:b w:val="0"/>
                <w:sz w:val="18"/>
              </w:rPr>
              <w:t>Scoped enterprise/geography/coverage proposal only when justified.</w:t>
            </w:r>
          </w:p>
        </w:tc>
        <w:tc>
          <w:tcPr>
            <w:tcW w:type="dxa" w:w="3744"/>
            <w:vAlign w:val="center"/>
            <w:tcMar>
              <w:top w:w="90" w:type="dxa"/>
              <w:bottom w:w="90" w:type="dxa"/>
              <w:left w:w="110" w:type="dxa"/>
              <w:right w:w="110" w:type="dxa"/>
            </w:tcMar>
          </w:tcPr>
          <w:p>
            <w:pPr>
              <w:spacing w:after="20" w:line="245" w:lineRule="auto"/>
            </w:pPr>
            <w:r>
              <w:rPr>
                <w:b w:val="0"/>
                <w:sz w:val="18"/>
              </w:rPr>
              <w:t>Separate product, legal, security and finance authorization.</w:t>
            </w:r>
          </w:p>
        </w:tc>
      </w:tr>
    </w:tbl>
    <w:p>
      <w:pPr>
        <w:spacing w:after="20"/>
      </w:pPr>
    </w:p>
    <w:p>
      <w:r>
        <w:rPr>
          <w:b w:val="0"/>
        </w:rPr>
      </w:r>
      <w:r>
        <w:rPr>
          <w:b/>
        </w:rPr>
        <w:t>Advance / maintain:</w:t>
      </w:r>
      <w:r>
        <w:rPr>
          <w:b w:val="0"/>
        </w:rPr>
        <w:t xml:space="preserve"> contribution and retention support growth, cash reserves survive modeled losses, safety/reliability hold and supply responds. </w:t>
      </w:r>
      <w:r>
        <w:rPr>
          <w:b/>
        </w:rPr>
        <w:t>Iterate:</w:t>
      </w:r>
      <w:r>
        <w:rPr>
          <w:b w:val="0"/>
        </w:rPr>
        <w:t xml:space="preserve"> volume grows but discounted tiers or support create negative margin; fix price/product/cost before acquisition spend. </w:t>
      </w:r>
      <w:r>
        <w:rPr>
          <w:b/>
        </w:rPr>
        <w:t>Hold:</w:t>
      </w:r>
      <w:r>
        <w:rPr>
          <w:b w:val="0"/>
        </w:rPr>
        <w:t xml:space="preserve"> unresolved money-flow classification, unfinanceable losses, missed dispute deadlines, unexplained ledger variance or critical privacy incident.</w:t>
      </w:r>
    </w:p>
    <w:p>
      <w:r>
        <w:rPr>
          <w:b w:val="0"/>
        </w:rPr>
        <w:t>Metrics must use mature cohorts because chargebacks, renewals and collections may lag work completion. Report observed loss and sensitivity reserves separately. No automatic phase advance solely because GMV, registered members or AI token use increased.</w:t>
      </w:r>
    </w:p>
    <w:p>
      <w:pPr>
        <w:pStyle w:val="Heading2"/>
      </w:pPr>
      <w:r>
        <w:t>Phase 3 planning/build prompt</w:t>
      </w:r>
    </w:p>
    <w:p>
      <w:pPr>
        <w:spacing w:after="140" w:line="240" w:lineRule="auto"/>
        <w:shd w:fill="F3F3F3"/>
      </w:pPr>
      <w:r>
        <w:rPr>
          <w:rFonts w:ascii="Consolas" w:hAnsi="Consolas"/>
          <w:sz w:val="18"/>
        </w:rPr>
        <w:t>Read current guide, financial/ACL invariants and this phase.</w:t>
        <w:br/>
        <w:t>Use reconciled production metrics only through approved,</w:t>
        <w:br/>
        <w:t>minimized read access. Produce a decision memo and evidence</w:t>
        <w:br/>
        <w:t>for the selected S1-S4 package before proposing changes.</w:t>
        <w:br/>
        <w:t>Do not enable full prepayment, escrow, coverage, new countries</w:t>
        <w:br/>
        <w:t>or price changes by assumption. After separate authorization,</w:t>
        <w:br/>
        <w:t>use sandbox/feature flags, preserve funded-provider locks and</w:t>
        <w:br/>
        <w:t>provide migration, restore, reconciliation and rollback tests.</w:t>
      </w:r>
    </w:p>
    <w:p>
      <w:r>
        <w:rPr>
          <w:b w:val="0"/>
        </w:rPr>
      </w:r>
      <w:r>
        <w:rPr>
          <w:b/>
        </w:rPr>
        <w:t>Exit report:</w:t>
      </w:r>
      <w:r>
        <w:rPr>
          <w:b w:val="0"/>
        </w:rPr>
        <w:t xml:space="preserve"> actual economics by member/product, reliability and risk evidence, approved architecture changes, deferred alternatives, owner decisions and revised phase documents. Scaling is a repeated investment decision, not the end of experimentation.</w:t>
      </w:r>
    </w:p>
    <w:p>
      <w:r>
        <w:br w:type="page"/>
      </w:r>
    </w:p>
    <w:p>
      <w:pPr>
        <w:pStyle w:val="Heading1"/>
      </w:pPr>
      <w:r>
        <w:t>Reference notes</w:t>
      </w:r>
    </w:p>
    <w:p>
      <w:r>
        <w:t>Primary technical and regulatory sources checked on 25 October 2026. Revalidate provider behavior, pricing and applicable law before implementation. [Sxx] labels identify sources; unlabelled requirement language is a Lawfecta product decision or proposed engineering design, not a vendor guarantee.</w:t>
      </w:r>
    </w:p>
    <w:p>
      <w:pPr>
        <w:keepLines/>
        <w:spacing w:line="240" w:lineRule="auto" w:after="120"/>
      </w:pPr>
      <w:r>
        <w:rPr>
          <w:b w:val="0"/>
          <w:sz w:val="18"/>
        </w:rPr>
      </w:r>
      <w:r>
        <w:rPr>
          <w:b/>
          <w:sz w:val="18"/>
        </w:rPr>
        <w:t>[S04] Supabase, Database Backups</w:t>
      </w:r>
      <w:r>
        <w:rPr>
          <w:b w:val="0"/>
          <w:sz w:val="18"/>
        </w:rPr>
      </w:r>
      <w:r>
        <w:rPr>
          <w:sz w:val="18"/>
        </w:rPr>
        <w:br/>
      </w:r>
      <w:hyperlink r:id="rId11">
        <w:r>
          <w:rPr>
            <w:color w:val="8B1F3F"/>
            <w:sz w:val="18"/>
          </w:rPr>
          <w:t>https://supabase.com/docs/guides/platform/backups</w:t>
        </w:r>
      </w:hyperlink>
    </w:p>
    <w:p>
      <w:pPr>
        <w:keepLines/>
        <w:spacing w:line="240" w:lineRule="auto" w:after="120"/>
      </w:pPr>
      <w:r>
        <w:rPr>
          <w:b w:val="0"/>
          <w:sz w:val="18"/>
        </w:rPr>
      </w:r>
      <w:r>
        <w:rPr>
          <w:b/>
          <w:sz w:val="18"/>
        </w:rPr>
        <w:t>[S06] Stripe, Separate Charges and Transfers</w:t>
      </w:r>
      <w:r>
        <w:rPr>
          <w:b w:val="0"/>
          <w:sz w:val="18"/>
        </w:rPr>
      </w:r>
      <w:r>
        <w:rPr>
          <w:sz w:val="18"/>
        </w:rPr>
        <w:br/>
      </w:r>
      <w:hyperlink r:id="rId12">
        <w:r>
          <w:rPr>
            <w:color w:val="8B1F3F"/>
            <w:sz w:val="18"/>
          </w:rPr>
          <w:t>https://docs.stripe.com/connect/separate-charges-and-transfers</w:t>
        </w:r>
      </w:hyperlink>
    </w:p>
    <w:p>
      <w:pPr>
        <w:keepLines/>
        <w:spacing w:line="240" w:lineRule="auto" w:after="120"/>
      </w:pPr>
      <w:r>
        <w:rPr>
          <w:b w:val="0"/>
          <w:sz w:val="18"/>
        </w:rPr>
      </w:r>
      <w:r>
        <w:rPr>
          <w:b/>
          <w:sz w:val="18"/>
        </w:rPr>
        <w:t>[S07] Stripe, Setup Intents and Future Payment Consent</w:t>
      </w:r>
      <w:r>
        <w:rPr>
          <w:b w:val="0"/>
          <w:sz w:val="18"/>
        </w:rPr>
      </w:r>
      <w:r>
        <w:rPr>
          <w:sz w:val="18"/>
        </w:rPr>
        <w:br/>
      </w:r>
      <w:hyperlink r:id="rId13">
        <w:r>
          <w:rPr>
            <w:color w:val="8B1F3F"/>
            <w:sz w:val="18"/>
          </w:rPr>
          <w:t>https://docs.stripe.com/payments/setup-intents</w:t>
        </w:r>
      </w:hyperlink>
    </w:p>
    <w:p>
      <w:pPr>
        <w:keepLines/>
        <w:spacing w:line="240" w:lineRule="auto" w:after="120"/>
      </w:pPr>
      <w:r>
        <w:rPr>
          <w:b w:val="0"/>
          <w:sz w:val="18"/>
        </w:rPr>
      </w:r>
      <w:r>
        <w:rPr>
          <w:b/>
          <w:sz w:val="18"/>
        </w:rPr>
        <w:t>[S08] Stripe, Disputes on Connect Platforms</w:t>
      </w:r>
      <w:r>
        <w:rPr>
          <w:b w:val="0"/>
          <w:sz w:val="18"/>
        </w:rPr>
      </w:r>
      <w:r>
        <w:rPr>
          <w:sz w:val="18"/>
        </w:rPr>
        <w:br/>
      </w:r>
      <w:hyperlink r:id="rId14">
        <w:r>
          <w:rPr>
            <w:color w:val="8B1F3F"/>
            <w:sz w:val="18"/>
          </w:rPr>
          <w:t>https://docs.stripe.com/connect/disputes</w:t>
        </w:r>
      </w:hyperlink>
    </w:p>
    <w:p>
      <w:pPr>
        <w:keepLines/>
        <w:spacing w:line="240" w:lineRule="auto" w:after="120"/>
      </w:pPr>
      <w:r>
        <w:rPr>
          <w:b w:val="0"/>
          <w:sz w:val="18"/>
        </w:rPr>
      </w:r>
      <w:r>
        <w:rPr>
          <w:b/>
          <w:sz w:val="18"/>
        </w:rPr>
        <w:t>[S09] Stripe, Using Manual Payouts</w:t>
      </w:r>
      <w:r>
        <w:rPr>
          <w:b w:val="0"/>
          <w:sz w:val="18"/>
        </w:rPr>
      </w:r>
      <w:r>
        <w:rPr>
          <w:sz w:val="18"/>
        </w:rPr>
        <w:br/>
      </w:r>
      <w:hyperlink r:id="rId15">
        <w:r>
          <w:rPr>
            <w:color w:val="8B1F3F"/>
            <w:sz w:val="18"/>
          </w:rPr>
          <w:t>https://docs.stripe.com/connect/manual-payouts</w:t>
        </w:r>
      </w:hyperlink>
    </w:p>
    <w:p>
      <w:pPr>
        <w:keepLines/>
        <w:spacing w:line="240" w:lineRule="auto" w:after="120"/>
      </w:pPr>
      <w:r>
        <w:rPr>
          <w:b w:val="0"/>
          <w:sz w:val="18"/>
        </w:rPr>
      </w:r>
      <w:r>
        <w:rPr>
          <w:b/>
          <w:sz w:val="18"/>
        </w:rPr>
        <w:t>[S11] Stripe, Payments Pricing</w:t>
      </w:r>
      <w:r>
        <w:rPr>
          <w:b w:val="0"/>
          <w:sz w:val="18"/>
        </w:rPr>
      </w:r>
      <w:r>
        <w:rPr>
          <w:sz w:val="18"/>
        </w:rPr>
        <w:br/>
      </w:r>
      <w:hyperlink r:id="rId16">
        <w:r>
          <w:rPr>
            <w:color w:val="8B1F3F"/>
            <w:sz w:val="18"/>
          </w:rPr>
          <w:t>https://stripe.com/pricing</w:t>
        </w:r>
      </w:hyperlink>
    </w:p>
    <w:p>
      <w:pPr>
        <w:keepLines/>
        <w:spacing w:line="240" w:lineRule="auto" w:after="120"/>
      </w:pPr>
      <w:r>
        <w:rPr>
          <w:b w:val="0"/>
          <w:sz w:val="18"/>
        </w:rPr>
      </w:r>
      <w:r>
        <w:rPr>
          <w:b/>
          <w:sz w:val="18"/>
        </w:rPr>
        <w:t>[S12] Stripe, Connect Pricing</w:t>
      </w:r>
      <w:r>
        <w:rPr>
          <w:b w:val="0"/>
          <w:sz w:val="18"/>
        </w:rPr>
      </w:r>
      <w:r>
        <w:rPr>
          <w:sz w:val="18"/>
        </w:rPr>
        <w:br/>
      </w:r>
      <w:hyperlink r:id="rId17">
        <w:r>
          <w:rPr>
            <w:color w:val="8B1F3F"/>
            <w:sz w:val="18"/>
          </w:rPr>
          <w:t>https://stripe.com/connect/pricing</w:t>
        </w:r>
      </w:hyperlink>
    </w:p>
    <w:p>
      <w:pPr>
        <w:keepLines/>
        <w:spacing w:line="240" w:lineRule="auto" w:after="120"/>
      </w:pPr>
      <w:r>
        <w:rPr>
          <w:b w:val="0"/>
          <w:sz w:val="18"/>
        </w:rPr>
      </w:r>
      <w:r>
        <w:rPr>
          <w:b/>
          <w:sz w:val="18"/>
        </w:rPr>
        <w:t>[S13] Stripe, Billing Pricing</w:t>
      </w:r>
      <w:r>
        <w:rPr>
          <w:b w:val="0"/>
          <w:sz w:val="18"/>
        </w:rPr>
      </w:r>
      <w:r>
        <w:rPr>
          <w:sz w:val="18"/>
        </w:rPr>
        <w:br/>
      </w:r>
      <w:hyperlink r:id="rId18">
        <w:r>
          <w:rPr>
            <w:color w:val="8B1F3F"/>
            <w:sz w:val="18"/>
          </w:rPr>
          <w:t>https://stripe.com/billing/pricing</w:t>
        </w:r>
      </w:hyperlink>
    </w:p>
    <w:p>
      <w:pPr>
        <w:keepLines/>
        <w:spacing w:line="240" w:lineRule="auto" w:after="120"/>
      </w:pPr>
      <w:r>
        <w:rPr>
          <w:b w:val="0"/>
          <w:sz w:val="18"/>
        </w:rPr>
      </w:r>
      <w:r>
        <w:rPr>
          <w:b/>
          <w:sz w:val="18"/>
        </w:rPr>
        <w:t>[S24] California DFPI, About the Escrow Law</w:t>
      </w:r>
      <w:r>
        <w:rPr>
          <w:b w:val="0"/>
          <w:sz w:val="18"/>
        </w:rPr>
      </w:r>
      <w:r>
        <w:rPr>
          <w:sz w:val="18"/>
        </w:rPr>
        <w:br/>
      </w:r>
      <w:hyperlink r:id="rId19">
        <w:r>
          <w:rPr>
            <w:color w:val="8B1F3F"/>
            <w:sz w:val="18"/>
          </w:rPr>
          <w:t>https://dfpi.ca.gov/regulated-industries/escrow-law/about-the-escrow-law/</w:t>
        </w:r>
      </w:hyperlink>
    </w:p>
    <w:p>
      <w:pPr>
        <w:keepLines/>
        <w:spacing w:line="240" w:lineRule="auto" w:after="120"/>
      </w:pPr>
      <w:r>
        <w:rPr>
          <w:b w:val="0"/>
          <w:sz w:val="18"/>
        </w:rPr>
      </w:r>
      <w:r>
        <w:rPr>
          <w:b/>
          <w:sz w:val="18"/>
        </w:rPr>
        <w:t>[S25] United States Code, 9 USC 5 - Arbitrator Appointment</w:t>
      </w:r>
      <w:r>
        <w:rPr>
          <w:b w:val="0"/>
          <w:sz w:val="18"/>
        </w:rPr>
      </w:r>
      <w:r>
        <w:rPr>
          <w:sz w:val="18"/>
        </w:rPr>
        <w:br/>
      </w:r>
      <w:hyperlink r:id="rId20">
        <w:r>
          <w:rPr>
            <w:color w:val="8B1F3F"/>
            <w:sz w:val="18"/>
          </w:rPr>
          <w:t>https://uscode.house.gov/view.xhtml?req=(title:9%20section:5%20edition:prelim)</w:t>
        </w:r>
      </w:hyperlink>
    </w:p>
    <w:p>
      <w:pPr>
        <w:keepLines/>
        <w:spacing w:line="240" w:lineRule="auto" w:after="120"/>
      </w:pPr>
      <w:r>
        <w:rPr>
          <w:b w:val="0"/>
          <w:sz w:val="18"/>
        </w:rPr>
      </w:r>
      <w:r>
        <w:rPr>
          <w:b/>
          <w:sz w:val="18"/>
        </w:rPr>
        <w:t>[S26] ABA, Formal Opinion 512 Overview</w:t>
      </w:r>
      <w:r>
        <w:rPr>
          <w:b w:val="0"/>
          <w:sz w:val="18"/>
        </w:rPr>
      </w:r>
      <w:r>
        <w:rPr>
          <w:sz w:val="18"/>
        </w:rPr>
        <w:br/>
      </w:r>
      <w:hyperlink r:id="rId21">
        <w:r>
          <w:rPr>
            <w:color w:val="8B1F3F"/>
            <w:sz w:val="18"/>
          </w:rPr>
          <w:t>https://www.americanbar.org/news/abanews/aba-news-archives/2024/07/aba-issues-first-ethics-guidance-ai-tools/</w:t>
        </w:r>
      </w:hyperlink>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66666"/>
        <w:sz w:val="16"/>
      </w:rPr>
      <w:t>v1.0  |  25 October 2026  |  Requirements &amp; architecture</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LAWFECTA  |  DELA  /  PHASE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8B1F3F"/>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8B1F3F"/>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8B1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8B1F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Calibri" w:hAnsi="Calibri"/>
      <w:i/>
      <w:iCs/>
      <w:color w:val="8B1F3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222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platform/backups" TargetMode="External"/><Relationship Id="rId12" Type="http://schemas.openxmlformats.org/officeDocument/2006/relationships/hyperlink" Target="https://docs.stripe.com/connect/separate-charges-and-transfers" TargetMode="External"/><Relationship Id="rId13" Type="http://schemas.openxmlformats.org/officeDocument/2006/relationships/hyperlink" Target="https://docs.stripe.com/payments/setup-intents" TargetMode="External"/><Relationship Id="rId14" Type="http://schemas.openxmlformats.org/officeDocument/2006/relationships/hyperlink" Target="https://docs.stripe.com/connect/disputes" TargetMode="External"/><Relationship Id="rId15" Type="http://schemas.openxmlformats.org/officeDocument/2006/relationships/hyperlink" Target="https://docs.stripe.com/connect/manual-payouts" TargetMode="External"/><Relationship Id="rId16" Type="http://schemas.openxmlformats.org/officeDocument/2006/relationships/hyperlink" Target="https://stripe.com/pricing" TargetMode="External"/><Relationship Id="rId17" Type="http://schemas.openxmlformats.org/officeDocument/2006/relationships/hyperlink" Target="https://stripe.com/connect/pricing" TargetMode="External"/><Relationship Id="rId18" Type="http://schemas.openxmlformats.org/officeDocument/2006/relationships/hyperlink" Target="https://stripe.com/billing/pricing" TargetMode="External"/><Relationship Id="rId19" Type="http://schemas.openxmlformats.org/officeDocument/2006/relationships/hyperlink" Target="https://dfpi.ca.gov/regulated-industries/escrow-law/about-the-escrow-law/" TargetMode="External"/><Relationship Id="rId20" Type="http://schemas.openxmlformats.org/officeDocument/2006/relationships/hyperlink" Target="https://uscode.house.gov/view.xhtml?req=(title:9%20section:5%20edition:prelim)" TargetMode="External"/><Relationship Id="rId21" Type="http://schemas.openxmlformats.org/officeDocument/2006/relationships/hyperlink" Target="https://www.americanbar.org/news/abanews/aba-news-archives/2024/07/aba-issues-first-ethics-guidance-ai-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 Scale, Economics
&amp; Payment Strategy</dc:title>
  <dc:subject>DELA pre-development architecture and phased requirements</dc:subject>
  <dc:creator>Lawfecta</dc:creator>
  <cp:keywords>DELA, Lawfecta, requirements, architecture, pre-development</cp:keywords>
  <dc:description>generated by python-docx</dc:description>
  <cp:lastModifiedBy/>
  <cp:revision>1</cp:revision>
  <dcterms:created xsi:type="dcterms:W3CDTF">2013-12-23T23:15:00Z</dcterms:created>
  <dcterms:modified xsi:type="dcterms:W3CDTF">2013-12-23T23:15:00Z</dcterms:modified>
  <cp:category/>
</cp:coreProperties>
</file>