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LAWFECTA  /  DELA DEVELOPMENT SERIES</w:t>
      </w:r>
    </w:p>
    <w:p>
      <w:pPr>
        <w:pStyle w:val="Title"/>
      </w:pPr>
      <w:r>
        <w:t>Program Guide &amp;</w:t>
        <w:br/>
        <w:t>Decision Register</w:t>
      </w:r>
    </w:p>
    <w:p>
      <w:pPr>
        <w:pStyle w:val="Subtitle"/>
      </w:pPr>
      <w:r>
        <w:t>Start here | Canonical scope, decisions, dependencies and release governance</w:t>
      </w:r>
    </w:p>
    <w:p>
      <w:pPr>
        <w:spacing w:before="80" w:after="180"/>
        <w:shd w:fill="F7ECE7"/>
      </w:pPr>
      <w:r>
        <w:rPr>
          <w:b w:val="0"/>
        </w:rPr>
      </w:r>
      <w:r>
        <w:rPr>
          <w:b/>
        </w:rPr>
        <w:t>Control status</w:t>
      </w:r>
      <w:r>
        <w:rPr>
          <w:b w:val="0"/>
        </w:rPr>
        <w:t xml:space="preserve">  Specification v1.0. Product decisions are preserved; new engineering defaults and numeric gates are proposals. Documentation does not authorize code, configuration changes, production data access, charges or deployment.</w:t>
      </w:r>
    </w:p>
    <w:p>
      <w:pPr>
        <w:pStyle w:val="Heading1"/>
      </w:pPr>
      <w:r>
        <w:t>1. How to use this document set</w:t>
      </w:r>
    </w:p>
    <w:p>
      <w:r>
        <w:rPr>
          <w:b w:val="0"/>
        </w:rPr>
      </w:r>
      <w:r>
        <w:rPr>
          <w:b/>
        </w:rPr>
        <w:t>Business objective:</w:t>
      </w:r>
      <w:r>
        <w:rPr>
          <w:b w:val="0"/>
        </w:rPr>
        <w:t xml:space="preserve"> DELA helps solo attorneys across practice areas reduce the time spent organizing and delegating work. Freelance paralegals are the initial supply focus. Completed, profitable engagements and repeat relationships are the primary commercial engine; subscriptions and exports supplement it.</w:t>
      </w:r>
    </w:p>
    <w:tbl>
      <w:tblPr>
        <w:tblW w:type="auto" w:w="0"/>
        <w:jc w:val="center"/>
        <w:tblLayout w:type="fixed"/>
        <w:tblLook w:firstColumn="1" w:firstRow="1" w:lastColumn="0" w:lastRow="0" w:noHBand="0" w:noVBand="1" w:val="04A0"/>
      </w:tblPr>
      <w:tblGrid>
        <w:gridCol w:w="3672"/>
        <w:gridCol w:w="6552"/>
      </w:tblGrid>
      <w:tr>
        <w:trPr>
          <w:tblHeader/>
          <w:cantSplit/>
        </w:trPr>
        <w:tc>
          <w:tcPr>
            <w:tcW w:type="dxa" w:w="3672"/>
            <w:vAlign w:val="center"/>
            <w:tcMar>
              <w:top w:w="90" w:type="dxa"/>
              <w:bottom w:w="90" w:type="dxa"/>
              <w:left w:w="110" w:type="dxa"/>
              <w:right w:w="110" w:type="dxa"/>
            </w:tcMar>
            <w:shd w:fill="8B1F3F"/>
          </w:tcPr>
          <w:p>
            <w:pPr>
              <w:spacing w:after="20" w:line="245" w:lineRule="auto"/>
            </w:pPr>
            <w:r>
              <w:rPr>
                <w:b/>
                <w:color w:val="FFFFFF"/>
                <w:sz w:val="18"/>
              </w:rPr>
              <w:t>Document</w:t>
            </w:r>
          </w:p>
        </w:tc>
        <w:tc>
          <w:tcPr>
            <w:tcW w:type="dxa" w:w="6552"/>
            <w:vAlign w:val="center"/>
            <w:tcMar>
              <w:top w:w="90" w:type="dxa"/>
              <w:bottom w:w="90" w:type="dxa"/>
              <w:left w:w="110" w:type="dxa"/>
              <w:right w:w="110" w:type="dxa"/>
            </w:tcMar>
            <w:shd w:fill="8B1F3F"/>
          </w:tcPr>
          <w:p>
            <w:pPr>
              <w:spacing w:after="20" w:line="245" w:lineRule="auto"/>
            </w:pPr>
            <w:r>
              <w:rPr>
                <w:b/>
                <w:color w:val="FFFFFF"/>
                <w:sz w:val="18"/>
              </w:rPr>
              <w:t>Use</w:t>
            </w:r>
          </w:p>
        </w:tc>
      </w:tr>
      <w:tr>
        <w:trPr>
          <w:cantSplit/>
        </w:trPr>
        <w:tc>
          <w:tcPr>
            <w:tcW w:type="dxa" w:w="3672"/>
            <w:vAlign w:val="center"/>
            <w:tcMar>
              <w:top w:w="90" w:type="dxa"/>
              <w:bottom w:w="90" w:type="dxa"/>
              <w:left w:w="110" w:type="dxa"/>
              <w:right w:w="110" w:type="dxa"/>
            </w:tcMar>
          </w:tcPr>
          <w:p>
            <w:pPr>
              <w:spacing w:after="20" w:line="245" w:lineRule="auto"/>
            </w:pPr>
            <w:r>
              <w:rPr>
                <w:b w:val="0"/>
                <w:sz w:val="18"/>
              </w:rPr>
              <w:t>01 - Phase 1A / Core MVP</w:t>
            </w:r>
          </w:p>
        </w:tc>
        <w:tc>
          <w:tcPr>
            <w:tcW w:type="dxa" w:w="6552"/>
            <w:vAlign w:val="center"/>
            <w:tcMar>
              <w:top w:w="90" w:type="dxa"/>
              <w:bottom w:w="90" w:type="dxa"/>
              <w:left w:w="110" w:type="dxa"/>
              <w:right w:w="110" w:type="dxa"/>
            </w:tcMar>
          </w:tcPr>
          <w:p>
            <w:pPr>
              <w:spacing w:after="20" w:line="245" w:lineRule="auto"/>
            </w:pPr>
            <w:r>
              <w:rPr>
                <w:b w:val="0"/>
                <w:sz w:val="18"/>
              </w:rPr>
              <w:t>Authoritative starting architecture, shared infrastructure, both member journeys, transactions, safety, tests and build prompts.</w:t>
            </w:r>
          </w:p>
        </w:tc>
      </w:tr>
      <w:tr>
        <w:trPr>
          <w:cantSplit/>
        </w:trPr>
        <w:tc>
          <w:tcPr>
            <w:tcW w:type="dxa" w:w="3672"/>
            <w:vAlign w:val="center"/>
            <w:tcMar>
              <w:top w:w="90" w:type="dxa"/>
              <w:bottom w:w="90" w:type="dxa"/>
              <w:left w:w="110" w:type="dxa"/>
              <w:right w:w="110" w:type="dxa"/>
            </w:tcMar>
          </w:tcPr>
          <w:p>
            <w:pPr>
              <w:spacing w:after="20" w:line="245" w:lineRule="auto"/>
            </w:pPr>
            <w:r>
              <w:rPr>
                <w:b w:val="0"/>
                <w:sz w:val="18"/>
              </w:rPr>
              <w:t>02 - Phase 1B / Capture &amp; Integrations</w:t>
            </w:r>
          </w:p>
        </w:tc>
        <w:tc>
          <w:tcPr>
            <w:tcW w:type="dxa" w:w="6552"/>
            <w:vAlign w:val="center"/>
            <w:tcMar>
              <w:top w:w="90" w:type="dxa"/>
              <w:bottom w:w="90" w:type="dxa"/>
              <w:left w:w="110" w:type="dxa"/>
              <w:right w:w="110" w:type="dxa"/>
            </w:tcMar>
          </w:tcPr>
          <w:p>
            <w:pPr>
              <w:spacing w:after="20" w:line="245" w:lineRule="auto"/>
            </w:pPr>
            <w:r>
              <w:rPr>
                <w:b w:val="0"/>
                <w:sz w:val="18"/>
              </w:rPr>
              <w:t>Chrome/Firefox capture, Dia compatibility testing, connected calendars, Clio and email, meeting-to-delegation workflows.</w:t>
            </w:r>
          </w:p>
        </w:tc>
      </w:tr>
      <w:tr>
        <w:trPr>
          <w:cantSplit/>
        </w:trPr>
        <w:tc>
          <w:tcPr>
            <w:tcW w:type="dxa" w:w="3672"/>
            <w:vAlign w:val="center"/>
            <w:tcMar>
              <w:top w:w="90" w:type="dxa"/>
              <w:bottom w:w="90" w:type="dxa"/>
              <w:left w:w="110" w:type="dxa"/>
              <w:right w:w="110" w:type="dxa"/>
            </w:tcMar>
          </w:tcPr>
          <w:p>
            <w:pPr>
              <w:spacing w:after="20" w:line="245" w:lineRule="auto"/>
            </w:pPr>
            <w:r>
              <w:rPr>
                <w:b w:val="0"/>
                <w:sz w:val="18"/>
              </w:rPr>
              <w:t>03 - Phase 1C / Playbook Marketplace</w:t>
            </w:r>
          </w:p>
        </w:tc>
        <w:tc>
          <w:tcPr>
            <w:tcW w:type="dxa" w:w="6552"/>
            <w:vAlign w:val="center"/>
            <w:tcMar>
              <w:top w:w="90" w:type="dxa"/>
              <w:bottom w:w="90" w:type="dxa"/>
              <w:left w:w="110" w:type="dxa"/>
              <w:right w:w="110" w:type="dxa"/>
            </w:tcMar>
          </w:tcPr>
          <w:p>
            <w:pPr>
              <w:spacing w:after="20" w:line="245" w:lineRule="auto"/>
            </w:pPr>
            <w:r>
              <w:rPr>
                <w:b w:val="0"/>
                <w:sz w:val="18"/>
              </w:rPr>
              <w:t>Community publishing, paid listings, licenses, creator payments and moderation.</w:t>
            </w:r>
          </w:p>
        </w:tc>
      </w:tr>
      <w:tr>
        <w:trPr>
          <w:cantSplit/>
        </w:trPr>
        <w:tc>
          <w:tcPr>
            <w:tcW w:type="dxa" w:w="3672"/>
            <w:vAlign w:val="center"/>
            <w:tcMar>
              <w:top w:w="90" w:type="dxa"/>
              <w:bottom w:w="90" w:type="dxa"/>
              <w:left w:w="110" w:type="dxa"/>
              <w:right w:w="110" w:type="dxa"/>
            </w:tcMar>
          </w:tcPr>
          <w:p>
            <w:pPr>
              <w:spacing w:after="20" w:line="245" w:lineRule="auto"/>
            </w:pPr>
            <w:r>
              <w:rPr>
                <w:b w:val="0"/>
                <w:sz w:val="18"/>
              </w:rPr>
              <w:t>04 - Phase 2 / Agentic Operations</w:t>
            </w:r>
          </w:p>
        </w:tc>
        <w:tc>
          <w:tcPr>
            <w:tcW w:type="dxa" w:w="6552"/>
            <w:vAlign w:val="center"/>
            <w:tcMar>
              <w:top w:w="90" w:type="dxa"/>
              <w:bottom w:w="90" w:type="dxa"/>
              <w:left w:w="110" w:type="dxa"/>
              <w:right w:w="110" w:type="dxa"/>
            </w:tcMar>
          </w:tcPr>
          <w:p>
            <w:pPr>
              <w:spacing w:after="20" w:line="245" w:lineRule="auto"/>
            </w:pPr>
            <w:r>
              <w:rPr>
                <w:b w:val="0"/>
                <w:sz w:val="18"/>
              </w:rPr>
              <w:t>Expanded AI Teams, cross-integration automation, freelancer agents, MCP and optional Talent Showcase.</w:t>
            </w:r>
          </w:p>
        </w:tc>
      </w:tr>
      <w:tr>
        <w:trPr>
          <w:cantSplit/>
        </w:trPr>
        <w:tc>
          <w:tcPr>
            <w:tcW w:type="dxa" w:w="3672"/>
            <w:vAlign w:val="center"/>
            <w:tcMar>
              <w:top w:w="90" w:type="dxa"/>
              <w:bottom w:w="90" w:type="dxa"/>
              <w:left w:w="110" w:type="dxa"/>
              <w:right w:w="110" w:type="dxa"/>
            </w:tcMar>
          </w:tcPr>
          <w:p>
            <w:pPr>
              <w:spacing w:after="20" w:line="245" w:lineRule="auto"/>
            </w:pPr>
            <w:r>
              <w:rPr>
                <w:b w:val="0"/>
                <w:sz w:val="18"/>
              </w:rPr>
              <w:t>05 - Phase 3 / Scale &amp; Payment Strategy</w:t>
            </w:r>
          </w:p>
        </w:tc>
        <w:tc>
          <w:tcPr>
            <w:tcW w:type="dxa" w:w="6552"/>
            <w:vAlign w:val="center"/>
            <w:tcMar>
              <w:top w:w="90" w:type="dxa"/>
              <w:bottom w:w="90" w:type="dxa"/>
              <w:left w:w="110" w:type="dxa"/>
              <w:right w:w="110" w:type="dxa"/>
            </w:tcMar>
          </w:tcPr>
          <w:p>
            <w:pPr>
              <w:spacing w:after="20" w:line="245" w:lineRule="auto"/>
            </w:pPr>
            <w:r>
              <w:rPr>
                <w:b w:val="0"/>
                <w:sz w:val="18"/>
              </w:rPr>
              <w:t>Reliability and economics at scale; conditional evaluation of full prepayment, escrow providers and future protection.</w:t>
            </w:r>
          </w:p>
        </w:tc>
      </w:tr>
    </w:tbl>
    <w:p>
      <w:pPr>
        <w:spacing w:after="20"/>
      </w:pPr>
    </w:p>
    <w:p>
      <w:r>
        <w:rPr>
          <w:b w:val="0"/>
        </w:rPr>
        <w:t>The established 1A / 1B / 1C labels are retained. Phase 1A is the first complete commercial release; its internal slices are build dependencies, not a promise to launch incomplete hiring or payment journeys. Phase 1B and 1C are separate expansion investments. Phase 2 and 3 are conditional specifications, not commitments to build every feature.</w:t>
      </w:r>
    </w:p>
    <w:p>
      <w:pPr>
        <w:spacing w:before="80" w:after="180"/>
        <w:shd w:fill="F7ECE7"/>
      </w:pPr>
      <w:r>
        <w:rPr>
          <w:b w:val="0"/>
        </w:rPr>
      </w:r>
      <w:r>
        <w:rPr>
          <w:b/>
        </w:rPr>
        <w:t>Read together</w:t>
      </w:r>
      <w:r>
        <w:rPr>
          <w:b w:val="0"/>
        </w:rPr>
        <w:t xml:space="preserve">  Give a developer the guide plus the current phase document. Before each work package, approve the requirement IDs, open decisions and release permissions that apply. A Word document is a specification; it is not an executable deployment instruction.</w:t>
      </w:r>
    </w:p>
    <w:p>
      <w:r>
        <w:rPr>
          <w:b w:val="0"/>
        </w:rPr>
      </w:r>
      <w:r>
        <w:rPr>
          <w:b/>
        </w:rPr>
        <w:t>Decision labels:</w:t>
      </w:r>
      <w:r>
        <w:rPr>
          <w:b w:val="0"/>
        </w:rPr>
        <w:t xml:space="preserve"> C = user-confirmed direction; R = recommended implementation; O = unanswered or reopened; G = mandatory legal, security, provider or operations release gate. Technical architecture and numeric performance targets are R unless expressly described as C. Never promote an R or O into C without an approval record.</w:t>
      </w:r>
    </w:p>
    <w:p>
      <w:r>
        <w:br w:type="page"/>
      </w:r>
    </w:p>
    <w:p>
      <w:pPr>
        <w:pStyle w:val="Heading1"/>
      </w:pPr>
      <w:r>
        <w:t>2. Decision precedence and corrections</w:t>
      </w:r>
    </w:p>
    <w:p>
      <w:r>
        <w:rPr>
          <w:b w:val="0"/>
        </w:rPr>
        <w:t>The latest explicit user decision controls. Earlier assistant suggestions, numerical examples and incomplete interactive questionnaires do not create approvals. Unknown fields remain open. Each future decision needs an owner, timestamp, rationale, scope and superseded ID.</w:t>
      </w:r>
    </w:p>
    <w:tbl>
      <w:tblPr>
        <w:tblW w:type="auto" w:w="0"/>
        <w:jc w:val="center"/>
        <w:tblLayout w:type="fixed"/>
        <w:tblLook w:firstColumn="1" w:firstRow="1" w:lastColumn="0" w:lastRow="0" w:noHBand="0" w:noVBand="1" w:val="04A0"/>
      </w:tblPr>
      <w:tblGrid>
        <w:gridCol w:w="1800"/>
        <w:gridCol w:w="8424"/>
      </w:tblGrid>
      <w:tr>
        <w:trPr>
          <w:tblHeader/>
          <w:cantSplit/>
        </w:trPr>
        <w:tc>
          <w:tcPr>
            <w:tcW w:type="dxa" w:w="1800"/>
            <w:vAlign w:val="center"/>
            <w:tcMar>
              <w:top w:w="90" w:type="dxa"/>
              <w:bottom w:w="90" w:type="dxa"/>
              <w:left w:w="110" w:type="dxa"/>
              <w:right w:w="110" w:type="dxa"/>
            </w:tcMar>
            <w:shd w:fill="8B1F3F"/>
          </w:tcPr>
          <w:p>
            <w:pPr>
              <w:spacing w:after="20" w:line="245" w:lineRule="auto"/>
            </w:pPr>
            <w:r>
              <w:rPr>
                <w:b/>
                <w:color w:val="FFFFFF"/>
                <w:sz w:val="18"/>
              </w:rPr>
              <w:t>Topic</w:t>
            </w:r>
          </w:p>
        </w:tc>
        <w:tc>
          <w:tcPr>
            <w:tcW w:type="dxa" w:w="8424"/>
            <w:vAlign w:val="center"/>
            <w:tcMar>
              <w:top w:w="90" w:type="dxa"/>
              <w:bottom w:w="90" w:type="dxa"/>
              <w:left w:w="110" w:type="dxa"/>
              <w:right w:w="110" w:type="dxa"/>
            </w:tcMar>
            <w:shd w:fill="8B1F3F"/>
          </w:tcPr>
          <w:p>
            <w:pPr>
              <w:spacing w:after="20" w:line="245" w:lineRule="auto"/>
            </w:pPr>
            <w:r>
              <w:rPr>
                <w:b/>
                <w:color w:val="FFFFFF"/>
                <w:sz w:val="18"/>
              </w:rPr>
              <w:t>Current controlling position</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Customer</w:t>
            </w:r>
          </w:p>
        </w:tc>
        <w:tc>
          <w:tcPr>
            <w:tcW w:type="dxa" w:w="8424"/>
            <w:vAlign w:val="center"/>
            <w:tcMar>
              <w:top w:w="90" w:type="dxa"/>
              <w:bottom w:w="90" w:type="dxa"/>
              <w:left w:w="110" w:type="dxa"/>
              <w:right w:w="110" w:type="dxa"/>
            </w:tcMar>
          </w:tcPr>
          <w:p>
            <w:pPr>
              <w:spacing w:after="20" w:line="245" w:lineRule="auto"/>
            </w:pPr>
            <w:r>
              <w:rPr>
                <w:b w:val="0"/>
                <w:sz w:val="18"/>
              </w:rPr>
              <w:t>C: Solo attorneys across practice areas. Freelance paralegals first. Litigation examples are starting use cases, not an exclusive market restriction.</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Funding</w:t>
            </w:r>
          </w:p>
        </w:tc>
        <w:tc>
          <w:tcPr>
            <w:tcW w:type="dxa" w:w="8424"/>
            <w:vAlign w:val="center"/>
            <w:tcMar>
              <w:top w:w="90" w:type="dxa"/>
              <w:bottom w:w="90" w:type="dxa"/>
              <w:left w:w="110" w:type="dxa"/>
              <w:right w:w="110" w:type="dxa"/>
            </w:tcMar>
          </w:tcPr>
          <w:p>
            <w:pPr>
              <w:spacing w:after="20" w:line="245" w:lineRule="auto"/>
            </w:pPr>
            <w:r>
              <w:rPr>
                <w:b w:val="0"/>
                <w:sz w:val="18"/>
              </w:rPr>
              <w:t>C: Prefund each milestone before its work starts. After authorized acceptance, charge the next milestone; failure pauses the next work. Full-project prepayment is a later evaluation, not launch behavior.</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Limits</w:t>
            </w:r>
          </w:p>
        </w:tc>
        <w:tc>
          <w:tcPr>
            <w:tcW w:type="dxa" w:w="8424"/>
            <w:vAlign w:val="center"/>
            <w:tcMar>
              <w:top w:w="90" w:type="dxa"/>
              <w:bottom w:w="90" w:type="dxa"/>
              <w:left w:w="110" w:type="dxa"/>
              <w:right w:w="110" w:type="dxa"/>
            </w:tcMar>
          </w:tcPr>
          <w:p>
            <w:pPr>
              <w:spacing w:after="20" w:line="245" w:lineRule="auto"/>
            </w:pPr>
            <w:r>
              <w:rPr>
                <w:b w:val="0"/>
                <w:sz w:val="18"/>
              </w:rPr>
              <w:t>O: The $250 engagement minimum and 90-day maximum were explicitly reopened. Do not hard-code either as approved.</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Fees</w:t>
            </w:r>
          </w:p>
        </w:tc>
        <w:tc>
          <w:tcPr>
            <w:tcW w:type="dxa" w:w="8424"/>
            <w:vAlign w:val="center"/>
            <w:tcMar>
              <w:top w:w="90" w:type="dxa"/>
              <w:bottom w:w="90" w:type="dxa"/>
              <w:left w:w="110" w:type="dxa"/>
              <w:right w:w="110" w:type="dxa"/>
            </w:tcMar>
          </w:tcPr>
          <w:p>
            <w:pPr>
              <w:spacing w:after="20" w:line="245" w:lineRule="auto"/>
            </w:pPr>
            <w:r>
              <w:rPr>
                <w:b w:val="0"/>
                <w:sz w:val="18"/>
              </w:rPr>
              <w:t>C: Split fee model; $10 minimum per party per engagement. R: 5% / 4% / 3.5% / 3% tier schedule and displayed subscription prices require final publication approval.</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AI / BYOK</w:t>
            </w:r>
          </w:p>
        </w:tc>
        <w:tc>
          <w:tcPr>
            <w:tcW w:type="dxa" w:w="8424"/>
            <w:vAlign w:val="center"/>
            <w:tcMar>
              <w:top w:w="90" w:type="dxa"/>
              <w:bottom w:w="90" w:type="dxa"/>
              <w:left w:w="110" w:type="dxa"/>
              <w:right w:w="110" w:type="dxa"/>
            </w:tcMar>
          </w:tcPr>
          <w:p>
            <w:pPr>
              <w:spacing w:after="20" w:line="245" w:lineRule="auto"/>
            </w:pPr>
            <w:r>
              <w:rPr>
                <w:b w:val="0"/>
                <w:sz w:val="18"/>
              </w:rPr>
              <w:t>C: BYOK for all plans and both audiences, including agencies. No separate AI credit purchases at launch. Provider-funded usage does not remove Lawfecta infrastructure limits.</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Reviews</w:t>
            </w:r>
          </w:p>
        </w:tc>
        <w:tc>
          <w:tcPr>
            <w:tcW w:type="dxa" w:w="8424"/>
            <w:vAlign w:val="center"/>
            <w:tcMar>
              <w:top w:w="90" w:type="dxa"/>
              <w:bottom w:w="90" w:type="dxa"/>
              <w:left w:w="110" w:type="dxa"/>
              <w:right w:w="110" w:type="dxa"/>
            </w:tcMar>
          </w:tcPr>
          <w:p>
            <w:pPr>
              <w:spacing w:after="20" w:line="245" w:lineRule="auto"/>
            </w:pPr>
            <w:r>
              <w:rPr>
                <w:b w:val="0"/>
                <w:sz w:val="18"/>
              </w:rPr>
              <w:t>C: Publish each eligible review immediately, not a blind reciprocal waiting period. Neutral safety/moderation exceptions require a documented policy.</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Protection</w:t>
            </w:r>
          </w:p>
        </w:tc>
        <w:tc>
          <w:tcPr>
            <w:tcW w:type="dxa" w:w="8424"/>
            <w:vAlign w:val="center"/>
            <w:tcMar>
              <w:top w:w="90" w:type="dxa"/>
              <w:bottom w:w="90" w:type="dxa"/>
              <w:left w:w="110" w:type="dxa"/>
              <w:right w:w="110" w:type="dxa"/>
            </w:tcMar>
          </w:tcPr>
          <w:p>
            <w:pPr>
              <w:spacing w:after="20" w:line="245" w:lineRule="auto"/>
            </w:pPr>
            <w:r>
              <w:rPr>
                <w:b w:val="0"/>
                <w:sz w:val="18"/>
              </w:rPr>
              <w:t>C: No Lawfecta-funded $500 or $1,000 freelancer coverage at launch. Evidence assistance only. Stripe/platform liability still exists independently.</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Recovery</w:t>
            </w:r>
          </w:p>
        </w:tc>
        <w:tc>
          <w:tcPr>
            <w:tcW w:type="dxa" w:w="8424"/>
            <w:vAlign w:val="center"/>
            <w:tcMar>
              <w:top w:w="90" w:type="dxa"/>
              <w:bottom w:w="90" w:type="dxa"/>
              <w:left w:w="110" w:type="dxa"/>
              <w:right w:w="110" w:type="dxa"/>
            </w:tcMar>
          </w:tcPr>
          <w:p>
            <w:pPr>
              <w:spacing w:after="20" w:line="245" w:lineRule="auto"/>
            </w:pPr>
            <w:r>
              <w:rPr>
                <w:b w:val="0"/>
                <w:sz w:val="18"/>
              </w:rPr>
              <w:t>C: Freelancer chooses court and pursues recovery. Lawfecta does not select jurisdiction, arbitrator or represent either party. Platform fee recovery is separate.</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Launch / data</w:t>
            </w:r>
          </w:p>
        </w:tc>
        <w:tc>
          <w:tcPr>
            <w:tcW w:type="dxa" w:w="8424"/>
            <w:vAlign w:val="center"/>
            <w:tcMar>
              <w:top w:w="90" w:type="dxa"/>
              <w:bottom w:w="90" w:type="dxa"/>
              <w:left w:w="110" w:type="dxa"/>
              <w:right w:w="110" w:type="dxa"/>
            </w:tcMar>
          </w:tcPr>
          <w:p>
            <w:pPr>
              <w:spacing w:after="20" w:line="245" w:lineRule="auto"/>
            </w:pPr>
            <w:r>
              <w:rPr>
                <w:b w:val="0"/>
                <w:sz w:val="18"/>
              </w:rPr>
              <w:t>C: Broad member eligibility; no compulsory small controlled customer cohort. Confidential client-data upload is prohibited at initial release until a separate security/legal approval.</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Extensions</w:t>
            </w:r>
          </w:p>
        </w:tc>
        <w:tc>
          <w:tcPr>
            <w:tcW w:type="dxa" w:w="8424"/>
            <w:vAlign w:val="center"/>
            <w:tcMar>
              <w:top w:w="90" w:type="dxa"/>
              <w:bottom w:w="90" w:type="dxa"/>
              <w:left w:w="110" w:type="dxa"/>
              <w:right w:w="110" w:type="dxa"/>
            </w:tcMar>
          </w:tcPr>
          <w:p>
            <w:pPr>
              <w:spacing w:after="20" w:line="245" w:lineRule="auto"/>
            </w:pPr>
            <w:r>
              <w:rPr>
                <w:b w:val="0"/>
                <w:sz w:val="18"/>
              </w:rPr>
              <w:t>C: Chrome and Firefox are required at capture-feature launch; Dia is a compatibility test. Latest sequencing places capture after Phase 1A.</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Automation</w:t>
            </w:r>
          </w:p>
        </w:tc>
        <w:tc>
          <w:tcPr>
            <w:tcW w:type="dxa" w:w="8424"/>
            <w:vAlign w:val="center"/>
            <w:tcMar>
              <w:top w:w="90" w:type="dxa"/>
              <w:bottom w:w="90" w:type="dxa"/>
              <w:left w:w="110" w:type="dxa"/>
              <w:right w:w="110" w:type="dxa"/>
            </w:tcMar>
          </w:tcPr>
          <w:p>
            <w:pPr>
              <w:spacing w:after="20" w:line="245" w:lineRule="auto"/>
            </w:pPr>
            <w:r>
              <w:rPr>
                <w:b w:val="0"/>
                <w:sz w:val="18"/>
              </w:rPr>
              <w:t>C: Limited automatic repeat hiring is a launch direction. It must not be silently removed; activation remains G until standing authority, funding and safety controls pass.</w:t>
            </w:r>
          </w:p>
        </w:tc>
      </w:tr>
    </w:tbl>
    <w:p>
      <w:pPr>
        <w:spacing w:after="20"/>
      </w:pPr>
    </w:p>
    <w:p>
      <w:r>
        <w:rPr>
          <w:b w:val="0"/>
        </w:rPr>
      </w:r>
      <w:r>
        <w:rPr>
          <w:b/>
        </w:rPr>
        <w:t>Important conflict:</w:t>
      </w:r>
      <w:r>
        <w:rPr>
          <w:b w:val="0"/>
        </w:rPr>
        <w:t xml:space="preserve"> Meaningful legal work often involves confidential client information. Phase 1A cannot market full matter-document handling while prohibiting it. Either restrict early engagements and AI to nonconfidential operational work, or activate a separately approved confidential-data boundary. A warning in Terms of Service is not the technical boundary.</w:t>
      </w:r>
    </w:p>
    <w:p>
      <w:r>
        <w:br w:type="page"/>
      </w:r>
    </w:p>
    <w:p>
      <w:pPr>
        <w:pStyle w:val="Heading1"/>
      </w:pPr>
      <w:r>
        <w:t>3. Confirmed product register: discovery to engagement</w:t>
      </w:r>
    </w:p>
    <w:tbl>
      <w:tblPr>
        <w:tblW w:type="auto" w:w="0"/>
        <w:jc w:val="center"/>
        <w:tblLayout w:type="fixed"/>
        <w:tblLook w:firstColumn="1" w:firstRow="1" w:lastColumn="0" w:lastRow="0" w:noHBand="0" w:noVBand="1" w:val="04A0"/>
      </w:tblPr>
      <w:tblGrid>
        <w:gridCol w:w="936"/>
        <w:gridCol w:w="9288"/>
      </w:tblGrid>
      <w:tr>
        <w:trPr>
          <w:tblHeader/>
          <w:cantSplit/>
        </w:trPr>
        <w:tc>
          <w:tcPr>
            <w:tcW w:type="dxa" w:w="936"/>
            <w:vAlign w:val="center"/>
            <w:tcMar>
              <w:top w:w="90" w:type="dxa"/>
              <w:bottom w:w="90" w:type="dxa"/>
              <w:left w:w="110" w:type="dxa"/>
              <w:right w:w="110" w:type="dxa"/>
            </w:tcMar>
            <w:shd w:fill="8B1F3F"/>
          </w:tcPr>
          <w:p>
            <w:pPr>
              <w:spacing w:after="20" w:line="245" w:lineRule="auto"/>
            </w:pPr>
            <w:r>
              <w:rPr>
                <w:b/>
                <w:color w:val="FFFFFF"/>
                <w:sz w:val="18"/>
              </w:rPr>
              <w:t>ID</w:t>
            </w:r>
          </w:p>
        </w:tc>
        <w:tc>
          <w:tcPr>
            <w:tcW w:type="dxa" w:w="9288"/>
            <w:vAlign w:val="center"/>
            <w:tcMar>
              <w:top w:w="90" w:type="dxa"/>
              <w:bottom w:w="90" w:type="dxa"/>
              <w:left w:w="110" w:type="dxa"/>
              <w:right w:w="110" w:type="dxa"/>
            </w:tcMar>
            <w:shd w:fill="8B1F3F"/>
          </w:tcPr>
          <w:p>
            <w:pPr>
              <w:spacing w:after="20" w:line="245" w:lineRule="auto"/>
            </w:pPr>
            <w:r>
              <w:rPr>
                <w:b/>
                <w:color w:val="FFFFFF"/>
                <w:sz w:val="18"/>
              </w:rPr>
              <w:t>Decision and required consequence</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C-01</w:t>
            </w:r>
          </w:p>
        </w:tc>
        <w:tc>
          <w:tcPr>
            <w:tcW w:type="dxa" w:w="9288"/>
            <w:vAlign w:val="center"/>
            <w:tcMar>
              <w:top w:w="90" w:type="dxa"/>
              <w:bottom w:w="90" w:type="dxa"/>
              <w:left w:w="110" w:type="dxa"/>
              <w:right w:w="110" w:type="dxa"/>
            </w:tcMar>
          </w:tcPr>
          <w:p>
            <w:pPr>
              <w:spacing w:after="20" w:line="245" w:lineRule="auto"/>
            </w:pPr>
            <w:r>
              <w:rPr>
                <w:b w:val="0"/>
                <w:sz w:val="18"/>
              </w:rPr>
              <w:t>Immediate limited DELA access after registration; attorney professional and identity checks gate hiring. Verify the contracting entity and authorized signatory before paid engagement.</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C-02</w:t>
            </w:r>
          </w:p>
        </w:tc>
        <w:tc>
          <w:tcPr>
            <w:tcW w:type="dxa" w:w="9288"/>
            <w:vAlign w:val="center"/>
            <w:tcMar>
              <w:top w:w="90" w:type="dxa"/>
              <w:bottom w:w="90" w:type="dxa"/>
              <w:left w:w="110" w:type="dxa"/>
              <w:right w:w="110" w:type="dxa"/>
            </w:tcMar>
          </w:tcPr>
          <w:p>
            <w:pPr>
              <w:spacing w:after="20" w:line="245" w:lineRule="auto"/>
            </w:pPr>
            <w:r>
              <w:rPr>
                <w:b w:val="0"/>
                <w:sz w:val="18"/>
              </w:rPr>
              <w:t>Hybrid private knowledge: personal, firm, matter and engagement scopes. Eligible low-risk operational preferences may be saved automatically with controls; no private-to-shared training path by default.</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C-03</w:t>
            </w:r>
          </w:p>
        </w:tc>
        <w:tc>
          <w:tcPr>
            <w:tcW w:type="dxa" w:w="9288"/>
            <w:vAlign w:val="center"/>
            <w:tcMar>
              <w:top w:w="90" w:type="dxa"/>
              <w:bottom w:w="90" w:type="dxa"/>
              <w:left w:w="110" w:type="dxa"/>
              <w:right w:w="110" w:type="dxa"/>
            </w:tcMar>
          </w:tcPr>
          <w:p>
            <w:pPr>
              <w:spacing w:after="20" w:line="245" w:lineRule="auto"/>
            </w:pPr>
            <w:r>
              <w:rPr>
                <w:b w:val="0"/>
                <w:sz w:val="18"/>
              </w:rPr>
              <w:t>Full playbook text is visible in a read-only viewer. Discourage casual copying without claiming copy-proof security or impairing accessibility. Portable/editable outputs need entitlement.</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C-04</w:t>
            </w:r>
          </w:p>
        </w:tc>
        <w:tc>
          <w:tcPr>
            <w:tcW w:type="dxa" w:w="9288"/>
            <w:vAlign w:val="center"/>
            <w:tcMar>
              <w:top w:w="90" w:type="dxa"/>
              <w:bottom w:w="90" w:type="dxa"/>
              <w:left w:w="110" w:type="dxa"/>
              <w:right w:w="110" w:type="dxa"/>
            </w:tcMar>
          </w:tcPr>
          <w:p>
            <w:pPr>
              <w:spacing w:after="20" w:line="245" w:lineRule="auto"/>
            </w:pPr>
            <w:r>
              <w:rPr>
                <w:b w:val="0"/>
                <w:sz w:val="18"/>
              </w:rPr>
              <w:t>One consultation-specific export after a verified attended meeting; full reusable engagement playbook after qualifying funded hire. Anti-abuse, cancellation and license details remain O.</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C-05</w:t>
            </w:r>
          </w:p>
        </w:tc>
        <w:tc>
          <w:tcPr>
            <w:tcW w:type="dxa" w:w="9288"/>
            <w:vAlign w:val="center"/>
            <w:tcMar>
              <w:top w:w="90" w:type="dxa"/>
              <w:bottom w:w="90" w:type="dxa"/>
              <w:left w:w="110" w:type="dxa"/>
              <w:right w:w="110" w:type="dxa"/>
            </w:tcMar>
          </w:tcPr>
          <w:p>
            <w:pPr>
              <w:spacing w:after="20" w:line="245" w:lineRule="auto"/>
            </w:pPr>
            <w:r>
              <w:rPr>
                <w:b w:val="0"/>
                <w:sz w:val="18"/>
              </w:rPr>
              <w:t>Native booking for all tiers. Paid plans access the same supported integration catalog with differing connection/action limits.</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C-06</w:t>
            </w:r>
          </w:p>
        </w:tc>
        <w:tc>
          <w:tcPr>
            <w:tcW w:type="dxa" w:w="9288"/>
            <w:vAlign w:val="center"/>
            <w:tcMar>
              <w:top w:w="90" w:type="dxa"/>
              <w:bottom w:w="90" w:type="dxa"/>
              <w:left w:w="110" w:type="dxa"/>
              <w:right w:w="110" w:type="dxa"/>
            </w:tcMar>
          </w:tcPr>
          <w:p>
            <w:pPr>
              <w:spacing w:after="20" w:line="245" w:lineRule="auto"/>
            </w:pPr>
            <w:r>
              <w:rPr>
                <w:b w:val="0"/>
                <w:sz w:val="18"/>
              </w:rPr>
              <w:t>Attorneys initiate pre-engagement chat; freelancers use approved pitches. Gig Q&amp;A is controlled. Completed project chat is read-only; a separate accepted bench relationship channel can stay open.</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C-07</w:t>
            </w:r>
          </w:p>
        </w:tc>
        <w:tc>
          <w:tcPr>
            <w:tcW w:type="dxa" w:w="9288"/>
            <w:vAlign w:val="center"/>
            <w:tcMar>
              <w:top w:w="90" w:type="dxa"/>
              <w:bottom w:w="90" w:type="dxa"/>
              <w:left w:w="110" w:type="dxa"/>
              <w:right w:w="110" w:type="dxa"/>
            </w:tcMar>
          </w:tcPr>
          <w:p>
            <w:pPr>
              <w:spacing w:after="20" w:line="245" w:lineRule="auto"/>
            </w:pPr>
            <w:r>
              <w:rPr>
                <w:b w:val="0"/>
                <w:sz w:val="18"/>
              </w:rPr>
              <w:t>Personal and firm benches. Attorney invites and freelancer accepts. Proactive bench suggestions are configurable and can be snoozed.</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C-08</w:t>
            </w:r>
          </w:p>
        </w:tc>
        <w:tc>
          <w:tcPr>
            <w:tcW w:type="dxa" w:w="9288"/>
            <w:vAlign w:val="center"/>
            <w:tcMar>
              <w:top w:w="90" w:type="dxa"/>
              <w:bottom w:w="90" w:type="dxa"/>
              <w:left w:w="110" w:type="dxa"/>
              <w:right w:w="110" w:type="dxa"/>
            </w:tcMar>
          </w:tcPr>
          <w:p>
            <w:pPr>
              <w:spacing w:after="20" w:line="245" w:lineRule="auto"/>
            </w:pPr>
            <w:r>
              <w:rPr>
                <w:b w:val="0"/>
                <w:sz w:val="18"/>
              </w:rPr>
              <w:t>Attorney-approved gigs from playbooks; visible budget range; public applicants plus invited matches; outside-budget proposals allowed with a visible flag.</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C-09</w:t>
            </w:r>
          </w:p>
        </w:tc>
        <w:tc>
          <w:tcPr>
            <w:tcW w:type="dxa" w:w="9288"/>
            <w:vAlign w:val="center"/>
            <w:tcMar>
              <w:top w:w="90" w:type="dxa"/>
              <w:bottom w:w="90" w:type="dxa"/>
              <w:left w:w="110" w:type="dxa"/>
              <w:right w:w="110" w:type="dxa"/>
            </w:tcMar>
          </w:tcPr>
          <w:p>
            <w:pPr>
              <w:spacing w:after="20" w:line="245" w:lineRule="auto"/>
            </w:pPr>
            <w:r>
              <w:rPr>
                <w:b w:val="0"/>
                <w:sz w:val="18"/>
              </w:rPr>
              <w:t>Proposal comparison includes total price, milestone prices, scope, timeline and qualifications. Invited freelancers may see the complete approved playbook; public applicants receive a sufficient sanitized brief.</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C-10</w:t>
            </w:r>
          </w:p>
        </w:tc>
        <w:tc>
          <w:tcPr>
            <w:tcW w:type="dxa" w:w="9288"/>
            <w:vAlign w:val="center"/>
            <w:tcMar>
              <w:top w:w="90" w:type="dxa"/>
              <w:bottom w:w="90" w:type="dxa"/>
              <w:left w:w="110" w:type="dxa"/>
              <w:right w:w="110" w:type="dxa"/>
            </w:tcMar>
          </w:tcPr>
          <w:p>
            <w:pPr>
              <w:spacing w:after="20" w:line="245" w:lineRule="auto"/>
            </w:pPr>
            <w:r>
              <w:rPr>
                <w:b w:val="0"/>
                <w:sz w:val="18"/>
              </w:rPr>
              <w:t>Monthly proposal allowances: Free 5, Plus 20, Pro 50, Business unlimited subject to abuse controls. After exhaustion, matches stay visible; submissions stop. Proposal top-ups are later only.</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C-11</w:t>
            </w:r>
          </w:p>
        </w:tc>
        <w:tc>
          <w:tcPr>
            <w:tcW w:type="dxa" w:w="9288"/>
            <w:vAlign w:val="center"/>
            <w:tcMar>
              <w:top w:w="90" w:type="dxa"/>
              <w:bottom w:w="90" w:type="dxa"/>
              <w:left w:w="110" w:type="dxa"/>
              <w:right w:w="110" w:type="dxa"/>
            </w:tcMar>
          </w:tcPr>
          <w:p>
            <w:pPr>
              <w:spacing w:after="20" w:line="245" w:lineRule="auto"/>
            </w:pPr>
            <w:r>
              <w:rPr>
                <w:b w:val="0"/>
                <w:sz w:val="18"/>
              </w:rPr>
              <w:t>Gigs initially last 14 days; reminders Days 10 and 13; one 14-day extension; existing proposals actionable for seven days after actual expiry. Hire closes the gig unless multiple hires are allowed.</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C-12</w:t>
            </w:r>
          </w:p>
        </w:tc>
        <w:tc>
          <w:tcPr>
            <w:tcW w:type="dxa" w:w="9288"/>
            <w:vAlign w:val="center"/>
            <w:tcMar>
              <w:top w:w="90" w:type="dxa"/>
              <w:bottom w:w="90" w:type="dxa"/>
              <w:left w:w="110" w:type="dxa"/>
              <w:right w:w="110" w:type="dxa"/>
            </w:tcMar>
          </w:tcPr>
          <w:p>
            <w:pPr>
              <w:spacing w:after="20" w:line="245" w:lineRule="auto"/>
            </w:pPr>
            <w:r>
              <w:rPr>
                <w:b w:val="0"/>
                <w:sz w:val="18"/>
              </w:rPr>
              <w:t>Fixed-fee projects and defined-work monthly recurring engagements. Both parties sign the same version before initial funding. Hourly billing is not launch scope.</w:t>
            </w:r>
          </w:p>
        </w:tc>
      </w:tr>
    </w:tbl>
    <w:p>
      <w:pPr>
        <w:spacing w:after="20"/>
      </w:pPr>
    </w:p>
    <w:p>
      <w:r>
        <w:rPr>
          <w:b w:val="0"/>
        </w:rPr>
        <w:t>Profile readiness, freshness windows, invitation response thresholds and mandatory profile-field details were extensively proposed. The need for a match-ready/available pool is C; exact validation rules are R pending confirmation. Verification is separate from profile quality and subscription tier.</w:t>
      </w:r>
    </w:p>
    <w:p>
      <w:r>
        <w:br w:type="page"/>
      </w:r>
    </w:p>
    <w:p>
      <w:pPr>
        <w:pStyle w:val="Heading1"/>
      </w:pPr>
      <w:r>
        <w:t>4. Confirmed register: recurring work, money and risk</w:t>
      </w:r>
    </w:p>
    <w:tbl>
      <w:tblPr>
        <w:tblW w:type="auto" w:w="0"/>
        <w:jc w:val="center"/>
        <w:tblLayout w:type="fixed"/>
        <w:tblLook w:firstColumn="1" w:firstRow="1" w:lastColumn="0" w:lastRow="0" w:noHBand="0" w:noVBand="1" w:val="04A0"/>
      </w:tblPr>
      <w:tblGrid>
        <w:gridCol w:w="936"/>
        <w:gridCol w:w="9288"/>
      </w:tblGrid>
      <w:tr>
        <w:trPr>
          <w:tblHeader/>
          <w:cantSplit/>
        </w:trPr>
        <w:tc>
          <w:tcPr>
            <w:tcW w:type="dxa" w:w="936"/>
            <w:vAlign w:val="center"/>
            <w:tcMar>
              <w:top w:w="90" w:type="dxa"/>
              <w:bottom w:w="90" w:type="dxa"/>
              <w:left w:w="110" w:type="dxa"/>
              <w:right w:w="110" w:type="dxa"/>
            </w:tcMar>
            <w:shd w:fill="8B1F3F"/>
          </w:tcPr>
          <w:p>
            <w:pPr>
              <w:spacing w:after="20" w:line="245" w:lineRule="auto"/>
            </w:pPr>
            <w:r>
              <w:rPr>
                <w:b/>
                <w:color w:val="FFFFFF"/>
                <w:sz w:val="18"/>
              </w:rPr>
              <w:t>ID</w:t>
            </w:r>
          </w:p>
        </w:tc>
        <w:tc>
          <w:tcPr>
            <w:tcW w:type="dxa" w:w="9288"/>
            <w:vAlign w:val="center"/>
            <w:tcMar>
              <w:top w:w="90" w:type="dxa"/>
              <w:bottom w:w="90" w:type="dxa"/>
              <w:left w:w="110" w:type="dxa"/>
              <w:right w:w="110" w:type="dxa"/>
            </w:tcMar>
            <w:shd w:fill="8B1F3F"/>
          </w:tcPr>
          <w:p>
            <w:pPr>
              <w:spacing w:after="20" w:line="245" w:lineRule="auto"/>
            </w:pPr>
            <w:r>
              <w:rPr>
                <w:b/>
                <w:color w:val="FFFFFF"/>
                <w:sz w:val="18"/>
              </w:rPr>
              <w:t>Decision and required consequence</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C-13</w:t>
            </w:r>
          </w:p>
        </w:tc>
        <w:tc>
          <w:tcPr>
            <w:tcW w:type="dxa" w:w="9288"/>
            <w:vAlign w:val="center"/>
            <w:tcMar>
              <w:top w:w="90" w:type="dxa"/>
              <w:bottom w:w="90" w:type="dxa"/>
              <w:left w:w="110" w:type="dxa"/>
              <w:right w:w="110" w:type="dxa"/>
            </w:tcMar>
          </w:tcPr>
          <w:p>
            <w:pPr>
              <w:spacing w:after="20" w:line="245" w:lineRule="auto"/>
            </w:pPr>
            <w:r>
              <w:rPr>
                <w:b w:val="0"/>
                <w:sz w:val="18"/>
              </w:rPr>
              <w:t>Milestone assessment threshold 90/100 plus seven-day attorney review. Below-threshold submissions can request qualified human review. Substantive professional approval remains separate.</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C-14</w:t>
            </w:r>
          </w:p>
        </w:tc>
        <w:tc>
          <w:tcPr>
            <w:tcW w:type="dxa" w:w="9288"/>
            <w:vAlign w:val="center"/>
            <w:tcMar>
              <w:top w:w="90" w:type="dxa"/>
              <w:bottom w:w="90" w:type="dxa"/>
              <w:left w:w="110" w:type="dxa"/>
              <w:right w:w="110" w:type="dxa"/>
            </w:tcMar>
          </w:tcPr>
          <w:p>
            <w:pPr>
              <w:spacing w:after="20" w:line="245" w:lineRule="auto"/>
            </w:pPr>
            <w:r>
              <w:rPr>
                <w:b w:val="0"/>
                <w:sz w:val="18"/>
              </w:rPr>
              <w:t>Milestone funding before work. An accepted milestone can trigger authorized next funding; work begins only after provider-confirmed payment state and risk checks.</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C-15</w:t>
            </w:r>
          </w:p>
        </w:tc>
        <w:tc>
          <w:tcPr>
            <w:tcW w:type="dxa" w:w="9288"/>
            <w:vAlign w:val="center"/>
            <w:tcMar>
              <w:top w:w="90" w:type="dxa"/>
              <w:bottom w:w="90" w:type="dxa"/>
              <w:left w:w="110" w:type="dxa"/>
              <w:right w:w="110" w:type="dxa"/>
            </w:tcMar>
          </w:tcPr>
          <w:p>
            <w:pPr>
              <w:spacing w:after="20" w:line="245" w:lineRule="auto"/>
            </w:pPr>
            <w:r>
              <w:rPr>
                <w:b w:val="0"/>
                <w:sz w:val="18"/>
              </w:rPr>
              <w:t>Monthly recurring engagements across every tier. Renew automatically until either party cancels; cancellation takes effect at the end of the paid period.</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C-16</w:t>
            </w:r>
          </w:p>
        </w:tc>
        <w:tc>
          <w:tcPr>
            <w:tcW w:type="dxa" w:w="9288"/>
            <w:vAlign w:val="center"/>
            <w:tcMar>
              <w:top w:w="90" w:type="dxa"/>
              <w:bottom w:w="90" w:type="dxa"/>
              <w:left w:w="110" w:type="dxa"/>
              <w:right w:w="110" w:type="dxa"/>
            </w:tcMar>
          </w:tcPr>
          <w:p>
            <w:pPr>
              <w:spacing w:after="20" w:line="245" w:lineRule="auto"/>
            </w:pPr>
            <w:r>
              <w:rPr>
                <w:b w:val="0"/>
                <w:sz w:val="18"/>
              </w:rPr>
              <w:t>Renewal reminder three days before billing. Cancellation reversal requires the other party. Scope changes require mutual approval, effective next period.</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C-17</w:t>
            </w:r>
          </w:p>
        </w:tc>
        <w:tc>
          <w:tcPr>
            <w:tcW w:type="dxa" w:w="9288"/>
            <w:vAlign w:val="center"/>
            <w:tcMar>
              <w:top w:w="90" w:type="dxa"/>
              <w:bottom w:w="90" w:type="dxa"/>
              <w:left w:w="110" w:type="dxa"/>
              <w:right w:w="110" w:type="dxa"/>
            </w:tcMar>
          </w:tcPr>
          <w:p>
            <w:pPr>
              <w:spacing w:after="20" w:line="245" w:lineRule="auto"/>
            </w:pPr>
            <w:r>
              <w:rPr>
                <w:b w:val="0"/>
                <w:sz w:val="18"/>
              </w:rPr>
              <w:t>Early termination by mutual agreement: pay accepted completed work, refund the balance under the settlement policy. Failed renewal pauses new-period work; two automatic retries over several days.</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C-18</w:t>
            </w:r>
          </w:p>
        </w:tc>
        <w:tc>
          <w:tcPr>
            <w:tcW w:type="dxa" w:w="9288"/>
            <w:vAlign w:val="center"/>
            <w:tcMar>
              <w:top w:w="90" w:type="dxa"/>
              <w:bottom w:w="90" w:type="dxa"/>
              <w:left w:w="110" w:type="dxa"/>
              <w:right w:w="110" w:type="dxa"/>
            </w:tcMar>
          </w:tcPr>
          <w:p>
            <w:pPr>
              <w:spacing w:after="20" w:line="245" w:lineRule="auto"/>
            </w:pPr>
            <w:r>
              <w:rPr>
                <w:b w:val="0"/>
                <w:sz w:val="18"/>
              </w:rPr>
              <w:t>Immediate mutual reviews. Only freelancers with completed Lawfecta engagements may review an attorney. Past-client attorney reviews of freelancers are a separate external-work pathway.</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C-19</w:t>
            </w:r>
          </w:p>
        </w:tc>
        <w:tc>
          <w:tcPr>
            <w:tcW w:type="dxa" w:w="9288"/>
            <w:vAlign w:val="center"/>
            <w:tcMar>
              <w:top w:w="90" w:type="dxa"/>
              <w:bottom w:w="90" w:type="dxa"/>
              <w:left w:w="110" w:type="dxa"/>
              <w:right w:w="110" w:type="dxa"/>
            </w:tcMar>
          </w:tcPr>
          <w:p>
            <w:pPr>
              <w:spacing w:after="20" w:line="245" w:lineRule="auto"/>
            </w:pPr>
            <w:r>
              <w:rPr>
                <w:b w:val="0"/>
                <w:sz w:val="18"/>
              </w:rPr>
              <w:t>Formal chargeback: restrict hiring/payments but preserve records/resolution access. Pause financially exposed work only. First lost chargeback needs manual reinstatement review.</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C-20</w:t>
            </w:r>
          </w:p>
        </w:tc>
        <w:tc>
          <w:tcPr>
            <w:tcW w:type="dxa" w:w="9288"/>
            <w:vAlign w:val="center"/>
            <w:tcMar>
              <w:top w:w="90" w:type="dxa"/>
              <w:bottom w:w="90" w:type="dxa"/>
              <w:left w:w="110" w:type="dxa"/>
              <w:right w:w="110" w:type="dxa"/>
            </w:tcMar>
          </w:tcPr>
          <w:p>
            <w:pPr>
              <w:spacing w:after="20" w:line="245" w:lineRule="auto"/>
            </w:pPr>
            <w:r>
              <w:rPr>
                <w:b w:val="0"/>
                <w:sz w:val="18"/>
              </w:rPr>
              <w:t>Second verified formal chargeback: permanent marketplace termination direction, with duplicate/error correction and lawful access preserved. Counting and legal policy review are G.</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C-21</w:t>
            </w:r>
          </w:p>
        </w:tc>
        <w:tc>
          <w:tcPr>
            <w:tcW w:type="dxa" w:w="9288"/>
            <w:vAlign w:val="center"/>
            <w:tcMar>
              <w:top w:w="90" w:type="dxa"/>
              <w:bottom w:w="90" w:type="dxa"/>
              <w:left w:w="110" w:type="dxa"/>
              <w:right w:w="110" w:type="dxa"/>
            </w:tcMar>
          </w:tcPr>
          <w:p>
            <w:pPr>
              <w:spacing w:after="20" w:line="245" w:lineRule="auto"/>
            </w:pPr>
            <w:r>
              <w:rPr>
                <w:b w:val="0"/>
                <w:sz w:val="18"/>
              </w:rPr>
              <w:t>No freelancer protection payment at launch. Self-service evidence package, verification summary, notices and 14-day tracking only.</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C-22</w:t>
            </w:r>
          </w:p>
        </w:tc>
        <w:tc>
          <w:tcPr>
            <w:tcW w:type="dxa" w:w="9288"/>
            <w:vAlign w:val="center"/>
            <w:tcMar>
              <w:top w:w="90" w:type="dxa"/>
              <w:bottom w:w="90" w:type="dxa"/>
              <w:left w:w="110" w:type="dxa"/>
              <w:right w:w="110" w:type="dxa"/>
            </w:tcMar>
          </w:tcPr>
          <w:p>
            <w:pPr>
              <w:spacing w:after="20" w:line="245" w:lineRule="auto"/>
            </w:pPr>
            <w:r>
              <w:rPr>
                <w:b w:val="0"/>
                <w:sz w:val="18"/>
              </w:rPr>
              <w:t>Small-claims exception plus binding online arbitration; 14 calendar days from documented DELA notice delivery. Provider selection/cost rules are not fixed by Lawfecta; counsel must resolve fallback enforceability.</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C-23</w:t>
            </w:r>
          </w:p>
        </w:tc>
        <w:tc>
          <w:tcPr>
            <w:tcW w:type="dxa" w:w="9288"/>
            <w:vAlign w:val="center"/>
            <w:tcMar>
              <w:top w:w="90" w:type="dxa"/>
              <w:bottom w:w="90" w:type="dxa"/>
              <w:left w:w="110" w:type="dxa"/>
              <w:right w:w="110" w:type="dxa"/>
            </w:tcMar>
          </w:tcPr>
          <w:p>
            <w:pPr>
              <w:spacing w:after="20" w:line="245" w:lineRule="auto"/>
            </w:pPr>
            <w:r>
              <w:rPr>
                <w:b w:val="0"/>
                <w:sz w:val="18"/>
              </w:rPr>
              <w:t>Before paid engagement: legal/firm name, business and billing address, authorized signatory/business email, service-of-process contact. Disclose legitimate information-release purposes transparently.</w:t>
            </w:r>
          </w:p>
        </w:tc>
      </w:tr>
      <w:tr>
        <w:trPr>
          <w:cantSplit/>
        </w:trPr>
        <w:tc>
          <w:tcPr>
            <w:tcW w:type="dxa" w:w="936"/>
            <w:vAlign w:val="center"/>
            <w:tcMar>
              <w:top w:w="90" w:type="dxa"/>
              <w:bottom w:w="90" w:type="dxa"/>
              <w:left w:w="110" w:type="dxa"/>
              <w:right w:w="110" w:type="dxa"/>
            </w:tcMar>
          </w:tcPr>
          <w:p>
            <w:pPr>
              <w:spacing w:after="20" w:line="245" w:lineRule="auto"/>
            </w:pPr>
            <w:r>
              <w:rPr>
                <w:b w:val="0"/>
                <w:sz w:val="18"/>
              </w:rPr>
              <w:t>C-24</w:t>
            </w:r>
          </w:p>
        </w:tc>
        <w:tc>
          <w:tcPr>
            <w:tcW w:type="dxa" w:w="9288"/>
            <w:vAlign w:val="center"/>
            <w:tcMar>
              <w:top w:w="90" w:type="dxa"/>
              <w:bottom w:w="90" w:type="dxa"/>
              <w:left w:w="110" w:type="dxa"/>
              <w:right w:w="110" w:type="dxa"/>
            </w:tcMar>
          </w:tcPr>
          <w:p>
            <w:pPr>
              <w:spacing w:after="20" w:line="245" w:lineRule="auto"/>
            </w:pPr>
            <w:r>
              <w:rPr>
                <w:b w:val="0"/>
                <w:sz w:val="18"/>
              </w:rPr>
              <w:t>First provider target is Stripe Connect. Provider abstraction from day one; conditional holding legality and actual configuration must be validated. Future escrow is optional.</w:t>
            </w:r>
          </w:p>
        </w:tc>
      </w:tr>
    </w:tbl>
    <w:p>
      <w:pPr>
        <w:spacing w:after="20"/>
      </w:pPr>
    </w:p>
    <w:p>
      <w:r>
        <w:rPr>
          <w:b w:val="0"/>
        </w:rPr>
        <w:t>A completed project, accepted milestone, successful card charge, Stripe transfer and bank payout are different events. No AI score, internal ledger balance or review publication proves cash is irrevocable or legal work is correct.</w:t>
      </w:r>
    </w:p>
    <w:p>
      <w:r>
        <w:br w:type="page"/>
      </w:r>
    </w:p>
    <w:p>
      <w:pPr>
        <w:pStyle w:val="Heading1"/>
      </w:pPr>
      <w:r>
        <w:t>5. Commercial and expansion register</w:t>
      </w:r>
    </w:p>
    <w:tbl>
      <w:tblPr>
        <w:tblW w:type="auto" w:w="0"/>
        <w:jc w:val="center"/>
        <w:tblLayout w:type="fixed"/>
        <w:tblLook w:firstColumn="1" w:firstRow="1" w:lastColumn="0" w:lastRow="0" w:noHBand="0" w:noVBand="1" w:val="04A0"/>
      </w:tblPr>
      <w:tblGrid>
        <w:gridCol w:w="1512"/>
        <w:gridCol w:w="8712"/>
      </w:tblGrid>
      <w:tr>
        <w:trPr>
          <w:tblHeader/>
          <w:cantSplit/>
        </w:trPr>
        <w:tc>
          <w:tcPr>
            <w:tcW w:type="dxa" w:w="1512"/>
            <w:vAlign w:val="center"/>
            <w:tcMar>
              <w:top w:w="90" w:type="dxa"/>
              <w:bottom w:w="90" w:type="dxa"/>
              <w:left w:w="110" w:type="dxa"/>
              <w:right w:w="110" w:type="dxa"/>
            </w:tcMar>
            <w:shd w:fill="8B1F3F"/>
          </w:tcPr>
          <w:p>
            <w:pPr>
              <w:spacing w:after="20" w:line="245" w:lineRule="auto"/>
            </w:pPr>
            <w:r>
              <w:rPr>
                <w:b/>
                <w:color w:val="FFFFFF"/>
                <w:sz w:val="18"/>
              </w:rPr>
              <w:t>ID / status</w:t>
            </w:r>
          </w:p>
        </w:tc>
        <w:tc>
          <w:tcPr>
            <w:tcW w:type="dxa" w:w="8712"/>
            <w:vAlign w:val="center"/>
            <w:tcMar>
              <w:top w:w="90" w:type="dxa"/>
              <w:bottom w:w="90" w:type="dxa"/>
              <w:left w:w="110" w:type="dxa"/>
              <w:right w:w="110" w:type="dxa"/>
            </w:tcMar>
            <w:shd w:fill="8B1F3F"/>
          </w:tcPr>
          <w:p>
            <w:pPr>
              <w:spacing w:after="20" w:line="245" w:lineRule="auto"/>
            </w:pPr>
            <w:r>
              <w:rPr>
                <w:b/>
                <w:color w:val="FFFFFF"/>
                <w:sz w:val="18"/>
              </w:rPr>
              <w:t>Position</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C-25</w:t>
            </w:r>
          </w:p>
        </w:tc>
        <w:tc>
          <w:tcPr>
            <w:tcW w:type="dxa" w:w="8712"/>
            <w:vAlign w:val="center"/>
            <w:tcMar>
              <w:top w:w="90" w:type="dxa"/>
              <w:bottom w:w="90" w:type="dxa"/>
              <w:left w:w="110" w:type="dxa"/>
              <w:right w:w="110" w:type="dxa"/>
            </w:tcMar>
          </w:tcPr>
          <w:p>
            <w:pPr>
              <w:spacing w:after="20" w:line="245" w:lineRule="auto"/>
            </w:pPr>
            <w:r>
              <w:rPr>
                <w:b w:val="0"/>
                <w:sz w:val="18"/>
              </w:rPr>
              <w:t>Entirely new membership system: Free / Plus / Pro, separate Business offerings for firms and agencies. Existing plans do not set new pricing; migration must preserve valid existing promises.</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R-PRICE</w:t>
            </w:r>
          </w:p>
        </w:tc>
        <w:tc>
          <w:tcPr>
            <w:tcW w:type="dxa" w:w="8712"/>
            <w:vAlign w:val="center"/>
            <w:tcMar>
              <w:top w:w="90" w:type="dxa"/>
              <w:bottom w:w="90" w:type="dxa"/>
              <w:left w:w="110" w:type="dxa"/>
              <w:right w:w="110" w:type="dxa"/>
            </w:tcMar>
          </w:tcPr>
          <w:p>
            <w:pPr>
              <w:spacing w:after="20" w:line="245" w:lineRule="auto"/>
            </w:pPr>
            <w:r>
              <w:rPr>
                <w:b w:val="0"/>
                <w:sz w:val="18"/>
              </w:rPr>
              <w:t>Monthly candidates: attorney $19 / $49 / $99; freelancer $12 / $29 / $59. Tier fee candidates 4% / 3.5% / 3%, Free 5% per side. Final prices, annual billing and taxes are O.</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C-26</w:t>
            </w:r>
          </w:p>
        </w:tc>
        <w:tc>
          <w:tcPr>
            <w:tcW w:type="dxa" w:w="8712"/>
            <w:vAlign w:val="center"/>
            <w:tcMar>
              <w:top w:w="90" w:type="dxa"/>
              <w:bottom w:w="90" w:type="dxa"/>
              <w:left w:w="110" w:type="dxa"/>
              <w:right w:w="110" w:type="dxa"/>
            </w:tcMar>
          </w:tcPr>
          <w:p>
            <w:pPr>
              <w:spacing w:after="20" w:line="245" w:lineRule="auto"/>
            </w:pPr>
            <w:r>
              <w:rPr>
                <w:b w:val="0"/>
                <w:sz w:val="18"/>
              </w:rPr>
              <w:t>Minimum fee $10 per party per engagement; no minimum per generated task or milestone. Recurring-period application and partial-cancellation allocation need explicit policy.</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C-27</w:t>
            </w:r>
          </w:p>
        </w:tc>
        <w:tc>
          <w:tcPr>
            <w:tcW w:type="dxa" w:w="8712"/>
            <w:vAlign w:val="center"/>
            <w:tcMar>
              <w:top w:w="90" w:type="dxa"/>
              <w:bottom w:w="90" w:type="dxa"/>
              <w:left w:w="110" w:type="dxa"/>
              <w:right w:w="110" w:type="dxa"/>
            </w:tcMar>
          </w:tcPr>
          <w:p>
            <w:pPr>
              <w:spacing w:after="20" w:line="245" w:lineRule="auto"/>
            </w:pPr>
            <w:r>
              <w:rPr>
                <w:b w:val="0"/>
                <w:sz w:val="18"/>
              </w:rPr>
              <w:t>Lawfecta absorbs modeled engagement processing fees. Paid playbook sellers cover their applicable processing cost; fee allocation is product-specific.</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C-28</w:t>
            </w:r>
          </w:p>
        </w:tc>
        <w:tc>
          <w:tcPr>
            <w:tcW w:type="dxa" w:w="8712"/>
            <w:vAlign w:val="center"/>
            <w:tcMar>
              <w:top w:w="90" w:type="dxa"/>
              <w:bottom w:w="90" w:type="dxa"/>
              <w:left w:w="110" w:type="dxa"/>
              <w:right w:w="110" w:type="dxa"/>
            </w:tcMar>
          </w:tcPr>
          <w:p>
            <w:pPr>
              <w:spacing w:after="20" w:line="245" w:lineRule="auto"/>
            </w:pPr>
            <w:r>
              <w:rPr>
                <w:b w:val="0"/>
                <w:sz w:val="18"/>
              </w:rPr>
              <w:t>Full read-only playbooks; paid export allowances plus standalone export purchases. AI allowances start conservative. Exact allowances, top-tier exhaustion and export rollover are O.</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C-29</w:t>
            </w:r>
          </w:p>
        </w:tc>
        <w:tc>
          <w:tcPr>
            <w:tcW w:type="dxa" w:w="8712"/>
            <w:vAlign w:val="center"/>
            <w:tcMar>
              <w:top w:w="90" w:type="dxa"/>
              <w:bottom w:w="90" w:type="dxa"/>
              <w:left w:w="110" w:type="dxa"/>
              <w:right w:w="110" w:type="dxa"/>
            </w:tcMar>
          </w:tcPr>
          <w:p>
            <w:pPr>
              <w:spacing w:after="20" w:line="245" w:lineRule="auto"/>
            </w:pPr>
            <w:r>
              <w:rPr>
                <w:b w:val="0"/>
                <w:sz w:val="18"/>
              </w:rPr>
              <w:t>BYOK accessible to all account types and tiers; included AI remains. V1 webhooks are required; outbound member-event design and tier limits are R/O.</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C-30</w:t>
            </w:r>
          </w:p>
        </w:tc>
        <w:tc>
          <w:tcPr>
            <w:tcW w:type="dxa" w:w="8712"/>
            <w:vAlign w:val="center"/>
            <w:tcMar>
              <w:top w:w="90" w:type="dxa"/>
              <w:bottom w:w="90" w:type="dxa"/>
              <w:left w:w="110" w:type="dxa"/>
              <w:right w:w="110" w:type="dxa"/>
            </w:tcMar>
          </w:tcPr>
          <w:p>
            <w:pPr>
              <w:spacing w:after="20" w:line="245" w:lineRule="auto"/>
            </w:pPr>
            <w:r>
              <w:rPr>
                <w:b w:val="0"/>
                <w:sz w:val="18"/>
              </w:rPr>
              <w:t>Private internal library sharing controlled by firm owner: separate view/edit/internal-share permissions. No anonymous external sharing at launch. Marketplace publication is a distinct future grant.</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C-31</w:t>
            </w:r>
          </w:p>
        </w:tc>
        <w:tc>
          <w:tcPr>
            <w:tcW w:type="dxa" w:w="8712"/>
            <w:vAlign w:val="center"/>
            <w:tcMar>
              <w:top w:w="90" w:type="dxa"/>
              <w:bottom w:w="90" w:type="dxa"/>
              <w:left w:w="110" w:type="dxa"/>
              <w:right w:w="110" w:type="dxa"/>
            </w:tcMar>
          </w:tcPr>
          <w:p>
            <w:pPr>
              <w:spacing w:after="20" w:line="245" w:lineRule="auto"/>
            </w:pPr>
            <w:r>
              <w:rPr>
                <w:b w:val="0"/>
                <w:sz w:val="18"/>
              </w:rPr>
              <w:t>Future playbook sellers: verified attorneys and freelancers; 15% seller commission selected for launch testing; internal use/customization, no resale. AI screening plus selective human review.</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C-32</w:t>
            </w:r>
          </w:p>
        </w:tc>
        <w:tc>
          <w:tcPr>
            <w:tcW w:type="dxa" w:w="8712"/>
            <w:vAlign w:val="center"/>
            <w:tcMar>
              <w:top w:w="90" w:type="dxa"/>
              <w:bottom w:w="90" w:type="dxa"/>
              <w:left w:w="110" w:type="dxa"/>
              <w:right w:w="110" w:type="dxa"/>
            </w:tcMar>
          </w:tcPr>
          <w:p>
            <w:pPr>
              <w:spacing w:after="20" w:line="245" w:lineRule="auto"/>
            </w:pPr>
            <w:r>
              <w:rPr>
                <w:b w:val="0"/>
                <w:sz w:val="18"/>
              </w:rPr>
              <w:t>Technology advice uses a restricted approved catalog, sourced evidence and standard plus firm-specific scoring. No unrestricted vendor research/recommendations by DELA.</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R-EXPAND</w:t>
            </w:r>
          </w:p>
        </w:tc>
        <w:tc>
          <w:tcPr>
            <w:tcW w:type="dxa" w:w="8712"/>
            <w:vAlign w:val="center"/>
            <w:tcMar>
              <w:top w:w="90" w:type="dxa"/>
              <w:bottom w:w="90" w:type="dxa"/>
              <w:left w:w="110" w:type="dxa"/>
              <w:right w:w="110" w:type="dxa"/>
            </w:tcMar>
          </w:tcPr>
          <w:p>
            <w:pPr>
              <w:spacing w:after="20" w:line="245" w:lineRule="auto"/>
            </w:pPr>
            <w:r>
              <w:rPr>
                <w:b w:val="0"/>
                <w:sz w:val="18"/>
              </w:rPr>
              <w:t>Capture, private connected knowledge, AI Teams/MCP and optional video showcase are expansion specifications. Read-only integrations first; external writes require explicit approved authority.</w:t>
            </w:r>
          </w:p>
        </w:tc>
      </w:tr>
      <w:tr>
        <w:trPr>
          <w:cantSplit/>
        </w:trPr>
        <w:tc>
          <w:tcPr>
            <w:tcW w:type="dxa" w:w="1512"/>
            <w:vAlign w:val="center"/>
            <w:tcMar>
              <w:top w:w="90" w:type="dxa"/>
              <w:bottom w:w="90" w:type="dxa"/>
              <w:left w:w="110" w:type="dxa"/>
              <w:right w:w="110" w:type="dxa"/>
            </w:tcMar>
          </w:tcPr>
          <w:p>
            <w:pPr>
              <w:spacing w:after="20" w:line="245" w:lineRule="auto"/>
            </w:pPr>
            <w:r>
              <w:rPr>
                <w:b w:val="0"/>
                <w:sz w:val="18"/>
              </w:rPr>
              <w:t>C-33</w:t>
            </w:r>
          </w:p>
        </w:tc>
        <w:tc>
          <w:tcPr>
            <w:tcW w:type="dxa" w:w="8712"/>
            <w:vAlign w:val="center"/>
            <w:tcMar>
              <w:top w:w="90" w:type="dxa"/>
              <w:bottom w:w="90" w:type="dxa"/>
              <w:left w:w="110" w:type="dxa"/>
              <w:right w:w="110" w:type="dxa"/>
            </w:tcMar>
          </w:tcPr>
          <w:p>
            <w:pPr>
              <w:spacing w:after="20" w:line="245" w:lineRule="auto"/>
            </w:pPr>
            <w:r>
              <w:rPr>
                <w:b w:val="0"/>
                <w:sz w:val="18"/>
              </w:rPr>
              <w:t>Measure time organizing/delegating and completed profitable engagements. Use existing attorneys/freelancers for validation. Activation definitions, numeric gates and experiment sample sizes remain R.</w:t>
            </w:r>
          </w:p>
        </w:tc>
      </w:tr>
    </w:tbl>
    <w:p>
      <w:pPr>
        <w:spacing w:after="20"/>
      </w:pPr>
    </w:p>
    <w:p>
      <w:r>
        <w:rPr>
          <w:b w:val="0"/>
        </w:rPr>
      </w:r>
      <w:r>
        <w:rPr>
          <w:b/>
        </w:rPr>
        <w:t>Deferred without a promise:</w:t>
      </w:r>
      <w:r>
        <w:rPr>
          <w:b w:val="0"/>
        </w:rPr>
        <w:t xml:space="preserve"> international market entry, hourly billing, unlimited autonomous hiring, live avatar interviews, insurance-like protection, court selection/document drafting, and unrestricted third-party agent publishing. Preserve extension points where economical; do not implement speculative systems in Phase 1.</w:t>
      </w:r>
    </w:p>
    <w:p>
      <w:r>
        <w:br w:type="page"/>
      </w:r>
    </w:p>
    <w:p>
      <w:pPr>
        <w:pStyle w:val="Heading1"/>
      </w:pPr>
      <w:r>
        <w:t>6. Open decisions and blocking dependencies</w:t>
      </w:r>
    </w:p>
    <w:tbl>
      <w:tblPr>
        <w:tblW w:type="auto" w:w="0"/>
        <w:jc w:val="center"/>
        <w:tblLayout w:type="fixed"/>
        <w:tblLook w:firstColumn="1" w:firstRow="1" w:lastColumn="0" w:lastRow="0" w:noHBand="0" w:noVBand="1" w:val="04A0"/>
      </w:tblPr>
      <w:tblGrid>
        <w:gridCol w:w="2088"/>
        <w:gridCol w:w="5256"/>
        <w:gridCol w:w="2880"/>
      </w:tblGrid>
      <w:tr>
        <w:trPr>
          <w:tblHeader/>
          <w:cantSplit/>
        </w:trPr>
        <w:tc>
          <w:tcPr>
            <w:tcW w:type="dxa" w:w="2088"/>
            <w:vAlign w:val="center"/>
            <w:tcMar>
              <w:top w:w="90" w:type="dxa"/>
              <w:bottom w:w="90" w:type="dxa"/>
              <w:left w:w="110" w:type="dxa"/>
              <w:right w:w="110" w:type="dxa"/>
            </w:tcMar>
            <w:shd w:fill="8B1F3F"/>
          </w:tcPr>
          <w:p>
            <w:pPr>
              <w:spacing w:after="20" w:line="245" w:lineRule="auto"/>
            </w:pPr>
            <w:r>
              <w:rPr>
                <w:b/>
                <w:color w:val="FFFFFF"/>
                <w:sz w:val="18"/>
              </w:rPr>
              <w:t>ID / owner</w:t>
            </w:r>
          </w:p>
        </w:tc>
        <w:tc>
          <w:tcPr>
            <w:tcW w:type="dxa" w:w="5256"/>
            <w:vAlign w:val="center"/>
            <w:tcMar>
              <w:top w:w="90" w:type="dxa"/>
              <w:bottom w:w="90" w:type="dxa"/>
              <w:left w:w="110" w:type="dxa"/>
              <w:right w:w="110" w:type="dxa"/>
            </w:tcMar>
            <w:shd w:fill="8B1F3F"/>
          </w:tcPr>
          <w:p>
            <w:pPr>
              <w:spacing w:after="20" w:line="245" w:lineRule="auto"/>
            </w:pPr>
            <w:r>
              <w:rPr>
                <w:b/>
                <w:color w:val="FFFFFF"/>
                <w:sz w:val="18"/>
              </w:rPr>
              <w:t>Unresolved item</w:t>
            </w:r>
          </w:p>
        </w:tc>
        <w:tc>
          <w:tcPr>
            <w:tcW w:type="dxa" w:w="2880"/>
            <w:vAlign w:val="center"/>
            <w:tcMar>
              <w:top w:w="90" w:type="dxa"/>
              <w:bottom w:w="90" w:type="dxa"/>
              <w:left w:w="110" w:type="dxa"/>
              <w:right w:w="110" w:type="dxa"/>
            </w:tcMar>
            <w:shd w:fill="8B1F3F"/>
          </w:tcPr>
          <w:p>
            <w:pPr>
              <w:spacing w:after="20" w:line="245" w:lineRule="auto"/>
            </w:pPr>
            <w:r>
              <w:rPr>
                <w:b/>
                <w:color w:val="FFFFFF"/>
                <w:sz w:val="18"/>
              </w:rPr>
              <w:t>Blocks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O-01 Product + Finance</w:t>
            </w:r>
          </w:p>
        </w:tc>
        <w:tc>
          <w:tcPr>
            <w:tcW w:type="dxa" w:w="5256"/>
            <w:vAlign w:val="center"/>
            <w:tcMar>
              <w:top w:w="90" w:type="dxa"/>
              <w:bottom w:w="90" w:type="dxa"/>
              <w:left w:w="110" w:type="dxa"/>
              <w:right w:w="110" w:type="dxa"/>
            </w:tcMar>
          </w:tcPr>
          <w:p>
            <w:pPr>
              <w:spacing w:after="20" w:line="245" w:lineRule="auto"/>
            </w:pPr>
            <w:r>
              <w:rPr>
                <w:b w:val="0"/>
                <w:sz w:val="18"/>
              </w:rPr>
              <w:t>Final tier prices; AI/export/capture/connection limits; seat pools; trial length/start; top-tier exhaustion; annual terms.</w:t>
            </w:r>
          </w:p>
        </w:tc>
        <w:tc>
          <w:tcPr>
            <w:tcW w:type="dxa" w:w="2880"/>
            <w:vAlign w:val="center"/>
            <w:tcMar>
              <w:top w:w="90" w:type="dxa"/>
              <w:bottom w:w="90" w:type="dxa"/>
              <w:left w:w="110" w:type="dxa"/>
              <w:right w:w="110" w:type="dxa"/>
            </w:tcMar>
          </w:tcPr>
          <w:p>
            <w:pPr>
              <w:spacing w:after="20" w:line="245" w:lineRule="auto"/>
            </w:pPr>
            <w:r>
              <w:rPr>
                <w:b w:val="0"/>
                <w:sz w:val="18"/>
              </w:rPr>
              <w:t>Charging subscriptions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O-02 Product + Counsel</w:t>
            </w:r>
          </w:p>
        </w:tc>
        <w:tc>
          <w:tcPr>
            <w:tcW w:type="dxa" w:w="5256"/>
            <w:vAlign w:val="center"/>
            <w:tcMar>
              <w:top w:w="90" w:type="dxa"/>
              <w:bottom w:w="90" w:type="dxa"/>
              <w:left w:w="110" w:type="dxa"/>
              <w:right w:w="110" w:type="dxa"/>
            </w:tcMar>
          </w:tcPr>
          <w:p>
            <w:pPr>
              <w:spacing w:after="20" w:line="245" w:lineRule="auto"/>
            </w:pPr>
            <w:r>
              <w:rPr>
                <w:b w:val="0"/>
                <w:sz w:val="18"/>
              </w:rPr>
              <w:t>Minimum project, maximum duration, maximum unaccepted-funds duration; cancellation allocations and earned platform fees.</w:t>
            </w:r>
          </w:p>
        </w:tc>
        <w:tc>
          <w:tcPr>
            <w:tcW w:type="dxa" w:w="2880"/>
            <w:vAlign w:val="center"/>
            <w:tcMar>
              <w:top w:w="90" w:type="dxa"/>
              <w:bottom w:w="90" w:type="dxa"/>
              <w:left w:w="110" w:type="dxa"/>
              <w:right w:w="110" w:type="dxa"/>
            </w:tcMar>
          </w:tcPr>
          <w:p>
            <w:pPr>
              <w:spacing w:after="20" w:line="245" w:lineRule="auto"/>
            </w:pPr>
            <w:r>
              <w:rPr>
                <w:b w:val="0"/>
                <w:sz w:val="18"/>
              </w:rPr>
              <w:t>$250/90-day limits and live engagement charges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O-03 Payments + Counsel</w:t>
            </w:r>
          </w:p>
        </w:tc>
        <w:tc>
          <w:tcPr>
            <w:tcW w:type="dxa" w:w="5256"/>
            <w:vAlign w:val="center"/>
            <w:tcMar>
              <w:top w:w="90" w:type="dxa"/>
              <w:bottom w:w="90" w:type="dxa"/>
              <w:left w:w="110" w:type="dxa"/>
              <w:right w:w="110" w:type="dxa"/>
            </w:tcMar>
          </w:tcPr>
          <w:p>
            <w:pPr>
              <w:spacing w:after="20" w:line="245" w:lineRule="auto"/>
            </w:pPr>
            <w:r>
              <w:rPr>
                <w:b w:val="0"/>
                <w:sz w:val="18"/>
              </w:rPr>
              <w:t>Charge model, Connect liability, processor permissions, methods, reserve, refund/recovery rules; pre-funded conditional release classification.</w:t>
            </w:r>
          </w:p>
        </w:tc>
        <w:tc>
          <w:tcPr>
            <w:tcW w:type="dxa" w:w="2880"/>
            <w:vAlign w:val="center"/>
            <w:tcMar>
              <w:top w:w="90" w:type="dxa"/>
              <w:bottom w:w="90" w:type="dxa"/>
              <w:left w:w="110" w:type="dxa"/>
              <w:right w:w="110" w:type="dxa"/>
            </w:tcMar>
          </w:tcPr>
          <w:p>
            <w:pPr>
              <w:spacing w:after="20" w:line="245" w:lineRule="auto"/>
            </w:pPr>
            <w:r>
              <w:rPr>
                <w:b w:val="0"/>
                <w:sz w:val="18"/>
              </w:rPr>
              <w:t>Live money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O-04 Product + Counsel</w:t>
            </w:r>
          </w:p>
        </w:tc>
        <w:tc>
          <w:tcPr>
            <w:tcW w:type="dxa" w:w="5256"/>
            <w:vAlign w:val="center"/>
            <w:tcMar>
              <w:top w:w="90" w:type="dxa"/>
              <w:bottom w:w="90" w:type="dxa"/>
              <w:left w:w="110" w:type="dxa"/>
              <w:right w:w="110" w:type="dxa"/>
            </w:tcMar>
          </w:tcPr>
          <w:p>
            <w:pPr>
              <w:spacing w:after="20" w:line="245" w:lineRule="auto"/>
            </w:pPr>
            <w:r>
              <w:rPr>
                <w:b w:val="0"/>
                <w:sz w:val="18"/>
              </w:rPr>
              <w:t>Review clock start, notice delivery standard, resubmission/reset rules, human-review service level and costs; recurring acceptance units.</w:t>
            </w:r>
          </w:p>
        </w:tc>
        <w:tc>
          <w:tcPr>
            <w:tcW w:type="dxa" w:w="2880"/>
            <w:vAlign w:val="center"/>
            <w:tcMar>
              <w:top w:w="90" w:type="dxa"/>
              <w:bottom w:w="90" w:type="dxa"/>
              <w:left w:w="110" w:type="dxa"/>
              <w:right w:w="110" w:type="dxa"/>
            </w:tcMar>
          </w:tcPr>
          <w:p>
            <w:pPr>
              <w:spacing w:after="20" w:line="245" w:lineRule="auto"/>
            </w:pPr>
            <w:r>
              <w:rPr>
                <w:b w:val="0"/>
                <w:sz w:val="18"/>
              </w:rPr>
              <w:t>Automatic acceptance/release</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O-05 Product + Security</w:t>
            </w:r>
          </w:p>
        </w:tc>
        <w:tc>
          <w:tcPr>
            <w:tcW w:type="dxa" w:w="5256"/>
            <w:vAlign w:val="center"/>
            <w:tcMar>
              <w:top w:w="90" w:type="dxa"/>
              <w:bottom w:w="90" w:type="dxa"/>
              <w:left w:w="110" w:type="dxa"/>
              <w:right w:w="110" w:type="dxa"/>
            </w:tcMar>
          </w:tcPr>
          <w:p>
            <w:pPr>
              <w:spacing w:after="20" w:line="245" w:lineRule="auto"/>
            </w:pPr>
            <w:r>
              <w:rPr>
                <w:b w:val="0"/>
                <w:sz w:val="18"/>
              </w:rPr>
              <w:t>Standing arrangement scope, spend/capacity limits, expiry, material-change definition; approver separation.</w:t>
            </w:r>
          </w:p>
        </w:tc>
        <w:tc>
          <w:tcPr>
            <w:tcW w:type="dxa" w:w="2880"/>
            <w:vAlign w:val="center"/>
            <w:tcMar>
              <w:top w:w="90" w:type="dxa"/>
              <w:bottom w:w="90" w:type="dxa"/>
              <w:left w:w="110" w:type="dxa"/>
              <w:right w:w="110" w:type="dxa"/>
            </w:tcMar>
          </w:tcPr>
          <w:p>
            <w:pPr>
              <w:spacing w:after="20" w:line="245" w:lineRule="auto"/>
            </w:pPr>
            <w:r>
              <w:rPr>
                <w:b w:val="0"/>
                <w:sz w:val="18"/>
              </w:rPr>
              <w:t>Automatic hiring</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O-06 Counsel</w:t>
            </w:r>
          </w:p>
        </w:tc>
        <w:tc>
          <w:tcPr>
            <w:tcW w:type="dxa" w:w="5256"/>
            <w:vAlign w:val="center"/>
            <w:tcMar>
              <w:top w:w="90" w:type="dxa"/>
              <w:bottom w:w="90" w:type="dxa"/>
              <w:left w:w="110" w:type="dxa"/>
              <w:right w:w="110" w:type="dxa"/>
            </w:tcMar>
          </w:tcPr>
          <w:p>
            <w:pPr>
              <w:spacing w:after="20" w:line="245" w:lineRule="auto"/>
            </w:pPr>
            <w:r>
              <w:rPr>
                <w:b w:val="0"/>
                <w:sz w:val="18"/>
              </w:rPr>
              <w:t>Arbitration fallback, cost allocation, consent, lawful forum terms, notices, retention, account restrictions and recovery disclosure.</w:t>
            </w:r>
          </w:p>
        </w:tc>
        <w:tc>
          <w:tcPr>
            <w:tcW w:type="dxa" w:w="2880"/>
            <w:vAlign w:val="center"/>
            <w:tcMar>
              <w:top w:w="90" w:type="dxa"/>
              <w:bottom w:w="90" w:type="dxa"/>
              <w:left w:w="110" w:type="dxa"/>
              <w:right w:w="110" w:type="dxa"/>
            </w:tcMar>
          </w:tcPr>
          <w:p>
            <w:pPr>
              <w:spacing w:after="20" w:line="245" w:lineRule="auto"/>
            </w:pPr>
            <w:r>
              <w:rPr>
                <w:b w:val="0"/>
                <w:sz w:val="18"/>
              </w:rPr>
              <w:t>Signed live contracts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O-07 Security + Counsel</w:t>
            </w:r>
          </w:p>
        </w:tc>
        <w:tc>
          <w:tcPr>
            <w:tcW w:type="dxa" w:w="5256"/>
            <w:vAlign w:val="center"/>
            <w:tcMar>
              <w:top w:w="90" w:type="dxa"/>
              <w:bottom w:w="90" w:type="dxa"/>
              <w:left w:w="110" w:type="dxa"/>
              <w:right w:w="110" w:type="dxa"/>
            </w:tcMar>
          </w:tcPr>
          <w:p>
            <w:pPr>
              <w:spacing w:after="20" w:line="245" w:lineRule="auto"/>
            </w:pPr>
            <w:r>
              <w:rPr>
                <w:b w:val="0"/>
                <w:sz w:val="18"/>
              </w:rPr>
              <w:t>Permitted initial data; confidential-data handling gate; retention durations; subprocessors/BYOK; incident duty owners.</w:t>
            </w:r>
          </w:p>
        </w:tc>
        <w:tc>
          <w:tcPr>
            <w:tcW w:type="dxa" w:w="2880"/>
            <w:vAlign w:val="center"/>
            <w:tcMar>
              <w:top w:w="90" w:type="dxa"/>
              <w:bottom w:w="90" w:type="dxa"/>
              <w:left w:w="110" w:type="dxa"/>
              <w:right w:w="110" w:type="dxa"/>
            </w:tcMar>
          </w:tcPr>
          <w:p>
            <w:pPr>
              <w:spacing w:after="20" w:line="245" w:lineRule="auto"/>
            </w:pPr>
            <w:r>
              <w:rPr>
                <w:b w:val="0"/>
                <w:sz w:val="18"/>
              </w:rPr>
              <w:t>Sensitive data and captures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O-08 Product</w:t>
            </w:r>
          </w:p>
        </w:tc>
        <w:tc>
          <w:tcPr>
            <w:tcW w:type="dxa" w:w="5256"/>
            <w:vAlign w:val="center"/>
            <w:tcMar>
              <w:top w:w="90" w:type="dxa"/>
              <w:bottom w:w="90" w:type="dxa"/>
              <w:left w:w="110" w:type="dxa"/>
              <w:right w:w="110" w:type="dxa"/>
            </w:tcMar>
          </w:tcPr>
          <w:p>
            <w:pPr>
              <w:spacing w:after="20" w:line="245" w:lineRule="auto"/>
            </w:pPr>
            <w:r>
              <w:rPr>
                <w:b w:val="0"/>
                <w:sz w:val="18"/>
              </w:rPr>
              <w:t>Attended-meeting proof; export unlock limits, cancellation effects and internal collaboration license.</w:t>
            </w:r>
          </w:p>
        </w:tc>
        <w:tc>
          <w:tcPr>
            <w:tcW w:type="dxa" w:w="2880"/>
            <w:vAlign w:val="center"/>
            <w:tcMar>
              <w:top w:w="90" w:type="dxa"/>
              <w:bottom w:w="90" w:type="dxa"/>
              <w:left w:w="110" w:type="dxa"/>
              <w:right w:w="110" w:type="dxa"/>
            </w:tcMar>
          </w:tcPr>
          <w:p>
            <w:pPr>
              <w:spacing w:after="20" w:line="245" w:lineRule="auto"/>
            </w:pPr>
            <w:r>
              <w:rPr>
                <w:b w:val="0"/>
                <w:sz w:val="18"/>
              </w:rPr>
              <w:t>Promotional export grant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O-09 Engineering + Product</w:t>
            </w:r>
          </w:p>
        </w:tc>
        <w:tc>
          <w:tcPr>
            <w:tcW w:type="dxa" w:w="5256"/>
            <w:vAlign w:val="center"/>
            <w:tcMar>
              <w:top w:w="90" w:type="dxa"/>
              <w:bottom w:w="90" w:type="dxa"/>
              <w:left w:w="110" w:type="dxa"/>
              <w:right w:w="110" w:type="dxa"/>
            </w:tcMar>
          </w:tcPr>
          <w:p>
            <w:pPr>
              <w:spacing w:after="20" w:line="245" w:lineRule="auto"/>
            </w:pPr>
            <w:r>
              <w:rPr>
                <w:b w:val="0"/>
                <w:sz w:val="18"/>
              </w:rPr>
              <w:t>BD identity/subaccount capabilities, native review/message reuse and billing authority; source inventory.</w:t>
            </w:r>
          </w:p>
        </w:tc>
        <w:tc>
          <w:tcPr>
            <w:tcW w:type="dxa" w:w="2880"/>
            <w:vAlign w:val="center"/>
            <w:tcMar>
              <w:top w:w="90" w:type="dxa"/>
              <w:bottom w:w="90" w:type="dxa"/>
              <w:left w:w="110" w:type="dxa"/>
              <w:right w:w="110" w:type="dxa"/>
            </w:tcMar>
          </w:tcPr>
          <w:p>
            <w:pPr>
              <w:spacing w:after="20" w:line="245" w:lineRule="auto"/>
            </w:pPr>
            <w:r>
              <w:rPr>
                <w:b w:val="0"/>
                <w:sz w:val="18"/>
              </w:rPr>
              <w:t>Integration implementation</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O-10 Product</w:t>
            </w:r>
          </w:p>
        </w:tc>
        <w:tc>
          <w:tcPr>
            <w:tcW w:type="dxa" w:w="5256"/>
            <w:vAlign w:val="center"/>
            <w:tcMar>
              <w:top w:w="90" w:type="dxa"/>
              <w:bottom w:w="90" w:type="dxa"/>
              <w:left w:w="110" w:type="dxa"/>
              <w:right w:w="110" w:type="dxa"/>
            </w:tcMar>
          </w:tcPr>
          <w:p>
            <w:pPr>
              <w:spacing w:after="20" w:line="245" w:lineRule="auto"/>
            </w:pPr>
            <w:r>
              <w:rPr>
                <w:b w:val="0"/>
                <w:sz w:val="18"/>
              </w:rPr>
              <w:t>Invited proposal quota exemptions, withdrawal/refund rules, interval/reset timezone, gig extension reminders and price changes.</w:t>
            </w:r>
          </w:p>
        </w:tc>
        <w:tc>
          <w:tcPr>
            <w:tcW w:type="dxa" w:w="2880"/>
            <w:vAlign w:val="center"/>
            <w:tcMar>
              <w:top w:w="90" w:type="dxa"/>
              <w:bottom w:w="90" w:type="dxa"/>
              <w:left w:w="110" w:type="dxa"/>
              <w:right w:w="110" w:type="dxa"/>
            </w:tcMar>
          </w:tcPr>
          <w:p>
            <w:pPr>
              <w:spacing w:after="20" w:line="245" w:lineRule="auto"/>
            </w:pPr>
            <w:r>
              <w:rPr>
                <w:b w:val="0"/>
                <w:sz w:val="18"/>
              </w:rPr>
              <w:t>Quota edge behavior</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O-11 Operations</w:t>
            </w:r>
          </w:p>
        </w:tc>
        <w:tc>
          <w:tcPr>
            <w:tcW w:type="dxa" w:w="5256"/>
            <w:vAlign w:val="center"/>
            <w:tcMar>
              <w:top w:w="90" w:type="dxa"/>
              <w:bottom w:w="90" w:type="dxa"/>
              <w:left w:w="110" w:type="dxa"/>
              <w:right w:w="110" w:type="dxa"/>
            </w:tcMar>
          </w:tcPr>
          <w:p>
            <w:pPr>
              <w:spacing w:after="20" w:line="245" w:lineRule="auto"/>
            </w:pPr>
            <w:r>
              <w:rPr>
                <w:b w:val="0"/>
                <w:sz w:val="18"/>
              </w:rPr>
              <w:t>Named incident backup, response coverage, human reviewers and appeal turnaround.</w:t>
            </w:r>
          </w:p>
        </w:tc>
        <w:tc>
          <w:tcPr>
            <w:tcW w:type="dxa" w:w="2880"/>
            <w:vAlign w:val="center"/>
            <w:tcMar>
              <w:top w:w="90" w:type="dxa"/>
              <w:bottom w:w="90" w:type="dxa"/>
              <w:left w:w="110" w:type="dxa"/>
              <w:right w:w="110" w:type="dxa"/>
            </w:tcMar>
          </w:tcPr>
          <w:p>
            <w:pPr>
              <w:spacing w:after="20" w:line="245" w:lineRule="auto"/>
            </w:pPr>
            <w:r>
              <w:rPr>
                <w:b w:val="0"/>
                <w:sz w:val="18"/>
              </w:rPr>
              <w:t>Broad live transactions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O-12 Product</w:t>
            </w:r>
          </w:p>
        </w:tc>
        <w:tc>
          <w:tcPr>
            <w:tcW w:type="dxa" w:w="5256"/>
            <w:vAlign w:val="center"/>
            <w:tcMar>
              <w:top w:w="90" w:type="dxa"/>
              <w:bottom w:w="90" w:type="dxa"/>
              <w:left w:w="110" w:type="dxa"/>
              <w:right w:w="110" w:type="dxa"/>
            </w:tcMar>
          </w:tcPr>
          <w:p>
            <w:pPr>
              <w:spacing w:after="20" w:line="245" w:lineRule="auto"/>
            </w:pPr>
            <w:r>
              <w:rPr>
                <w:b w:val="0"/>
                <w:sz w:val="18"/>
              </w:rPr>
              <w:t>Paid calendars in first major release vs all external connectors after 1A; one coherent launch promise.</w:t>
            </w:r>
          </w:p>
        </w:tc>
        <w:tc>
          <w:tcPr>
            <w:tcW w:type="dxa" w:w="2880"/>
            <w:vAlign w:val="center"/>
            <w:tcMar>
              <w:top w:w="90" w:type="dxa"/>
              <w:bottom w:w="90" w:type="dxa"/>
              <w:left w:w="110" w:type="dxa"/>
              <w:right w:w="110" w:type="dxa"/>
            </w:tcMar>
          </w:tcPr>
          <w:p>
            <w:pPr>
              <w:spacing w:after="20" w:line="245" w:lineRule="auto"/>
            </w:pPr>
            <w:r>
              <w:rPr>
                <w:b w:val="0"/>
                <w:sz w:val="18"/>
              </w:rPr>
              <w:t>Published plan commitments</w:t>
            </w:r>
          </w:p>
        </w:tc>
      </w:tr>
    </w:tbl>
    <w:p>
      <w:pPr>
        <w:spacing w:after="20"/>
      </w:pPr>
    </w:p>
    <w:p>
      <w:pPr>
        <w:spacing w:before="80" w:after="180"/>
        <w:shd w:fill="F7ECE7"/>
      </w:pPr>
      <w:r>
        <w:rPr>
          <w:b w:val="0"/>
        </w:rPr>
      </w:r>
      <w:r>
        <w:rPr>
          <w:b/>
        </w:rPr>
        <w:t>Safe default</w:t>
      </w:r>
      <w:r>
        <w:rPr>
          <w:b w:val="0"/>
        </w:rPr>
        <w:t xml:space="preserve">  Build a disabled capability or a clear pending state when a dependency is open. Do not choose a commercial, legal or security policy silently. Nonblocking modules may proceed only after separate implementation authorization.</w:t>
      </w:r>
    </w:p>
    <w:p>
      <w:r>
        <w:br w:type="page"/>
      </w:r>
    </w:p>
    <w:p>
      <w:pPr>
        <w:pStyle w:val="Heading1"/>
      </w:pPr>
      <w:r>
        <w:t>7. Evidence-driven advancement</w:t>
      </w:r>
    </w:p>
    <w:p>
      <w:r>
        <w:rPr>
          <w:b w:val="0"/>
        </w:rPr>
        <w:t>No delivery schedule is imposed. A phase advances on release safety and observed member outcomes. Numeric thresholds below are proposed decision rules, not established benchmarks or forecasts. Freeze their definitions before measuring.</w:t>
      </w:r>
    </w:p>
    <w:tbl>
      <w:tblPr>
        <w:tblW w:type="auto" w:w="0"/>
        <w:jc w:val="center"/>
        <w:tblLayout w:type="fixed"/>
        <w:tblLook w:firstColumn="1" w:firstRow="1" w:lastColumn="0" w:lastRow="0" w:noHBand="0" w:noVBand="1" w:val="04A0"/>
      </w:tblPr>
      <w:tblGrid>
        <w:gridCol w:w="1656"/>
        <w:gridCol w:w="4320"/>
        <w:gridCol w:w="4248"/>
      </w:tblGrid>
      <w:tr>
        <w:trPr>
          <w:tblHeader/>
          <w:cantSplit/>
        </w:trPr>
        <w:tc>
          <w:tcPr>
            <w:tcW w:type="dxa" w:w="1656"/>
            <w:vAlign w:val="center"/>
            <w:tcMar>
              <w:top w:w="90" w:type="dxa"/>
              <w:bottom w:w="90" w:type="dxa"/>
              <w:left w:w="110" w:type="dxa"/>
              <w:right w:w="110" w:type="dxa"/>
            </w:tcMar>
            <w:shd w:fill="8B1F3F"/>
          </w:tcPr>
          <w:p>
            <w:pPr>
              <w:spacing w:after="20" w:line="245" w:lineRule="auto"/>
            </w:pPr>
            <w:r>
              <w:rPr>
                <w:b/>
                <w:color w:val="FFFFFF"/>
                <w:sz w:val="18"/>
              </w:rPr>
              <w:t>Stage</w:t>
            </w:r>
          </w:p>
        </w:tc>
        <w:tc>
          <w:tcPr>
            <w:tcW w:type="dxa" w:w="4320"/>
            <w:vAlign w:val="center"/>
            <w:tcMar>
              <w:top w:w="90" w:type="dxa"/>
              <w:bottom w:w="90" w:type="dxa"/>
              <w:left w:w="110" w:type="dxa"/>
              <w:right w:w="110" w:type="dxa"/>
            </w:tcMar>
            <w:shd w:fill="8B1F3F"/>
          </w:tcPr>
          <w:p>
            <w:pPr>
              <w:spacing w:after="20" w:line="245" w:lineRule="auto"/>
            </w:pPr>
            <w:r>
              <w:rPr>
                <w:b/>
                <w:color w:val="FFFFFF"/>
                <w:sz w:val="18"/>
              </w:rPr>
              <w:t>Evidence needed</w:t>
            </w:r>
          </w:p>
        </w:tc>
        <w:tc>
          <w:tcPr>
            <w:tcW w:type="dxa" w:w="4248"/>
            <w:vAlign w:val="center"/>
            <w:tcMar>
              <w:top w:w="90" w:type="dxa"/>
              <w:bottom w:w="90" w:type="dxa"/>
              <w:left w:w="110" w:type="dxa"/>
              <w:right w:w="110" w:type="dxa"/>
            </w:tcMar>
            <w:shd w:fill="8B1F3F"/>
          </w:tcPr>
          <w:p>
            <w:pPr>
              <w:spacing w:after="20" w:line="245" w:lineRule="auto"/>
            </w:pPr>
            <w:r>
              <w:rPr>
                <w:b/>
                <w:color w:val="FFFFFF"/>
                <w:sz w:val="18"/>
              </w:rPr>
              <w:t>Advance / iterate / stop</w:t>
            </w:r>
          </w:p>
        </w:tc>
      </w:tr>
      <w:tr>
        <w:trPr>
          <w:cantSplit/>
        </w:trPr>
        <w:tc>
          <w:tcPr>
            <w:tcW w:type="dxa" w:w="1656"/>
            <w:vAlign w:val="center"/>
            <w:tcMar>
              <w:top w:w="90" w:type="dxa"/>
              <w:bottom w:w="90" w:type="dxa"/>
              <w:left w:w="110" w:type="dxa"/>
              <w:right w:w="110" w:type="dxa"/>
            </w:tcMar>
          </w:tcPr>
          <w:p>
            <w:pPr>
              <w:spacing w:after="20" w:line="245" w:lineRule="auto"/>
            </w:pPr>
            <w:r>
              <w:rPr>
                <w:b w:val="0"/>
                <w:sz w:val="18"/>
              </w:rPr>
              <w:t>1A core</w:t>
            </w:r>
          </w:p>
        </w:tc>
        <w:tc>
          <w:tcPr>
            <w:tcW w:type="dxa" w:w="4320"/>
            <w:vAlign w:val="center"/>
            <w:tcMar>
              <w:top w:w="90" w:type="dxa"/>
              <w:bottom w:w="90" w:type="dxa"/>
              <w:left w:w="110" w:type="dxa"/>
              <w:right w:w="110" w:type="dxa"/>
            </w:tcMar>
          </w:tcPr>
          <w:p>
            <w:pPr>
              <w:spacing w:after="20" w:line="245" w:lineRule="auto"/>
            </w:pPr>
            <w:r>
              <w:rPr>
                <w:b w:val="0"/>
                <w:sz w:val="18"/>
              </w:rPr>
              <w:t>Usable playbooks, qualified proposals, funding success, accepted paid work, repeat intent; matched manual preparation baseline.</w:t>
            </w:r>
          </w:p>
        </w:tc>
        <w:tc>
          <w:tcPr>
            <w:tcW w:type="dxa" w:w="4248"/>
            <w:vAlign w:val="center"/>
            <w:tcMar>
              <w:top w:w="90" w:type="dxa"/>
              <w:bottom w:w="90" w:type="dxa"/>
              <w:left w:w="110" w:type="dxa"/>
              <w:right w:w="110" w:type="dxa"/>
            </w:tcMar>
          </w:tcPr>
          <w:p>
            <w:pPr>
              <w:spacing w:after="20" w:line="245" w:lineRule="auto"/>
            </w:pPr>
            <w:r>
              <w:rPr>
                <w:b w:val="0"/>
                <w:sz w:val="18"/>
              </w:rPr>
              <w:t>Advance when the complete loop works with positive variable contribution. Iterate the weak conversion step. Hold live payment or sensitive-data capability on any blocking failure.</w:t>
            </w:r>
          </w:p>
        </w:tc>
      </w:tr>
      <w:tr>
        <w:trPr>
          <w:cantSplit/>
        </w:trPr>
        <w:tc>
          <w:tcPr>
            <w:tcW w:type="dxa" w:w="1656"/>
            <w:vAlign w:val="center"/>
            <w:tcMar>
              <w:top w:w="90" w:type="dxa"/>
              <w:bottom w:w="90" w:type="dxa"/>
              <w:left w:w="110" w:type="dxa"/>
              <w:right w:w="110" w:type="dxa"/>
            </w:tcMar>
          </w:tcPr>
          <w:p>
            <w:pPr>
              <w:spacing w:after="20" w:line="245" w:lineRule="auto"/>
            </w:pPr>
            <w:r>
              <w:rPr>
                <w:b w:val="0"/>
                <w:sz w:val="18"/>
              </w:rPr>
              <w:t>1B connected workflows</w:t>
            </w:r>
          </w:p>
        </w:tc>
        <w:tc>
          <w:tcPr>
            <w:tcW w:type="dxa" w:w="4320"/>
            <w:vAlign w:val="center"/>
            <w:tcMar>
              <w:top w:w="90" w:type="dxa"/>
              <w:bottom w:w="90" w:type="dxa"/>
              <w:left w:w="110" w:type="dxa"/>
              <w:right w:w="110" w:type="dxa"/>
            </w:tcMar>
          </w:tcPr>
          <w:p>
            <w:pPr>
              <w:spacing w:after="20" w:line="245" w:lineRule="auto"/>
            </w:pPr>
            <w:r>
              <w:rPr>
                <w:b w:val="0"/>
                <w:sz w:val="18"/>
              </w:rPr>
              <w:t>Capture-to-approved-playbook completion; recurring integration use; reduction in duplicated entry; revocation and leakage tests.</w:t>
            </w:r>
          </w:p>
        </w:tc>
        <w:tc>
          <w:tcPr>
            <w:tcW w:type="dxa" w:w="4248"/>
            <w:vAlign w:val="center"/>
            <w:tcMar>
              <w:top w:w="90" w:type="dxa"/>
              <w:bottom w:w="90" w:type="dxa"/>
              <w:left w:w="110" w:type="dxa"/>
              <w:right w:w="110" w:type="dxa"/>
            </w:tcMar>
          </w:tcPr>
          <w:p>
            <w:pPr>
              <w:spacing w:after="20" w:line="245" w:lineRule="auto"/>
            </w:pPr>
            <w:r>
              <w:rPr>
                <w:b w:val="0"/>
                <w:sz w:val="18"/>
              </w:rPr>
              <w:t>Advance when use increases valuable delegation/retention, not just synced records. Remove low-use connectors with disproportionate upkeep.</w:t>
            </w:r>
          </w:p>
        </w:tc>
      </w:tr>
      <w:tr>
        <w:trPr>
          <w:cantSplit/>
        </w:trPr>
        <w:tc>
          <w:tcPr>
            <w:tcW w:type="dxa" w:w="1656"/>
            <w:vAlign w:val="center"/>
            <w:tcMar>
              <w:top w:w="90" w:type="dxa"/>
              <w:bottom w:w="90" w:type="dxa"/>
              <w:left w:w="110" w:type="dxa"/>
              <w:right w:w="110" w:type="dxa"/>
            </w:tcMar>
          </w:tcPr>
          <w:p>
            <w:pPr>
              <w:spacing w:after="20" w:line="245" w:lineRule="auto"/>
            </w:pPr>
            <w:r>
              <w:rPr>
                <w:b w:val="0"/>
                <w:sz w:val="18"/>
              </w:rPr>
              <w:t>1C marketplace</w:t>
            </w:r>
          </w:p>
        </w:tc>
        <w:tc>
          <w:tcPr>
            <w:tcW w:type="dxa" w:w="4320"/>
            <w:vAlign w:val="center"/>
            <w:tcMar>
              <w:top w:w="90" w:type="dxa"/>
              <w:bottom w:w="90" w:type="dxa"/>
              <w:left w:w="110" w:type="dxa"/>
              <w:right w:w="110" w:type="dxa"/>
            </w:tcMar>
          </w:tcPr>
          <w:p>
            <w:pPr>
              <w:spacing w:after="20" w:line="245" w:lineRule="auto"/>
            </w:pPr>
            <w:r>
              <w:rPr>
                <w:b w:val="0"/>
                <w:sz w:val="18"/>
              </w:rPr>
              <w:t>Licensed high-quality listings, actual purchases/use, creator activation, refund/moderation cost and contribution.</w:t>
            </w:r>
          </w:p>
        </w:tc>
        <w:tc>
          <w:tcPr>
            <w:tcW w:type="dxa" w:w="4248"/>
            <w:vAlign w:val="center"/>
            <w:tcMar>
              <w:top w:w="90" w:type="dxa"/>
              <w:bottom w:w="90" w:type="dxa"/>
              <w:left w:w="110" w:type="dxa"/>
              <w:right w:w="110" w:type="dxa"/>
            </w:tcMar>
          </w:tcPr>
          <w:p>
            <w:pPr>
              <w:spacing w:after="20" w:line="245" w:lineRule="auto"/>
            </w:pPr>
            <w:r>
              <w:rPr>
                <w:b w:val="0"/>
                <w:sz w:val="18"/>
              </w:rPr>
              <w:t>Advance on useful content and sustainable contribution. Stop publishing categories with confidentiality/IP failures.</w:t>
            </w:r>
          </w:p>
        </w:tc>
      </w:tr>
      <w:tr>
        <w:trPr>
          <w:cantSplit/>
        </w:trPr>
        <w:tc>
          <w:tcPr>
            <w:tcW w:type="dxa" w:w="1656"/>
            <w:vAlign w:val="center"/>
            <w:tcMar>
              <w:top w:w="90" w:type="dxa"/>
              <w:bottom w:w="90" w:type="dxa"/>
              <w:left w:w="110" w:type="dxa"/>
              <w:right w:w="110" w:type="dxa"/>
            </w:tcMar>
          </w:tcPr>
          <w:p>
            <w:pPr>
              <w:spacing w:after="20" w:line="245" w:lineRule="auto"/>
            </w:pPr>
            <w:r>
              <w:rPr>
                <w:b w:val="0"/>
                <w:sz w:val="18"/>
              </w:rPr>
              <w:t>2 agents</w:t>
            </w:r>
          </w:p>
        </w:tc>
        <w:tc>
          <w:tcPr>
            <w:tcW w:type="dxa" w:w="4320"/>
            <w:vAlign w:val="center"/>
            <w:tcMar>
              <w:top w:w="90" w:type="dxa"/>
              <w:bottom w:w="90" w:type="dxa"/>
              <w:left w:w="110" w:type="dxa"/>
              <w:right w:w="110" w:type="dxa"/>
            </w:tcMar>
          </w:tcPr>
          <w:p>
            <w:pPr>
              <w:spacing w:after="20" w:line="245" w:lineRule="auto"/>
            </w:pPr>
            <w:r>
              <w:rPr>
                <w:b w:val="0"/>
                <w:sz w:val="18"/>
              </w:rPr>
              <w:t>Authorized goal completion, human edits/overrides, cost per accepted outcome, repeat engagements, safe recovery.</w:t>
            </w:r>
          </w:p>
        </w:tc>
        <w:tc>
          <w:tcPr>
            <w:tcW w:type="dxa" w:w="4248"/>
            <w:vAlign w:val="center"/>
            <w:tcMar>
              <w:top w:w="90" w:type="dxa"/>
              <w:bottom w:w="90" w:type="dxa"/>
              <w:left w:w="110" w:type="dxa"/>
              <w:right w:w="110" w:type="dxa"/>
            </w:tcMar>
          </w:tcPr>
          <w:p>
            <w:pPr>
              <w:spacing w:after="20" w:line="245" w:lineRule="auto"/>
            </w:pPr>
            <w:r>
              <w:rPr>
                <w:b w:val="0"/>
                <w:sz w:val="18"/>
              </w:rPr>
              <w:t>Expand specific capabilities that improve outcomes. Pause loops, unauthorized side effects or unexplained spending immediately.</w:t>
            </w:r>
          </w:p>
        </w:tc>
      </w:tr>
      <w:tr>
        <w:trPr>
          <w:cantSplit/>
        </w:trPr>
        <w:tc>
          <w:tcPr>
            <w:tcW w:type="dxa" w:w="1656"/>
            <w:vAlign w:val="center"/>
            <w:tcMar>
              <w:top w:w="90" w:type="dxa"/>
              <w:bottom w:w="90" w:type="dxa"/>
              <w:left w:w="110" w:type="dxa"/>
              <w:right w:w="110" w:type="dxa"/>
            </w:tcMar>
          </w:tcPr>
          <w:p>
            <w:pPr>
              <w:spacing w:after="20" w:line="245" w:lineRule="auto"/>
            </w:pPr>
            <w:r>
              <w:rPr>
                <w:b w:val="0"/>
                <w:sz w:val="18"/>
              </w:rPr>
              <w:t>3 scale / payments</w:t>
            </w:r>
          </w:p>
        </w:tc>
        <w:tc>
          <w:tcPr>
            <w:tcW w:type="dxa" w:w="4320"/>
            <w:vAlign w:val="center"/>
            <w:tcMar>
              <w:top w:w="90" w:type="dxa"/>
              <w:bottom w:w="90" w:type="dxa"/>
              <w:left w:w="110" w:type="dxa"/>
              <w:right w:w="110" w:type="dxa"/>
            </w:tcMar>
          </w:tcPr>
          <w:p>
            <w:pPr>
              <w:spacing w:after="20" w:line="245" w:lineRule="auto"/>
            </w:pPr>
            <w:r>
              <w:rPr>
                <w:b w:val="0"/>
                <w:sz w:val="18"/>
              </w:rPr>
              <w:t>Mature cohorts, cash-risk stress tests, reliability/restore evidence, provider/regulatory diligence and expected migration return.</w:t>
            </w:r>
          </w:p>
        </w:tc>
        <w:tc>
          <w:tcPr>
            <w:tcW w:type="dxa" w:w="4248"/>
            <w:vAlign w:val="center"/>
            <w:tcMar>
              <w:top w:w="90" w:type="dxa"/>
              <w:bottom w:w="90" w:type="dxa"/>
              <w:left w:w="110" w:type="dxa"/>
              <w:right w:w="110" w:type="dxa"/>
            </w:tcMar>
          </w:tcPr>
          <w:p>
            <w:pPr>
              <w:spacing w:after="20" w:line="245" w:lineRule="auto"/>
            </w:pPr>
            <w:r>
              <w:rPr>
                <w:b w:val="0"/>
                <w:sz w:val="18"/>
              </w:rPr>
              <w:t>Scale demand, supply and infrastructure separately. No mandatory escrow migration or coverage launch.</w:t>
            </w:r>
          </w:p>
        </w:tc>
      </w:tr>
    </w:tbl>
    <w:p>
      <w:pPr>
        <w:spacing w:after="20"/>
      </w:pPr>
    </w:p>
    <w:p>
      <w:r>
        <w:rPr>
          <w:b w:val="0"/>
        </w:rPr>
      </w:r>
      <w:r>
        <w:rPr>
          <w:b/>
        </w:rPr>
        <w:t>Metrics discipline:</w:t>
      </w:r>
      <w:r>
        <w:rPr>
          <w:b w:val="0"/>
        </w:rPr>
        <w:t xml:space="preserve"> Separate product activation (usable playbook for a real task), commercial conversion (first funded engagement) and realized outcome (accepted completed work with reconciled payment). Recurring freelancer-service volume is not Lawfecta subscription MRR. A bank payout is not the same as a transfer.</w:t>
      </w:r>
    </w:p>
    <w:p>
      <w:r>
        <w:rPr>
          <w:b w:val="0"/>
        </w:rPr>
      </w:r>
      <w:r>
        <w:rPr>
          <w:b/>
        </w:rPr>
        <w:t>Sample discipline:</w:t>
      </w:r>
      <w:r>
        <w:rPr>
          <w:b w:val="0"/>
        </w:rPr>
        <w:t xml:space="preserve"> Report raw counts and cohort age beside every rate. Start with directional outcomes from existing members; do not claim causal impact from self-selected BYOK or paid users. Randomize eligible nudges where feasible and use staged safety exposure without restricting marketplace participation to an arbitrary small cohort.</w:t>
      </w:r>
    </w:p>
    <w:p>
      <w:r>
        <w:rPr>
          <w:b w:val="0"/>
        </w:rPr>
        <w:t>The primary customer measure is net time spent organizing and coordinating delegation. Include editing, supervision, rework and support. Do not convert time saved directly into billed or collected revenue, and do not publish a 3x capacity claim without evidence.</w:t>
      </w:r>
    </w:p>
    <w:p>
      <w:r>
        <w:br w:type="page"/>
      </w:r>
    </w:p>
    <w:p>
      <w:pPr>
        <w:pStyle w:val="Heading1"/>
      </w:pPr>
      <w:r>
        <w:t>8. Governance and handoff rules</w:t>
      </w:r>
    </w:p>
    <w:p>
      <w:pPr>
        <w:pStyle w:val="ListBullet"/>
      </w:pPr>
      <w:r>
        <w:rPr>
          <w:b w:val="0"/>
        </w:rPr>
      </w:r>
      <w:r>
        <w:rPr>
          <w:b/>
        </w:rPr>
        <w:t>Product owner:</w:t>
      </w:r>
      <w:r>
        <w:rPr>
          <w:b w:val="0"/>
        </w:rPr>
        <w:t xml:space="preserve"> Approves scope, commercial policies and UX. Owns resolution of O items.</w:t>
      </w:r>
    </w:p>
    <w:p>
      <w:pPr>
        <w:pStyle w:val="ListBullet"/>
      </w:pPr>
      <w:r>
        <w:rPr>
          <w:b w:val="0"/>
        </w:rPr>
      </w:r>
      <w:r>
        <w:rPr>
          <w:b/>
        </w:rPr>
        <w:t>Technical lead:</w:t>
      </w:r>
      <w:r>
        <w:rPr>
          <w:b w:val="0"/>
        </w:rPr>
        <w:t xml:space="preserve"> Verifies provider contracts/endpoints, architecture, migration and test evidence.</w:t>
      </w:r>
    </w:p>
    <w:p>
      <w:pPr>
        <w:pStyle w:val="ListBullet"/>
      </w:pPr>
      <w:r>
        <w:rPr>
          <w:b w:val="0"/>
        </w:rPr>
      </w:r>
      <w:r>
        <w:rPr>
          <w:b/>
        </w:rPr>
        <w:t>Security owner:</w:t>
      </w:r>
      <w:r>
        <w:rPr>
          <w:b w:val="0"/>
        </w:rPr>
        <w:t xml:space="preserve"> Approves threat model, credential handling, isolation, retention and incident readiness.</w:t>
      </w:r>
    </w:p>
    <w:p>
      <w:pPr>
        <w:pStyle w:val="ListBullet"/>
      </w:pPr>
      <w:r>
        <w:rPr>
          <w:b w:val="0"/>
        </w:rPr>
      </w:r>
      <w:r>
        <w:rPr>
          <w:b/>
        </w:rPr>
        <w:t>Finance/payments owner:</w:t>
      </w:r>
      <w:r>
        <w:rPr>
          <w:b w:val="0"/>
        </w:rPr>
        <w:t xml:space="preserve"> Signs off reconciliations, reserves, pricing, tax responsibilities and chargeback exposure.</w:t>
      </w:r>
    </w:p>
    <w:p>
      <w:pPr>
        <w:pStyle w:val="ListBullet"/>
      </w:pPr>
      <w:r>
        <w:rPr>
          <w:b w:val="0"/>
        </w:rPr>
      </w:r>
      <w:r>
        <w:rPr>
          <w:b/>
        </w:rPr>
        <w:t>Counsel:</w:t>
      </w:r>
      <w:r>
        <w:rPr>
          <w:b w:val="0"/>
        </w:rPr>
        <w:t xml:space="preserve"> Reviews the actual funds flow, marketplace contracts, arbitration and professional/confidentiality obligations. Legal conclusions are not delegated to a coding agent.</w:t>
      </w:r>
    </w:p>
    <w:p>
      <w:pPr>
        <w:pStyle w:val="Heading2"/>
      </w:pPr>
      <w:r>
        <w:t>Required record for each change</w:t>
      </w:r>
    </w:p>
    <w:p>
      <w:pPr>
        <w:spacing w:after="140" w:line="240" w:lineRule="auto"/>
        <w:shd w:fill="F3F3F3"/>
      </w:pPr>
      <w:r>
        <w:rPr>
          <w:rFonts w:ascii="Consolas" w:hAnsi="Consolas"/>
          <w:sz w:val="18"/>
        </w:rPr>
        <w:t>decision_id | status | owner | approved_at | version</w:t>
        <w:br/>
        <w:t>supersedes | affected_requirement_ids | affected_tests</w:t>
        <w:br/>
        <w:t>release_gate | evidence_reference | rollback_owner</w:t>
      </w:r>
    </w:p>
    <w:p>
      <w:r>
        <w:rPr>
          <w:b w:val="0"/>
        </w:rPr>
        <w:t>Keep the approved Word version as the signed-off baseline. After approval, maintain machine-readable requirements and configuration alongside code in GitHub, with a change log that cites the baseline version. Do not let repository changes silently rewrite commercial policies.</w:t>
      </w:r>
    </w:p>
    <w:p>
      <w:pPr>
        <w:pStyle w:val="Heading2"/>
      </w:pPr>
      <w:r>
        <w:t>Reusable build instruction</w:t>
      </w:r>
    </w:p>
    <w:p>
      <w:pPr>
        <w:spacing w:after="140" w:line="240" w:lineRule="auto"/>
        <w:shd w:fill="F3F3F3"/>
      </w:pPr>
      <w:r>
        <w:rPr>
          <w:rFonts w:ascii="Consolas" w:hAnsi="Consolas"/>
          <w:sz w:val="18"/>
        </w:rPr>
        <w:t>Read this guide and the authorized phase specification.</w:t>
        <w:br/>
        <w:t>Identify the exact requirement IDs in the current work package.</w:t>
        <w:br/>
        <w:t>List dependencies, unresolved decisions and prohibited actions.</w:t>
        <w:br/>
        <w:t>Propose files, migrations, tests, telemetry and rollback first.</w:t>
        <w:br/>
        <w:t>Do not invent APIs, legal terms, fees or user permissions.</w:t>
        <w:br/>
        <w:t>Do not modify BD core, live billing or production records.</w:t>
        <w:br/>
        <w:t>When separately authorized, implement only the approved package</w:t>
        <w:br/>
        <w:t>in an isolated development environment. Report test evidence,</w:t>
        <w:br/>
        <w:t>known limitations and actions still requiring owner approval.</w:t>
      </w:r>
    </w:p>
    <w:p>
      <w:r>
        <w:rPr>
          <w:b w:val="0"/>
        </w:rPr>
        <w:t>For Claude Code, enforce restrictions with actual environment credentials, permissions and deployment gates. CLAUDE.md provides guidance but is not a security boundary. [S17]</w:t>
      </w:r>
    </w:p>
    <w:p>
      <w:pPr>
        <w:spacing w:before="80" w:after="180"/>
        <w:shd w:fill="F7ECE7"/>
      </w:pPr>
      <w:r>
        <w:rPr>
          <w:b w:val="0"/>
        </w:rPr>
      </w:r>
      <w:r>
        <w:rPr>
          <w:b/>
        </w:rPr>
        <w:t>Completion standard</w:t>
      </w:r>
      <w:r>
        <w:rPr>
          <w:b w:val="0"/>
        </w:rPr>
        <w:t xml:space="preserve">  Each phase document specifies objectives, requirements, architecture changes, data/events, safety, tests, cost metrics, rollout gates and future dependencies. Approval of documentation alone does not approve code execution or live release.</w:t>
      </w:r>
    </w:p>
    <w:p>
      <w:r>
        <w:br w:type="page"/>
      </w:r>
    </w:p>
    <w:p>
      <w:pPr>
        <w:pStyle w:val="Heading1"/>
      </w:pPr>
      <w:r>
        <w:t>Reference notes</w:t>
      </w:r>
    </w:p>
    <w:p>
      <w:r>
        <w:t>Primary technical and regulatory sources checked on 25 October 2026. Revalidate provider behavior, pricing and applicable law before implementation. [Sxx] labels identify sources; unlabelled requirement language is a Lawfecta product decision or proposed engineering design, not a vendor guarantee.</w:t>
      </w:r>
    </w:p>
    <w:p>
      <w:pPr>
        <w:keepLines/>
        <w:spacing w:line="240" w:lineRule="auto" w:after="120"/>
      </w:pPr>
      <w:r>
        <w:rPr>
          <w:b w:val="0"/>
          <w:sz w:val="18"/>
        </w:rPr>
      </w:r>
      <w:r>
        <w:rPr>
          <w:b/>
          <w:sz w:val="18"/>
        </w:rPr>
        <w:t>[S17] Claude Code, Permission Controls</w:t>
      </w:r>
      <w:r>
        <w:rPr>
          <w:b w:val="0"/>
          <w:sz w:val="18"/>
        </w:rPr>
      </w:r>
      <w:r>
        <w:rPr>
          <w:sz w:val="18"/>
        </w:rPr>
        <w:br/>
      </w:r>
      <w:hyperlink r:id="rId11">
        <w:r>
          <w:rPr>
            <w:color w:val="8B1F3F"/>
            <w:sz w:val="18"/>
          </w:rPr>
          <w:t>https://code.claude.com/docs/en/permissions</w:t>
        </w:r>
      </w:hyperlink>
    </w:p>
    <w:p>
      <w:pPr>
        <w:keepLines/>
        <w:spacing w:line="240" w:lineRule="auto" w:after="120"/>
      </w:pPr>
      <w:r>
        <w:rPr>
          <w:b w:val="0"/>
          <w:sz w:val="18"/>
        </w:rPr>
      </w:r>
      <w:r>
        <w:rPr>
          <w:b/>
          <w:sz w:val="18"/>
        </w:rPr>
        <w:t>[S24] California DFPI, About the Escrow Law</w:t>
      </w:r>
      <w:r>
        <w:rPr>
          <w:b w:val="0"/>
          <w:sz w:val="18"/>
        </w:rPr>
      </w:r>
      <w:r>
        <w:rPr>
          <w:sz w:val="18"/>
        </w:rPr>
        <w:br/>
      </w:r>
      <w:hyperlink r:id="rId12">
        <w:r>
          <w:rPr>
            <w:color w:val="8B1F3F"/>
            <w:sz w:val="18"/>
          </w:rPr>
          <w:t>https://dfpi.ca.gov/regulated-industries/escrow-law/about-the-escrow-law/</w:t>
        </w:r>
      </w:hyperlink>
    </w:p>
    <w:p>
      <w:pPr>
        <w:keepLines/>
        <w:spacing w:line="240" w:lineRule="auto" w:after="120"/>
      </w:pPr>
      <w:r>
        <w:rPr>
          <w:b w:val="0"/>
          <w:sz w:val="18"/>
        </w:rPr>
      </w:r>
      <w:r>
        <w:rPr>
          <w:b/>
          <w:sz w:val="18"/>
        </w:rPr>
        <w:t>[S25] United States Code, 9 USC 5 - Arbitrator Appointment</w:t>
      </w:r>
      <w:r>
        <w:rPr>
          <w:b w:val="0"/>
          <w:sz w:val="18"/>
        </w:rPr>
      </w:r>
      <w:r>
        <w:rPr>
          <w:sz w:val="18"/>
        </w:rPr>
        <w:br/>
      </w:r>
      <w:hyperlink r:id="rId13">
        <w:r>
          <w:rPr>
            <w:color w:val="8B1F3F"/>
            <w:sz w:val="18"/>
          </w:rPr>
          <w:t>https://uscode.house.gov/view.xhtml?req=(title:9%20section:5%20edition:prelim)</w:t>
        </w:r>
      </w:hyperlink>
    </w:p>
    <w:p>
      <w:pPr>
        <w:keepLines/>
        <w:spacing w:line="240" w:lineRule="auto" w:after="120"/>
      </w:pPr>
      <w:r>
        <w:rPr>
          <w:b w:val="0"/>
          <w:sz w:val="18"/>
        </w:rPr>
      </w:r>
      <w:r>
        <w:rPr>
          <w:b/>
          <w:sz w:val="18"/>
        </w:rPr>
        <w:t>[S26] ABA, Formal Opinion 512 Overview</w:t>
      </w:r>
      <w:r>
        <w:rPr>
          <w:b w:val="0"/>
          <w:sz w:val="18"/>
        </w:rPr>
      </w:r>
      <w:r>
        <w:rPr>
          <w:sz w:val="18"/>
        </w:rPr>
        <w:br/>
      </w:r>
      <w:hyperlink r:id="rId14">
        <w:r>
          <w:rPr>
            <w:color w:val="8B1F3F"/>
            <w:sz w:val="18"/>
          </w:rPr>
          <w:t>https://www.americanbar.org/news/abanews/aba-news-archives/2024/07/aba-issues-first-ethics-guidance-ai-tools/</w:t>
        </w:r>
      </w:hyperlink>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66666"/>
        <w:sz w:val="16"/>
      </w:rPr>
      <w:t>v1.0  |  25 October 2026  |  Requirements &amp; architecture</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LAWFECTA  |  DELA  /  PROGRAM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8B1F3F"/>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8B1F3F"/>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8B1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8B1F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Calibri" w:hAnsi="Calibri"/>
      <w:i/>
      <w:iCs/>
      <w:color w:val="8B1F3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222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de.claude.com/docs/en/permissions" TargetMode="External"/><Relationship Id="rId12" Type="http://schemas.openxmlformats.org/officeDocument/2006/relationships/hyperlink" Target="https://dfpi.ca.gov/regulated-industries/escrow-law/about-the-escrow-law/" TargetMode="External"/><Relationship Id="rId13" Type="http://schemas.openxmlformats.org/officeDocument/2006/relationships/hyperlink" Target="https://uscode.house.gov/view.xhtml?req=(title:9%20section:5%20edition:prelim)" TargetMode="External"/><Relationship Id="rId14" Type="http://schemas.openxmlformats.org/officeDocument/2006/relationships/hyperlink" Target="https://www.americanbar.org/news/abanews/aba-news-archives/2024/07/aba-issues-first-ethics-guidance-ai-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Guide &amp;
Decision Register</dc:title>
  <dc:subject>DELA pre-development architecture and phased requirements</dc:subject>
  <dc:creator>Lawfecta</dc:creator>
  <cp:keywords>DELA, Lawfecta, requirements, architecture, pre-development</cp:keywords>
  <dc:description>generated by python-docx</dc:description>
  <cp:lastModifiedBy/>
  <cp:revision>1</cp:revision>
  <dcterms:created xsi:type="dcterms:W3CDTF">2013-12-23T23:15:00Z</dcterms:created>
  <dcterms:modified xsi:type="dcterms:W3CDTF">2013-12-23T23:15:00Z</dcterms:modified>
  <cp:category/>
</cp:coreProperties>
</file>