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LAWFECTA  /  DELA DEVELOPMENT SERIES</w:t>
      </w:r>
    </w:p>
    <w:p>
      <w:pPr>
        <w:pStyle w:val="Title"/>
      </w:pPr>
      <w:r>
        <w:t>Phase 1A | Core MVP</w:t>
        <w:br/>
        <w:t>Build Specification</w:t>
      </w:r>
    </w:p>
    <w:p>
      <w:pPr>
        <w:pStyle w:val="Subtitle"/>
      </w:pPr>
      <w:r>
        <w:t>Architecture, infrastructure, member workflows, payments, safety and validation</w:t>
      </w:r>
    </w:p>
    <w:p>
      <w:pPr>
        <w:spacing w:before="80" w:after="180"/>
        <w:shd w:fill="F7ECE7"/>
      </w:pPr>
      <w:r>
        <w:rPr>
          <w:b w:val="0"/>
        </w:rPr>
      </w:r>
      <w:r>
        <w:rPr>
          <w:b/>
        </w:rPr>
        <w:t>Control status</w:t>
      </w:r>
      <w:r>
        <w:rPr>
          <w:b w:val="0"/>
        </w:rPr>
        <w:t xml:space="preserve">  Specification v1.0. Product decisions are preserved; new engineering defaults and numeric gates are proposals. Documentation does not authorize code, configuration changes, production data access, charges or deployment.</w:t>
      </w:r>
    </w:p>
    <w:p>
      <w:pPr>
        <w:pStyle w:val="Heading1"/>
      </w:pPr>
      <w:r>
        <w:t>1. Phase 1 objective and delivery boundary</w:t>
      </w:r>
    </w:p>
    <w:p>
      <w:r>
        <w:rPr>
          <w:b w:val="0"/>
        </w:rPr>
      </w:r>
      <w:r>
        <w:rPr>
          <w:b/>
        </w:rPr>
        <w:t>Outcome:</w:t>
      </w:r>
      <w:r>
        <w:rPr>
          <w:b w:val="0"/>
        </w:rPr>
        <w:t xml:space="preserve"> A solo attorney turns a real operational need into an approved playbook, finds an available freelance paralegal, communicates and books within Lawfecta, signs a fixed-fee agreement, funds work before it starts and completes a reconciled engagement. The freelancer can become match-ready, actively offer services, win work and reuse permitted methods.</w:t>
      </w:r>
    </w:p>
    <w:p>
      <w:r>
        <w:rPr>
          <w:b w:val="0"/>
        </w:rPr>
      </w:r>
      <w:r>
        <w:rPr>
          <w:b/>
        </w:rPr>
        <w:t>Commercial hypothesis:</w:t>
      </w:r>
      <w:r>
        <w:rPr>
          <w:b w:val="0"/>
        </w:rPr>
        <w:t xml:space="preserve"> Reducing delegation preparation and coordination increases completed paid engagements and repeat hiring enough to cover payment processing, AI, infrastructure, support and losses. Paid memberships and independent-use exports supplement transaction revenue. BYOK is an adoption tool, not a guarantee of profit.</w:t>
      </w:r>
    </w:p>
    <w:tbl>
      <w:tblPr>
        <w:tblW w:type="auto" w:w="0"/>
        <w:jc w:val="center"/>
        <w:tblLayout w:type="fixed"/>
        <w:tblLook w:firstColumn="1" w:firstRow="1" w:lastColumn="0" w:lastRow="0" w:noHBand="0" w:noVBand="1" w:val="04A0"/>
      </w:tblPr>
      <w:tblGrid>
        <w:gridCol w:w="2304"/>
        <w:gridCol w:w="7920"/>
      </w:tblGrid>
      <w:tr>
        <w:trPr>
          <w:tblHeader/>
          <w:cantSplit/>
        </w:trPr>
        <w:tc>
          <w:tcPr>
            <w:tcW w:type="dxa" w:w="2304"/>
            <w:vAlign w:val="center"/>
            <w:tcMar>
              <w:top w:w="90" w:type="dxa"/>
              <w:bottom w:w="90" w:type="dxa"/>
              <w:left w:w="110" w:type="dxa"/>
              <w:right w:w="110" w:type="dxa"/>
            </w:tcMar>
            <w:shd w:fill="8B1F3F"/>
          </w:tcPr>
          <w:p>
            <w:pPr>
              <w:spacing w:after="20" w:line="245" w:lineRule="auto"/>
            </w:pPr>
            <w:r>
              <w:rPr>
                <w:b/>
                <w:color w:val="FFFFFF"/>
                <w:sz w:val="18"/>
              </w:rPr>
              <w:t>Build slice</w:t>
            </w:r>
          </w:p>
        </w:tc>
        <w:tc>
          <w:tcPr>
            <w:tcW w:type="dxa" w:w="7920"/>
            <w:vAlign w:val="center"/>
            <w:tcMar>
              <w:top w:w="90" w:type="dxa"/>
              <w:bottom w:w="90" w:type="dxa"/>
              <w:left w:w="110" w:type="dxa"/>
              <w:right w:w="110" w:type="dxa"/>
            </w:tcMar>
            <w:shd w:fill="8B1F3F"/>
          </w:tcPr>
          <w:p>
            <w:pPr>
              <w:spacing w:after="20" w:line="245" w:lineRule="auto"/>
            </w:pPr>
            <w:r>
              <w:rPr>
                <w:b/>
                <w:color w:val="FFFFFF"/>
                <w:sz w:val="18"/>
              </w:rPr>
              <w:t>Required result before enabling</w:t>
            </w:r>
          </w:p>
        </w:tc>
      </w:tr>
      <w:tr>
        <w:trPr>
          <w:cantSplit/>
        </w:trPr>
        <w:tc>
          <w:tcPr>
            <w:tcW w:type="dxa" w:w="2304"/>
            <w:vAlign w:val="center"/>
            <w:tcMar>
              <w:top w:w="90" w:type="dxa"/>
              <w:bottom w:w="90" w:type="dxa"/>
              <w:left w:w="110" w:type="dxa"/>
              <w:right w:w="110" w:type="dxa"/>
            </w:tcMar>
          </w:tcPr>
          <w:p>
            <w:pPr>
              <w:spacing w:after="20" w:line="245" w:lineRule="auto"/>
            </w:pPr>
            <w:r>
              <w:rPr>
                <w:b w:val="0"/>
                <w:sz w:val="18"/>
              </w:rPr>
              <w:t>1A.0 Foundation</w:t>
            </w:r>
          </w:p>
        </w:tc>
        <w:tc>
          <w:tcPr>
            <w:tcW w:type="dxa" w:w="7920"/>
            <w:vAlign w:val="center"/>
            <w:tcMar>
              <w:top w:w="90" w:type="dxa"/>
              <w:bottom w:w="90" w:type="dxa"/>
              <w:left w:w="110" w:type="dxa"/>
              <w:right w:w="110" w:type="dxa"/>
            </w:tcMar>
          </w:tcPr>
          <w:p>
            <w:pPr>
              <w:spacing w:after="20" w:line="245" w:lineRule="auto"/>
            </w:pPr>
            <w:r>
              <w:rPr>
                <w:b w:val="0"/>
                <w:sz w:val="18"/>
              </w:rPr>
              <w:t>Identity bridge, tenant/role model, source contracts, entitlements, AI/BYOK gateway, durable jobs, events, security, test environments and operations.</w:t>
            </w:r>
          </w:p>
        </w:tc>
      </w:tr>
      <w:tr>
        <w:trPr>
          <w:cantSplit/>
        </w:trPr>
        <w:tc>
          <w:tcPr>
            <w:tcW w:type="dxa" w:w="2304"/>
            <w:vAlign w:val="center"/>
            <w:tcMar>
              <w:top w:w="90" w:type="dxa"/>
              <w:bottom w:w="90" w:type="dxa"/>
              <w:left w:w="110" w:type="dxa"/>
              <w:right w:w="110" w:type="dxa"/>
            </w:tcMar>
          </w:tcPr>
          <w:p>
            <w:pPr>
              <w:spacing w:after="20" w:line="245" w:lineRule="auto"/>
            </w:pPr>
            <w:r>
              <w:rPr>
                <w:b w:val="0"/>
                <w:sz w:val="18"/>
              </w:rPr>
              <w:t>1A.1 Plan and discover</w:t>
            </w:r>
          </w:p>
        </w:tc>
        <w:tc>
          <w:tcPr>
            <w:tcW w:type="dxa" w:w="7920"/>
            <w:vAlign w:val="center"/>
            <w:tcMar>
              <w:top w:w="90" w:type="dxa"/>
              <w:bottom w:w="90" w:type="dxa"/>
              <w:left w:w="110" w:type="dxa"/>
              <w:right w:w="110" w:type="dxa"/>
            </w:tcMar>
          </w:tcPr>
          <w:p>
            <w:pPr>
              <w:spacing w:after="20" w:line="245" w:lineRule="auto"/>
            </w:pPr>
            <w:r>
              <w:rPr>
                <w:b w:val="0"/>
                <w:sz w:val="18"/>
              </w:rPr>
              <w:t>Full read-only playbooks, approved technology recommendations, match readiness, matching, Flex Gigs, structured proposals and nonbinding comparison.</w:t>
            </w:r>
          </w:p>
        </w:tc>
      </w:tr>
      <w:tr>
        <w:trPr>
          <w:cantSplit/>
        </w:trPr>
        <w:tc>
          <w:tcPr>
            <w:tcW w:type="dxa" w:w="2304"/>
            <w:vAlign w:val="center"/>
            <w:tcMar>
              <w:top w:w="90" w:type="dxa"/>
              <w:bottom w:w="90" w:type="dxa"/>
              <w:left w:w="110" w:type="dxa"/>
              <w:right w:w="110" w:type="dxa"/>
            </w:tcMar>
          </w:tcPr>
          <w:p>
            <w:pPr>
              <w:spacing w:after="20" w:line="245" w:lineRule="auto"/>
            </w:pPr>
            <w:r>
              <w:rPr>
                <w:b w:val="0"/>
                <w:sz w:val="18"/>
              </w:rPr>
              <w:t>1A.2 Engage and transact</w:t>
            </w:r>
          </w:p>
        </w:tc>
        <w:tc>
          <w:tcPr>
            <w:tcW w:type="dxa" w:w="7920"/>
            <w:vAlign w:val="center"/>
            <w:tcMar>
              <w:top w:w="90" w:type="dxa"/>
              <w:bottom w:w="90" w:type="dxa"/>
              <w:left w:w="110" w:type="dxa"/>
              <w:right w:w="110" w:type="dxa"/>
            </w:tcMar>
          </w:tcPr>
          <w:p>
            <w:pPr>
              <w:spacing w:after="20" w:line="245" w:lineRule="auto"/>
            </w:pPr>
            <w:r>
              <w:rPr>
                <w:b w:val="0"/>
                <w:sz w:val="18"/>
              </w:rPr>
              <w:t>Native booking, secure chat, signed contracts, milestone funding, qualified review, recurring periods, financial controls and recovery evidence.</w:t>
            </w:r>
          </w:p>
        </w:tc>
      </w:tr>
      <w:tr>
        <w:trPr>
          <w:cantSplit/>
        </w:trPr>
        <w:tc>
          <w:tcPr>
            <w:tcW w:type="dxa" w:w="2304"/>
            <w:vAlign w:val="center"/>
            <w:tcMar>
              <w:top w:w="90" w:type="dxa"/>
              <w:bottom w:w="90" w:type="dxa"/>
              <w:left w:w="110" w:type="dxa"/>
              <w:right w:w="110" w:type="dxa"/>
            </w:tcMar>
          </w:tcPr>
          <w:p>
            <w:pPr>
              <w:spacing w:after="20" w:line="245" w:lineRule="auto"/>
            </w:pPr>
            <w:r>
              <w:rPr>
                <w:b w:val="0"/>
                <w:sz w:val="18"/>
              </w:rPr>
              <w:t>1A.3 Retain and connect</w:t>
            </w:r>
          </w:p>
        </w:tc>
        <w:tc>
          <w:tcPr>
            <w:tcW w:type="dxa" w:w="7920"/>
            <w:vAlign w:val="center"/>
            <w:tcMar>
              <w:top w:w="90" w:type="dxa"/>
              <w:bottom w:w="90" w:type="dxa"/>
              <w:left w:w="110" w:type="dxa"/>
              <w:right w:w="110" w:type="dxa"/>
            </w:tcMar>
          </w:tcPr>
          <w:p>
            <w:pPr>
              <w:spacing w:after="20" w:line="245" w:lineRule="auto"/>
            </w:pPr>
            <w:r>
              <w:rPr>
                <w:b w:val="0"/>
                <w:sz w:val="18"/>
              </w:rPr>
              <w:t>Mutual reviews, personal/firm benches, configurable proactive suggestions, limited authorized repeat hiring and V1 member webhooks.</w:t>
            </w:r>
          </w:p>
        </w:tc>
      </w:tr>
    </w:tbl>
    <w:p>
      <w:pPr>
        <w:spacing w:after="20"/>
      </w:pPr>
    </w:p>
    <w:p>
      <w:pPr>
        <w:spacing w:before="80" w:after="180"/>
        <w:shd w:fill="F7ECE7"/>
      </w:pPr>
      <w:r>
        <w:rPr>
          <w:b w:val="0"/>
        </w:rPr>
      </w:r>
      <w:r>
        <w:rPr>
          <w:b/>
        </w:rPr>
        <w:t>Release contract</w:t>
      </w:r>
      <w:r>
        <w:rPr>
          <w:b w:val="0"/>
        </w:rPr>
        <w:t xml:space="preserve">  All slices are parts of one complete Phase 1A. They can be tested separately; the commercial MVP is not declared complete before booking, messaging, payment recovery, reviews, bench and webhooks are covered. Limited automatic hiring is designed here but feature-gated until its prerequisites pass.</w:t>
      </w:r>
    </w:p>
    <w:p>
      <w:r>
        <w:rPr>
          <w:b w:val="0"/>
        </w:rPr>
      </w:r>
      <w:r>
        <w:rPr>
          <w:b/>
        </w:rPr>
        <w:t>Excluded from this release:</w:t>
      </w:r>
      <w:r>
        <w:rPr>
          <w:b w:val="0"/>
        </w:rPr>
        <w:t xml:space="preserve"> public playbook sales, browser capture, broad external mailbox/matter ingestion, open-ended agents, live AI interviews, hourly billing, international operations, platform-funded freelancer guarantees and court-selection/document-filing assistance. Connected calendars at initial public launch remain a scheduling decision, not a free-plan entitlement change.</w:t>
      </w:r>
    </w:p>
    <w:p>
      <w:r>
        <w:br w:type="page"/>
      </w:r>
    </w:p>
    <w:p>
      <w:pPr>
        <w:pStyle w:val="Heading1"/>
      </w:pPr>
      <w:r>
        <w:t>2. Member journeys and product acceptance</w:t>
      </w:r>
    </w:p>
    <w:p>
      <w:pPr>
        <w:pStyle w:val="Heading2"/>
      </w:pPr>
      <w:r>
        <w:t>Attorney journey</w:t>
      </w:r>
    </w:p>
    <w:p>
      <w:pPr>
        <w:pStyle w:val="ListBullet"/>
      </w:pPr>
      <w:r>
        <w:rPr>
          <w:b w:val="0"/>
        </w:rPr>
        <w:t>Register and verify email; see limits and confidentiality notice. Explore DELA immediately. Submit license/identity/business information without losing planning progress.</w:t>
      </w:r>
    </w:p>
    <w:p>
      <w:pPr>
        <w:pStyle w:val="ListBullet"/>
      </w:pPr>
      <w:r>
        <w:rPr>
          <w:b w:val="0"/>
        </w:rPr>
        <w:t>Describe work or upload a permitted sanitized SOP. DELA resolves missing inputs, suggests human/technology/hybrid execution and creates a structured draft. Attorney approves the exact scope.</w:t>
      </w:r>
    </w:p>
    <w:p>
      <w:pPr>
        <w:pStyle w:val="ListBullet"/>
      </w:pPr>
      <w:r>
        <w:rPr>
          <w:b w:val="0"/>
        </w:rPr>
        <w:t>Review eligible matches and bench talent or publish a budget-range gig. Compare proposals and ask controlled questions; booking and private conversation follow authorization.</w:t>
      </w:r>
    </w:p>
    <w:p>
      <w:pPr>
        <w:pStyle w:val="ListBullet"/>
      </w:pPr>
      <w:r>
        <w:rPr>
          <w:b w:val="0"/>
        </w:rPr>
        <w:t>Identify the contracting entity, approve milestones and rubric, sign with the freelancer, consent to charges and fund milestone one. Payment failure leaves work paused.</w:t>
      </w:r>
    </w:p>
    <w:p>
      <w:pPr>
        <w:pStyle w:val="ListBullet"/>
      </w:pPr>
      <w:r>
        <w:rPr>
          <w:b w:val="0"/>
        </w:rPr>
        <w:t>Review deliverables, approve/revise/dispute, fund subsequent work, close, review and invite the freelancer to a personal or firm bench. Reuse sanitized process knowledge.</w:t>
      </w:r>
    </w:p>
    <w:p>
      <w:pPr>
        <w:pStyle w:val="Heading2"/>
      </w:pPr>
      <w:r>
        <w:t>Freelancer journey</w:t>
      </w:r>
    </w:p>
    <w:p>
      <w:pPr>
        <w:pStyle w:val="ListBullet"/>
      </w:pPr>
      <w:r>
        <w:rPr>
          <w:b w:val="0"/>
        </w:rPr>
        <w:t>Confirm existing profile data; enter services, task-level expertise, software, experience and availability. Required-field checklist explains why matching is not yet enabled.</w:t>
      </w:r>
    </w:p>
    <w:p>
      <w:pPr>
        <w:pStyle w:val="ListBullet"/>
      </w:pPr>
      <w:r>
        <w:rPr>
          <w:b w:val="0"/>
        </w:rPr>
        <w:t>DELA proposes relevant service/promotional improvements; publication requires approval. Genuine past-attorney reviews are optional and separately labeled.</w:t>
      </w:r>
    </w:p>
    <w:p>
      <w:pPr>
        <w:pStyle w:val="ListBullet"/>
      </w:pPr>
      <w:r>
        <w:rPr>
          <w:b w:val="0"/>
        </w:rPr>
        <w:t>Receive matches and invitations. Use monthly proposal allowance; exhaustion does not hide matches. Show scope, timeline, milestones, price and qualifications without unpaid substantive sample work.</w:t>
      </w:r>
    </w:p>
    <w:p>
      <w:pPr>
        <w:pStyle w:val="ListBullet"/>
      </w:pPr>
      <w:r>
        <w:rPr>
          <w:b w:val="0"/>
        </w:rPr>
        <w:t>Sign the scope; begin only funded work. Submit formal evidence, inspect DELA evaluation, revise or request qualified human review. Track transfer and bank payout separately.</w:t>
      </w:r>
    </w:p>
    <w:p>
      <w:pPr>
        <w:pStyle w:val="ListBullet"/>
      </w:pPr>
      <w:r>
        <w:rPr>
          <w:b w:val="0"/>
        </w:rPr>
        <w:t>Review the attorney after completion, accept bench invitations and approve generalized templates for reuse. No client information or employer-owned content migrates automatically.</w:t>
      </w:r>
    </w:p>
    <w:p>
      <w:r>
        <w:rPr>
          <w:b w:val="0"/>
        </w:rPr>
      </w:r>
      <w:r>
        <w:rPr>
          <w:b/>
        </w:rPr>
        <w:t>Product acceptance examples:</w:t>
      </w:r>
      <w:r>
        <w:rPr>
          <w:b w:val="0"/>
        </w:rPr>
        <w:t xml:space="preserve"> An unverified attorney can save a playbook but cannot publish a gig. A new qualified freelancer without reviews can match. A fully booked expert cannot be presented as ready for immediate work. A completed engagement remains readable after subscription expiration. A free BYOK user still needs export and proposal entitlements.</w:t>
      </w:r>
    </w:p>
    <w:p>
      <w:r>
        <w:rPr>
          <w:b w:val="0"/>
        </w:rPr>
      </w:r>
      <w:r>
        <w:rPr>
          <w:b/>
        </w:rPr>
        <w:t>Useful without hiring:</w:t>
      </w:r>
      <w:r>
        <w:rPr>
          <w:b w:val="0"/>
        </w:rPr>
        <w:t xml:space="preserve"> A member may buy an export or subscribe for reusable workflows. Product activation and commercial conversion are measured separately; lack of a hire is not itself abuse.</w:t>
      </w:r>
    </w:p>
    <w:p>
      <w:r>
        <w:br w:type="page"/>
      </w:r>
    </w:p>
    <w:p>
      <w:pPr>
        <w:pStyle w:val="Heading1"/>
      </w:pPr>
      <w:r>
        <w:t>3. Brilliant Directories integration and source ownership</w:t>
      </w:r>
    </w:p>
    <w:p>
      <w:r>
        <w:rPr>
          <w:b w:val="0"/>
        </w:rPr>
        <w:t>Preserve BD as the existing membership/profile entry point. DELA is a separate hosted application and backend reached through minimal approved widgets, navigation or links. Do not modify BD core files, core tables, authentication or live billing without explicit authorization. Existing Lawfecta widgets must keep working.</w:t>
      </w:r>
    </w:p>
    <w:tbl>
      <w:tblPr>
        <w:tblW w:type="auto" w:w="0"/>
        <w:jc w:val="center"/>
        <w:tblLayout w:type="fixed"/>
        <w:tblLook w:firstColumn="1" w:firstRow="1" w:lastColumn="0" w:lastRow="0" w:noHBand="0" w:noVBand="1" w:val="04A0"/>
      </w:tblPr>
      <w:tblGrid>
        <w:gridCol w:w="2232"/>
        <w:gridCol w:w="7992"/>
      </w:tblGrid>
      <w:tr>
        <w:trPr>
          <w:tblHeader/>
          <w:cantSplit/>
        </w:trPr>
        <w:tc>
          <w:tcPr>
            <w:tcW w:type="dxa" w:w="2232"/>
            <w:vAlign w:val="center"/>
            <w:tcMar>
              <w:top w:w="90" w:type="dxa"/>
              <w:bottom w:w="90" w:type="dxa"/>
              <w:left w:w="110" w:type="dxa"/>
              <w:right w:w="110" w:type="dxa"/>
            </w:tcMar>
            <w:shd w:fill="8B1F3F"/>
          </w:tcPr>
          <w:p>
            <w:pPr>
              <w:spacing w:after="20" w:line="245" w:lineRule="auto"/>
            </w:pPr>
            <w:r>
              <w:rPr>
                <w:b/>
                <w:color w:val="FFFFFF"/>
                <w:sz w:val="18"/>
              </w:rPr>
              <w:t>Record / authority</w:t>
            </w:r>
          </w:p>
        </w:tc>
        <w:tc>
          <w:tcPr>
            <w:tcW w:type="dxa" w:w="7992"/>
            <w:vAlign w:val="center"/>
            <w:tcMar>
              <w:top w:w="90" w:type="dxa"/>
              <w:bottom w:w="90" w:type="dxa"/>
              <w:left w:w="110" w:type="dxa"/>
              <w:right w:w="110" w:type="dxa"/>
            </w:tcMar>
            <w:shd w:fill="8B1F3F"/>
          </w:tcPr>
          <w:p>
            <w:pPr>
              <w:spacing w:after="20" w:line="245" w:lineRule="auto"/>
            </w:pPr>
            <w:r>
              <w:rPr>
                <w:b/>
                <w:color w:val="FFFFFF"/>
                <w:sz w:val="18"/>
              </w:rPr>
              <w:t>Required approach</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BD identity and profile</w:t>
            </w:r>
          </w:p>
        </w:tc>
        <w:tc>
          <w:tcPr>
            <w:tcW w:type="dxa" w:w="7992"/>
            <w:vAlign w:val="center"/>
            <w:tcMar>
              <w:top w:w="90" w:type="dxa"/>
              <w:bottom w:w="90" w:type="dxa"/>
              <w:left w:w="110" w:type="dxa"/>
              <w:right w:w="110" w:type="dxa"/>
            </w:tcMar>
          </w:tcPr>
          <w:p>
            <w:pPr>
              <w:spacing w:after="20" w:line="245" w:lineRule="auto"/>
            </w:pPr>
            <w:r>
              <w:rPr>
                <w:b w:val="0"/>
                <w:sz w:val="18"/>
              </w:rPr>
              <w:t>Reuse immutable BD member IDs through a mapping table. Confirm membership and profile fields via supported APIs. User-reported existing plugins must be inventoried, not assumed production-ready.</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DELA organization/access</w:t>
            </w:r>
          </w:p>
        </w:tc>
        <w:tc>
          <w:tcPr>
            <w:tcW w:type="dxa" w:w="7992"/>
            <w:vAlign w:val="center"/>
            <w:tcMar>
              <w:top w:w="90" w:type="dxa"/>
              <w:bottom w:w="90" w:type="dxa"/>
              <w:left w:w="110" w:type="dxa"/>
              <w:right w:w="110" w:type="dxa"/>
            </w:tcMar>
          </w:tcPr>
          <w:p>
            <w:pPr>
              <w:spacing w:after="20" w:line="245" w:lineRule="auto"/>
            </w:pPr>
            <w:r>
              <w:rPr>
                <w:b w:val="0"/>
                <w:sz w:val="18"/>
              </w:rPr>
              <w:t>Supabase owns organization membership, matter/engagement ACLs, feature entitlements and policy decisions. A BD subaccount is a mapping input, not automatic authority to see every record.</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DELA operational records</w:t>
            </w:r>
          </w:p>
        </w:tc>
        <w:tc>
          <w:tcPr>
            <w:tcW w:type="dxa" w:w="7992"/>
            <w:vAlign w:val="center"/>
            <w:tcMar>
              <w:top w:w="90" w:type="dxa"/>
              <w:bottom w:w="90" w:type="dxa"/>
              <w:left w:w="110" w:type="dxa"/>
              <w:right w:w="110" w:type="dxa"/>
            </w:tcMar>
          </w:tcPr>
          <w:p>
            <w:pPr>
              <w:spacing w:after="20" w:line="245" w:lineRule="auto"/>
            </w:pPr>
            <w:r>
              <w:rPr>
                <w:b w:val="0"/>
                <w:sz w:val="18"/>
              </w:rPr>
              <w:t>Supabase owns playbooks, gigs/proposals, contracts, milestones, chat ACLs, memory, budgets, events and canonical review eligibility.</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Billing authority</w:t>
            </w:r>
          </w:p>
        </w:tc>
        <w:tc>
          <w:tcPr>
            <w:tcW w:type="dxa" w:w="7992"/>
            <w:vAlign w:val="center"/>
            <w:tcMar>
              <w:top w:w="90" w:type="dxa"/>
              <w:bottom w:w="90" w:type="dxa"/>
              <w:left w:w="110" w:type="dxa"/>
              <w:right w:w="110" w:type="dxa"/>
            </w:tcMar>
          </w:tcPr>
          <w:p>
            <w:pPr>
              <w:spacing w:after="20" w:line="245" w:lineRule="auto"/>
            </w:pPr>
            <w:r>
              <w:rPr>
                <w:b w:val="0"/>
                <w:sz w:val="18"/>
              </w:rPr>
              <w:t>Select one owner for each membership subscription. Existing BD subscriptions remain untouched until an explicit migration. Stripe owns actual money-movement status; DELA reconciles.</w:t>
            </w:r>
          </w:p>
        </w:tc>
      </w:tr>
      <w:tr>
        <w:trPr>
          <w:cantSplit/>
        </w:trPr>
        <w:tc>
          <w:tcPr>
            <w:tcW w:type="dxa" w:w="2232"/>
            <w:vAlign w:val="center"/>
            <w:tcMar>
              <w:top w:w="90" w:type="dxa"/>
              <w:bottom w:w="90" w:type="dxa"/>
              <w:left w:w="110" w:type="dxa"/>
              <w:right w:w="110" w:type="dxa"/>
            </w:tcMar>
          </w:tcPr>
          <w:p>
            <w:pPr>
              <w:spacing w:after="20" w:line="245" w:lineRule="auto"/>
            </w:pPr>
            <w:r>
              <w:rPr>
                <w:b w:val="0"/>
                <w:sz w:val="18"/>
              </w:rPr>
              <w:t>Profile mirrors</w:t>
            </w:r>
          </w:p>
        </w:tc>
        <w:tc>
          <w:tcPr>
            <w:tcW w:type="dxa" w:w="7992"/>
            <w:vAlign w:val="center"/>
            <w:tcMar>
              <w:top w:w="90" w:type="dxa"/>
              <w:bottom w:w="90" w:type="dxa"/>
              <w:left w:w="110" w:type="dxa"/>
              <w:right w:w="110" w:type="dxa"/>
            </w:tcMar>
          </w:tcPr>
          <w:p>
            <w:pPr>
              <w:spacing w:after="20" w:line="245" w:lineRule="auto"/>
            </w:pPr>
            <w:r>
              <w:rPr>
                <w:b w:val="0"/>
                <w:sz w:val="18"/>
              </w:rPr>
              <w:t>Mirror approved public data only. Define fields, direction, event source, freshness, conflict handling and deletions per connector. No independent duplicate financial ledger inside BD.</w:t>
            </w:r>
          </w:p>
        </w:tc>
      </w:tr>
    </w:tbl>
    <w:p>
      <w:pPr>
        <w:spacing w:after="20"/>
      </w:pPr>
    </w:p>
    <w:p>
      <w:pPr>
        <w:pStyle w:val="Heading2"/>
      </w:pPr>
      <w:r>
        <w:t>Identity bridge requirement</w:t>
      </w:r>
    </w:p>
    <w:p>
      <w:r>
        <w:rPr>
          <w:b w:val="0"/>
        </w:rPr>
        <w:t>Use a trusted server-verifiable session exchange, not a browser-supplied userid cookie. Proposed pattern: authenticated BD-side broker validates its real server session, issues a short-lived one-use code, and exchanges it server-to-server for a DELA session bound to member and workspace. Validate origin/audience, expiry and replay. If BD cannot support this securely, use a supported SSO/separate-auth linking flow. Do not request or persist BD passwords to simulate SSO.</w:t>
      </w:r>
    </w:p>
    <w:p>
      <w:r>
        <w:rPr>
          <w:b w:val="0"/>
        </w:rPr>
        <w:t>BD documents member update and API capabilities; the exact site permissions, field semantics and billing side effects require read-only inventory and sandbox verification. A plan-ID update is not assumed to cancel a subscription. [S01, S02]</w:t>
      </w:r>
    </w:p>
    <w:p>
      <w:r>
        <w:rPr>
          <w:b w:val="0"/>
        </w:rPr>
      </w:r>
      <w:r>
        <w:rPr>
          <w:b/>
        </w:rPr>
        <w:t>Inventory output:</w:t>
      </w:r>
      <w:r>
        <w:rPr>
          <w:b w:val="0"/>
        </w:rPr>
        <w:t xml:space="preserve"> plugin names/version/source paths; plan IDs; profile fields; reviews/messages storage; API/webhook availability; subaccount mappings; existing billing ownership; current data backup; native booking gaps. Favor events over frequent full-member polling. No country-wide security block that prevents the authorized overseas developer from working.</w:t>
      </w:r>
    </w:p>
    <w:p>
      <w:r>
        <w:br w:type="page"/>
      </w:r>
    </w:p>
    <w:p>
      <w:pPr>
        <w:pStyle w:val="Heading1"/>
      </w:pPr>
      <w:r>
        <w:t>4. Runtime architecture and shared services</w:t>
      </w:r>
    </w:p>
    <w:p>
      <w:pPr>
        <w:spacing w:after="140" w:line="240" w:lineRule="auto"/>
        <w:shd w:fill="F3F3F3"/>
      </w:pPr>
      <w:r>
        <w:rPr>
          <w:rFonts w:ascii="Consolas" w:hAnsi="Consolas"/>
          <w:sz w:val="18"/>
        </w:rPr>
        <w:t>BD entry + hosted DELA UI</w:t>
        <w:br/>
        <w:t xml:space="preserve">  -&gt; authenticated API / policy gateway</w:t>
        <w:br/>
        <w:t xml:space="preserve">  -&gt; modular application services</w:t>
        <w:br/>
        <w:t xml:space="preserve">  -&gt; Postgres + private object storage + secret vault</w:t>
        <w:br/>
        <w:t xml:space="preserve">  -&gt; transactional outbox / durable jobs / workers</w:t>
        <w:br/>
        <w:t xml:space="preserve">  -&gt; approved AI, Stripe, messaging and future adapters</w:t>
      </w:r>
    </w:p>
    <w:tbl>
      <w:tblPr>
        <w:tblW w:type="auto" w:w="0"/>
        <w:jc w:val="center"/>
        <w:tblLayout w:type="fixed"/>
        <w:tblLook w:firstColumn="1" w:firstRow="1" w:lastColumn="0" w:lastRow="0" w:noHBand="0" w:noVBand="1" w:val="04A0"/>
      </w:tblPr>
      <w:tblGrid>
        <w:gridCol w:w="2376"/>
        <w:gridCol w:w="7848"/>
      </w:tblGrid>
      <w:tr>
        <w:trPr>
          <w:tblHeader/>
          <w:cantSplit/>
        </w:trPr>
        <w:tc>
          <w:tcPr>
            <w:tcW w:type="dxa" w:w="2376"/>
            <w:vAlign w:val="center"/>
            <w:tcMar>
              <w:top w:w="90" w:type="dxa"/>
              <w:bottom w:w="90" w:type="dxa"/>
              <w:left w:w="110" w:type="dxa"/>
              <w:right w:w="110" w:type="dxa"/>
            </w:tcMar>
            <w:shd w:fill="8B1F3F"/>
          </w:tcPr>
          <w:p>
            <w:pPr>
              <w:spacing w:after="20" w:line="245" w:lineRule="auto"/>
            </w:pPr>
            <w:r>
              <w:rPr>
                <w:b/>
                <w:color w:val="FFFFFF"/>
                <w:sz w:val="18"/>
              </w:rPr>
              <w:t>Module</w:t>
            </w:r>
          </w:p>
        </w:tc>
        <w:tc>
          <w:tcPr>
            <w:tcW w:type="dxa" w:w="7848"/>
            <w:vAlign w:val="center"/>
            <w:tcMar>
              <w:top w:w="90" w:type="dxa"/>
              <w:bottom w:w="90" w:type="dxa"/>
              <w:left w:w="110" w:type="dxa"/>
              <w:right w:w="110" w:type="dxa"/>
            </w:tcMar>
            <w:shd w:fill="8B1F3F"/>
          </w:tcPr>
          <w:p>
            <w:pPr>
              <w:spacing w:after="20" w:line="245" w:lineRule="auto"/>
            </w:pPr>
            <w:r>
              <w:rPr>
                <w:b/>
                <w:color w:val="FFFFFF"/>
                <w:sz w:val="18"/>
              </w:rPr>
              <w:t>Boundary</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Identity / Authorization</w:t>
            </w:r>
          </w:p>
        </w:tc>
        <w:tc>
          <w:tcPr>
            <w:tcW w:type="dxa" w:w="7848"/>
            <w:vAlign w:val="center"/>
            <w:tcMar>
              <w:top w:w="90" w:type="dxa"/>
              <w:bottom w:w="90" w:type="dxa"/>
              <w:left w:w="110" w:type="dxa"/>
              <w:right w:w="110" w:type="dxa"/>
            </w:tcMar>
          </w:tcPr>
          <w:p>
            <w:pPr>
              <w:spacing w:after="20" w:line="245" w:lineRule="auto"/>
            </w:pPr>
            <w:r>
              <w:rPr>
                <w:b w:val="0"/>
                <w:sz w:val="18"/>
              </w:rPr>
              <w:t>Authenticate; derive tenant/context; roles and object access; restrictions and approval mandates.</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Entitlements / Metering</w:t>
            </w:r>
          </w:p>
        </w:tc>
        <w:tc>
          <w:tcPr>
            <w:tcW w:type="dxa" w:w="7848"/>
            <w:vAlign w:val="center"/>
            <w:tcMar>
              <w:top w:w="90" w:type="dxa"/>
              <w:bottom w:w="90" w:type="dxa"/>
              <w:left w:w="110" w:type="dxa"/>
              <w:right w:w="110" w:type="dxa"/>
            </w:tcMar>
          </w:tcPr>
          <w:p>
            <w:pPr>
              <w:spacing w:after="20" w:line="245" w:lineRule="auto"/>
            </w:pPr>
            <w:r>
              <w:rPr>
                <w:b w:val="0"/>
                <w:sz w:val="18"/>
              </w:rPr>
              <w:t>Membership/trial grants, quota reservations, operation pricing, BYOK routing and spend caps.</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Playbooks / Marketplace</w:t>
            </w:r>
          </w:p>
        </w:tc>
        <w:tc>
          <w:tcPr>
            <w:tcW w:type="dxa" w:w="7848"/>
            <w:vAlign w:val="center"/>
            <w:tcMar>
              <w:top w:w="90" w:type="dxa"/>
              <w:bottom w:w="90" w:type="dxa"/>
              <w:left w:w="110" w:type="dxa"/>
              <w:right w:w="110" w:type="dxa"/>
            </w:tcMar>
          </w:tcPr>
          <w:p>
            <w:pPr>
              <w:spacing w:after="20" w:line="245" w:lineRule="auto"/>
            </w:pPr>
            <w:r>
              <w:rPr>
                <w:b w:val="0"/>
                <w:sz w:val="18"/>
              </w:rPr>
              <w:t>Versioned SOPs, approved catalog, matching, gigs, proposals, service listings, availability.</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Collaboration / Engagement</w:t>
            </w:r>
          </w:p>
        </w:tc>
        <w:tc>
          <w:tcPr>
            <w:tcW w:type="dxa" w:w="7848"/>
            <w:vAlign w:val="center"/>
            <w:tcMar>
              <w:top w:w="90" w:type="dxa"/>
              <w:bottom w:w="90" w:type="dxa"/>
              <w:left w:w="110" w:type="dxa"/>
              <w:right w:w="110" w:type="dxa"/>
            </w:tcMar>
          </w:tcPr>
          <w:p>
            <w:pPr>
              <w:spacing w:after="20" w:line="245" w:lineRule="auto"/>
            </w:pPr>
            <w:r>
              <w:rPr>
                <w:b w:val="0"/>
                <w:sz w:val="18"/>
              </w:rPr>
              <w:t>Booking, relationship/project channels, contracts, milestones, recurring periods and reviews.</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Payments / Risk</w:t>
            </w:r>
          </w:p>
        </w:tc>
        <w:tc>
          <w:tcPr>
            <w:tcW w:type="dxa" w:w="7848"/>
            <w:vAlign w:val="center"/>
            <w:tcMar>
              <w:top w:w="90" w:type="dxa"/>
              <w:bottom w:w="90" w:type="dxa"/>
              <w:left w:w="110" w:type="dxa"/>
              <w:right w:w="110" w:type="dxa"/>
            </w:tcMar>
          </w:tcPr>
          <w:p>
            <w:pPr>
              <w:spacing w:after="20" w:line="245" w:lineRule="auto"/>
            </w:pPr>
            <w:r>
              <w:rPr>
                <w:b w:val="0"/>
                <w:sz w:val="18"/>
              </w:rPr>
              <w:t>Payment commands, immutable ledger entries, provider reconciliation, chargebacks, holds and evidence.</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Automation / Integrations</w:t>
            </w:r>
          </w:p>
        </w:tc>
        <w:tc>
          <w:tcPr>
            <w:tcW w:type="dxa" w:w="7848"/>
            <w:vAlign w:val="center"/>
            <w:tcMar>
              <w:top w:w="90" w:type="dxa"/>
              <w:bottom w:w="90" w:type="dxa"/>
              <w:left w:w="110" w:type="dxa"/>
              <w:right w:w="110" w:type="dxa"/>
            </w:tcMar>
          </w:tcPr>
          <w:p>
            <w:pPr>
              <w:spacing w:after="20" w:line="245" w:lineRule="auto"/>
            </w:pPr>
            <w:r>
              <w:rPr>
                <w:b w:val="0"/>
                <w:sz w:val="18"/>
              </w:rPr>
              <w:t>Triggers, action proposals, durable execution, OAuth links, member webhooks and adapters.</w:t>
            </w:r>
          </w:p>
        </w:tc>
      </w:tr>
    </w:tbl>
    <w:p>
      <w:pPr>
        <w:spacing w:after="20"/>
      </w:pPr>
    </w:p>
    <w:p>
      <w:r>
        <w:rPr>
          <w:b w:val="0"/>
        </w:rPr>
      </w:r>
      <w:r>
        <w:rPr>
          <w:b/>
        </w:rPr>
        <w:t>Recommended stack:</w:t>
      </w:r>
      <w:r>
        <w:rPr>
          <w:b w:val="0"/>
        </w:rPr>
        <w:t xml:space="preserve"> TypeScript application/API, Supabase Postgres and private storage, GitHub-controlled source, isolated worker deployment and hosted frontend. Select an exact hosting/job vendor in an architecture decision record. Begin as a modular monolith; service boundaries do not require independent microservices.</w:t>
      </w:r>
    </w:p>
    <w:p>
      <w:r>
        <w:rPr>
          <w:b w:val="0"/>
        </w:rPr>
        <w:t>Edge requests acknowledge accepted jobs quickly after durable persistence. Long AI work, file scanning, exports and scheduled workflows run in resumable workers. Supabase Edge Functions have runtime/CPU limits; an in-memory wait or background promise is not durable orchestration. [S05]</w:t>
      </w:r>
    </w:p>
    <w:p>
      <w:r>
        <w:rPr>
          <w:b w:val="0"/>
        </w:rPr>
      </w:r>
      <w:r>
        <w:rPr>
          <w:b/>
        </w:rPr>
        <w:t>Dependency rules:</w:t>
      </w:r>
      <w:r>
        <w:rPr>
          <w:b w:val="0"/>
        </w:rPr>
        <w:t xml:space="preserve"> The model cannot call raw SQL or Stripe directly. Provider code lives in adapters. Application services authorize again at execution. Workers have least-privilege credentials and enforce workspace scope; do not treat possession of a service credential as authority for an arbitrary user action.</w:t>
      </w:r>
    </w:p>
    <w:p>
      <w:r>
        <w:rPr>
          <w:b w:val="0"/>
        </w:rPr>
      </w:r>
      <w:r>
        <w:rPr>
          <w:b/>
        </w:rPr>
        <w:t>Failure behavior:</w:t>
      </w:r>
      <w:r>
        <w:rPr>
          <w:b w:val="0"/>
        </w:rPr>
        <w:t xml:space="preserve"> Read-only saved content may stay available during AI outages. New payments, external writes and private retrieval fail closed when authorization is indeterminate. Queues isolate provider outages; per-tenant concurrency prevents one heavy user from starving others.</w:t>
      </w:r>
    </w:p>
    <w:p>
      <w:r>
        <w:br w:type="page"/>
      </w:r>
    </w:p>
    <w:p>
      <w:pPr>
        <w:pStyle w:val="Heading1"/>
      </w:pPr>
      <w:r>
        <w:t>5. Core data model and invariants</w:t>
      </w:r>
    </w:p>
    <w:tbl>
      <w:tblPr>
        <w:tblW w:type="auto" w:w="0"/>
        <w:jc w:val="center"/>
        <w:tblLayout w:type="fixed"/>
        <w:tblLook w:firstColumn="1" w:firstRow="1" w:lastColumn="0" w:lastRow="0" w:noHBand="0" w:noVBand="1" w:val="04A0"/>
      </w:tblPr>
      <w:tblGrid>
        <w:gridCol w:w="2016"/>
        <w:gridCol w:w="8208"/>
      </w:tblGrid>
      <w:tr>
        <w:trPr>
          <w:tblHeader/>
          <w:cantSplit/>
        </w:trPr>
        <w:tc>
          <w:tcPr>
            <w:tcW w:type="dxa" w:w="2016"/>
            <w:vAlign w:val="center"/>
            <w:tcMar>
              <w:top w:w="90" w:type="dxa"/>
              <w:bottom w:w="90" w:type="dxa"/>
              <w:left w:w="110" w:type="dxa"/>
              <w:right w:w="110" w:type="dxa"/>
            </w:tcMar>
            <w:shd w:fill="8B1F3F"/>
          </w:tcPr>
          <w:p>
            <w:pPr>
              <w:spacing w:after="20" w:line="245" w:lineRule="auto"/>
            </w:pPr>
            <w:r>
              <w:rPr>
                <w:b/>
                <w:color w:val="FFFFFF"/>
                <w:sz w:val="18"/>
              </w:rPr>
              <w:t>Object group</w:t>
            </w:r>
          </w:p>
        </w:tc>
        <w:tc>
          <w:tcPr>
            <w:tcW w:type="dxa" w:w="8208"/>
            <w:vAlign w:val="center"/>
            <w:tcMar>
              <w:top w:w="90" w:type="dxa"/>
              <w:bottom w:w="90" w:type="dxa"/>
              <w:left w:w="110" w:type="dxa"/>
              <w:right w:w="110" w:type="dxa"/>
            </w:tcMar>
            <w:shd w:fill="8B1F3F"/>
          </w:tcPr>
          <w:p>
            <w:pPr>
              <w:spacing w:after="20" w:line="245" w:lineRule="auto"/>
            </w:pPr>
            <w:r>
              <w:rPr>
                <w:b/>
                <w:color w:val="FFFFFF"/>
                <w:sz w:val="18"/>
              </w:rPr>
              <w:t>Minimum fields / constraints</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Identity / organizations</w:t>
            </w:r>
          </w:p>
        </w:tc>
        <w:tc>
          <w:tcPr>
            <w:tcW w:type="dxa" w:w="8208"/>
            <w:vAlign w:val="center"/>
            <w:tcMar>
              <w:top w:w="90" w:type="dxa"/>
              <w:bottom w:w="90" w:type="dxa"/>
              <w:left w:w="110" w:type="dxa"/>
              <w:right w:w="110" w:type="dxa"/>
            </w:tcMar>
          </w:tcPr>
          <w:p>
            <w:pPr>
              <w:spacing w:after="20" w:line="245" w:lineRule="auto"/>
            </w:pPr>
            <w:r>
              <w:rPr>
                <w:b w:val="0"/>
                <w:sz w:val="18"/>
              </w:rPr>
              <w:t>person_id, bd_member_id unique, organization_id, member_role, status, effective dates; one person may belong to multiple firms/agencies.</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Credentials / eligibility</w:t>
            </w:r>
          </w:p>
        </w:tc>
        <w:tc>
          <w:tcPr>
            <w:tcW w:type="dxa" w:w="8208"/>
            <w:vAlign w:val="center"/>
            <w:tcMar>
              <w:top w:w="90" w:type="dxa"/>
              <w:bottom w:w="90" w:type="dxa"/>
              <w:left w:w="110" w:type="dxa"/>
              <w:right w:w="110" w:type="dxa"/>
            </w:tcMar>
          </w:tcPr>
          <w:p>
            <w:pPr>
              <w:spacing w:after="20" w:line="245" w:lineRule="auto"/>
            </w:pPr>
            <w:r>
              <w:rPr>
                <w:b w:val="0"/>
                <w:sz w:val="18"/>
              </w:rPr>
              <w:t>credential issuer/country/jurisdiction/number, raw status, normalized eligibility, identity evidence reference, verification timestamp; no universal state-bar format.</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Playbooks / memory</w:t>
            </w:r>
          </w:p>
        </w:tc>
        <w:tc>
          <w:tcPr>
            <w:tcW w:type="dxa" w:w="8208"/>
            <w:vAlign w:val="center"/>
            <w:tcMar>
              <w:top w:w="90" w:type="dxa"/>
              <w:bottom w:w="90" w:type="dxa"/>
              <w:left w:w="110" w:type="dxa"/>
              <w:right w:w="110" w:type="dxa"/>
            </w:tcMar>
          </w:tcPr>
          <w:p>
            <w:pPr>
              <w:spacing w:after="20" w:line="245" w:lineRule="auto"/>
            </w:pPr>
            <w:r>
              <w:rPr>
                <w:b w:val="0"/>
                <w:sz w:val="18"/>
              </w:rPr>
              <w:t>owner scope, matter/engagement context, immutable version_id, schema_version, source/provenance, approval state, sensitivity, license and retention class.</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Gig / proposal</w:t>
            </w:r>
          </w:p>
        </w:tc>
        <w:tc>
          <w:tcPr>
            <w:tcW w:type="dxa" w:w="8208"/>
            <w:vAlign w:val="center"/>
            <w:tcMar>
              <w:top w:w="90" w:type="dxa"/>
              <w:bottom w:w="90" w:type="dxa"/>
              <w:left w:w="110" w:type="dxa"/>
              <w:right w:w="110" w:type="dxa"/>
            </w:tcMar>
          </w:tcPr>
          <w:p>
            <w:pPr>
              <w:spacing w:after="20" w:line="245" w:lineRule="auto"/>
            </w:pPr>
            <w:r>
              <w:rPr>
                <w:b w:val="0"/>
                <w:sz w:val="18"/>
              </w:rPr>
              <w:t>gig_id, published/expires/review-deadline timestamps, extension count, budget range/currency, multiple-hire flag; one current proposal per person/gig with versions.</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Engagement / milestone</w:t>
            </w:r>
          </w:p>
        </w:tc>
        <w:tc>
          <w:tcPr>
            <w:tcW w:type="dxa" w:w="8208"/>
            <w:vAlign w:val="center"/>
            <w:tcMar>
              <w:top w:w="90" w:type="dxa"/>
              <w:bottom w:w="90" w:type="dxa"/>
              <w:left w:w="110" w:type="dxa"/>
              <w:right w:w="110" w:type="dxa"/>
            </w:tcMar>
          </w:tcPr>
          <w:p>
            <w:pPr>
              <w:spacing w:after="20" w:line="245" w:lineRule="auto"/>
            </w:pPr>
            <w:r>
              <w:rPr>
                <w:b w:val="0"/>
                <w:sz w:val="18"/>
              </w:rPr>
              <w:t>contracting entities, signed contract version/hash, fee-policy snapshot, payment provider, milestone prices, deliverable/rubric versions, review clock and acceptance evidence.</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Recurring / mandate</w:t>
            </w:r>
          </w:p>
        </w:tc>
        <w:tc>
          <w:tcPr>
            <w:tcW w:type="dxa" w:w="8208"/>
            <w:vAlign w:val="center"/>
            <w:tcMar>
              <w:top w:w="90" w:type="dxa"/>
              <w:bottom w:w="90" w:type="dxa"/>
              <w:left w:w="110" w:type="dxa"/>
              <w:right w:w="110" w:type="dxa"/>
            </w:tcMar>
          </w:tcPr>
          <w:p>
            <w:pPr>
              <w:spacing w:after="20" w:line="245" w:lineRule="auto"/>
            </w:pPr>
            <w:r>
              <w:rPr>
                <w:b w:val="0"/>
                <w:sz w:val="18"/>
              </w:rPr>
              <w:t>billing period, timezone/cadence, period scope/price snapshot, cancellation state; authorization grant with limits, expiry, approvers and revocation.</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Financial / events</w:t>
            </w:r>
          </w:p>
        </w:tc>
        <w:tc>
          <w:tcPr>
            <w:tcW w:type="dxa" w:w="8208"/>
            <w:vAlign w:val="center"/>
            <w:tcMar>
              <w:top w:w="90" w:type="dxa"/>
              <w:bottom w:w="90" w:type="dxa"/>
              <w:left w:w="110" w:type="dxa"/>
              <w:right w:w="110" w:type="dxa"/>
            </w:tcMar>
          </w:tcPr>
          <w:p>
            <w:pPr>
              <w:spacing w:after="20" w:line="245" w:lineRule="auto"/>
            </w:pPr>
            <w:r>
              <w:rPr>
                <w:b w:val="0"/>
                <w:sz w:val="18"/>
              </w:rPr>
              <w:t>Money in integer minor units plus currency; provider account and object IDs; immutable journal, idempotency key, causal/correlation ID and event schema version.</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Collaboration / content</w:t>
            </w:r>
          </w:p>
        </w:tc>
        <w:tc>
          <w:tcPr>
            <w:tcW w:type="dxa" w:w="8208"/>
            <w:vAlign w:val="center"/>
            <w:tcMar>
              <w:top w:w="90" w:type="dxa"/>
              <w:bottom w:w="90" w:type="dxa"/>
              <w:left w:w="110" w:type="dxa"/>
              <w:right w:w="110" w:type="dxa"/>
            </w:tcMar>
          </w:tcPr>
          <w:p>
            <w:pPr>
              <w:spacing w:after="20" w:line="245" w:lineRule="auto"/>
            </w:pPr>
            <w:r>
              <w:rPr>
                <w:b w:val="0"/>
                <w:sz w:val="18"/>
              </w:rPr>
              <w:t>conversation type, participant grants, relationship/engagement ID, message revision history, file ACL and lifecycle, review source type.</w:t>
            </w:r>
          </w:p>
        </w:tc>
      </w:tr>
    </w:tbl>
    <w:p>
      <w:pPr>
        <w:spacing w:after="20"/>
      </w:pPr>
    </w:p>
    <w:p>
      <w:r>
        <w:rPr>
          <w:b w:val="0"/>
        </w:rPr>
      </w:r>
      <w:r>
        <w:rPr>
          <w:b/>
        </w:rPr>
        <w:t>Enforce in the database:</w:t>
      </w:r>
      <w:r>
        <w:rPr>
          <w:b w:val="0"/>
        </w:rPr>
        <w:t xml:space="preserve"> Foreign keys; unique provider-event IDs within provider/account; unique recurring period per agreement/date; unique task occurrence per template/date; one fee allocation per installment/version; money allocation sums; concurrent quota reservations cannot overspend; deleted/revoked grants cannot authorize queued work.</w:t>
      </w:r>
    </w:p>
    <w:p>
      <w:r>
        <w:rPr>
          <w:b w:val="0"/>
        </w:rPr>
        <w:t>Use UTC timestamps for events and IANA timezones for user schedules. Store the rule/version that generated a deadline. Preserve raw provider status separately from normalized internal status. Financial and signed-contract history is append-only; corrections are compensating records.</w:t>
      </w:r>
    </w:p>
    <w:p>
      <w:r>
        <w:rPr>
          <w:b w:val="0"/>
        </w:rPr>
      </w:r>
      <w:r>
        <w:rPr>
          <w:b/>
        </w:rPr>
        <w:t>Future hooks required now:</w:t>
      </w:r>
      <w:r>
        <w:rPr>
          <w:b w:val="0"/>
        </w:rPr>
        <w:t xml:space="preserve"> attachment_type, product_type, origin (chat/capture/import/marketplace), capability registry, provider reference, license reference, automation mandate, immutable template version and an external-record map. These allow capture, paid playbooks, MCP and second payment providers without replacing core records.</w:t>
      </w:r>
    </w:p>
    <w:p>
      <w:r>
        <w:br w:type="page"/>
      </w:r>
    </w:p>
    <w:p>
      <w:pPr>
        <w:pStyle w:val="Heading1"/>
      </w:pPr>
      <w:r>
        <w:t>6. Authorization and workspace boundaries</w:t>
      </w:r>
    </w:p>
    <w:p>
      <w:r>
        <w:rPr>
          <w:b w:val="0"/>
        </w:rPr>
        <w:t>Effective authorization is the intersection of authenticated identity, organization membership, object ACL, professional verification, membership entitlement, automation mandate, security state and provider permission. Payment access also requires current financial conditions. Denial at any boundary wins.</w:t>
      </w:r>
    </w:p>
    <w:tbl>
      <w:tblPr>
        <w:tblW w:type="auto" w:w="0"/>
        <w:jc w:val="center"/>
        <w:tblLayout w:type="fixed"/>
        <w:tblLook w:firstColumn="1" w:firstRow="1" w:lastColumn="0" w:lastRow="0" w:noHBand="0" w:noVBand="1" w:val="04A0"/>
      </w:tblPr>
      <w:tblGrid>
        <w:gridCol w:w="2088"/>
        <w:gridCol w:w="3960"/>
        <w:gridCol w:w="4176"/>
      </w:tblGrid>
      <w:tr>
        <w:trPr>
          <w:tblHeader/>
          <w:cantSplit/>
        </w:trPr>
        <w:tc>
          <w:tcPr>
            <w:tcW w:type="dxa" w:w="2088"/>
            <w:vAlign w:val="center"/>
            <w:tcMar>
              <w:top w:w="90" w:type="dxa"/>
              <w:bottom w:w="90" w:type="dxa"/>
              <w:left w:w="110" w:type="dxa"/>
              <w:right w:w="110" w:type="dxa"/>
            </w:tcMar>
            <w:shd w:fill="8B1F3F"/>
          </w:tcPr>
          <w:p>
            <w:pPr>
              <w:spacing w:after="20" w:line="245" w:lineRule="auto"/>
            </w:pPr>
            <w:r>
              <w:rPr>
                <w:b/>
                <w:color w:val="FFFFFF"/>
                <w:sz w:val="18"/>
              </w:rPr>
              <w:t>Role / context</w:t>
            </w:r>
          </w:p>
        </w:tc>
        <w:tc>
          <w:tcPr>
            <w:tcW w:type="dxa" w:w="3960"/>
            <w:vAlign w:val="center"/>
            <w:tcMar>
              <w:top w:w="90" w:type="dxa"/>
              <w:bottom w:w="90" w:type="dxa"/>
              <w:left w:w="110" w:type="dxa"/>
              <w:right w:w="110" w:type="dxa"/>
            </w:tcMar>
            <w:shd w:fill="8B1F3F"/>
          </w:tcPr>
          <w:p>
            <w:pPr>
              <w:spacing w:after="20" w:line="245" w:lineRule="auto"/>
            </w:pPr>
            <w:r>
              <w:rPr>
                <w:b/>
                <w:color w:val="FFFFFF"/>
                <w:sz w:val="18"/>
              </w:rPr>
              <w:t>Permitted baseline</w:t>
            </w:r>
          </w:p>
        </w:tc>
        <w:tc>
          <w:tcPr>
            <w:tcW w:type="dxa" w:w="4176"/>
            <w:vAlign w:val="center"/>
            <w:tcMar>
              <w:top w:w="90" w:type="dxa"/>
              <w:bottom w:w="90" w:type="dxa"/>
              <w:left w:w="110" w:type="dxa"/>
              <w:right w:w="110" w:type="dxa"/>
            </w:tcMar>
            <w:shd w:fill="8B1F3F"/>
          </w:tcPr>
          <w:p>
            <w:pPr>
              <w:spacing w:after="20" w:line="245" w:lineRule="auto"/>
            </w:pPr>
            <w:r>
              <w:rPr>
                <w:b/>
                <w:color w:val="FFFFFF"/>
                <w:sz w:val="18"/>
              </w:rPr>
              <w:t>Never implicit</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Unverified attorney account</w:t>
            </w:r>
          </w:p>
        </w:tc>
        <w:tc>
          <w:tcPr>
            <w:tcW w:type="dxa" w:w="3960"/>
            <w:vAlign w:val="center"/>
            <w:tcMar>
              <w:top w:w="90" w:type="dxa"/>
              <w:bottom w:w="90" w:type="dxa"/>
              <w:left w:w="110" w:type="dxa"/>
              <w:right w:w="110" w:type="dxa"/>
            </w:tcMar>
          </w:tcPr>
          <w:p>
            <w:pPr>
              <w:spacing w:after="20" w:line="245" w:lineRule="auto"/>
            </w:pPr>
            <w:r>
              <w:rPr>
                <w:b w:val="0"/>
                <w:sz w:val="18"/>
              </w:rPr>
              <w:t>Own limited planning and saved content</w:t>
            </w:r>
          </w:p>
        </w:tc>
        <w:tc>
          <w:tcPr>
            <w:tcW w:type="dxa" w:w="4176"/>
            <w:vAlign w:val="center"/>
            <w:tcMar>
              <w:top w:w="90" w:type="dxa"/>
              <w:bottom w:w="90" w:type="dxa"/>
              <w:left w:w="110" w:type="dxa"/>
              <w:right w:w="110" w:type="dxa"/>
            </w:tcMar>
          </w:tcPr>
          <w:p>
            <w:pPr>
              <w:spacing w:after="20" w:line="245" w:lineRule="auto"/>
            </w:pPr>
            <w:r>
              <w:rPr>
                <w:b w:val="0"/>
                <w:sz w:val="18"/>
              </w:rPr>
              <w:t>Hiring, invitation, billing authority or another firm's data</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Verified attorney</w:t>
            </w:r>
          </w:p>
        </w:tc>
        <w:tc>
          <w:tcPr>
            <w:tcW w:type="dxa" w:w="3960"/>
            <w:vAlign w:val="center"/>
            <w:tcMar>
              <w:top w:w="90" w:type="dxa"/>
              <w:bottom w:w="90" w:type="dxa"/>
              <w:left w:w="110" w:type="dxa"/>
              <w:right w:w="110" w:type="dxa"/>
            </w:tcMar>
          </w:tcPr>
          <w:p>
            <w:pPr>
              <w:spacing w:after="20" w:line="245" w:lineRule="auto"/>
            </w:pPr>
            <w:r>
              <w:rPr>
                <w:b w:val="0"/>
                <w:sz w:val="18"/>
              </w:rPr>
              <w:t>Own authorized firm/matter work; hire within spending role</w:t>
            </w:r>
          </w:p>
        </w:tc>
        <w:tc>
          <w:tcPr>
            <w:tcW w:type="dxa" w:w="4176"/>
            <w:vAlign w:val="center"/>
            <w:tcMar>
              <w:top w:w="90" w:type="dxa"/>
              <w:bottom w:w="90" w:type="dxa"/>
              <w:left w:w="110" w:type="dxa"/>
              <w:right w:w="110" w:type="dxa"/>
            </w:tcMar>
          </w:tcPr>
          <w:p>
            <w:pPr>
              <w:spacing w:after="20" w:line="245" w:lineRule="auto"/>
            </w:pPr>
            <w:r>
              <w:rPr>
                <w:b w:val="0"/>
                <w:sz w:val="18"/>
              </w:rPr>
              <w:t>All firm matters or agency-internal information</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Firm owner / manager</w:t>
            </w:r>
          </w:p>
        </w:tc>
        <w:tc>
          <w:tcPr>
            <w:tcW w:type="dxa" w:w="3960"/>
            <w:vAlign w:val="center"/>
            <w:tcMar>
              <w:top w:w="90" w:type="dxa"/>
              <w:bottom w:w="90" w:type="dxa"/>
              <w:left w:w="110" w:type="dxa"/>
              <w:right w:w="110" w:type="dxa"/>
            </w:tcMar>
          </w:tcPr>
          <w:p>
            <w:pPr>
              <w:spacing w:after="20" w:line="245" w:lineRule="auto"/>
            </w:pPr>
            <w:r>
              <w:rPr>
                <w:b w:val="0"/>
                <w:sz w:val="18"/>
              </w:rPr>
              <w:t>Manage permitted library/bench and user grants</w:t>
            </w:r>
          </w:p>
        </w:tc>
        <w:tc>
          <w:tcPr>
            <w:tcW w:type="dxa" w:w="4176"/>
            <w:vAlign w:val="center"/>
            <w:tcMar>
              <w:top w:w="90" w:type="dxa"/>
              <w:bottom w:w="90" w:type="dxa"/>
              <w:left w:w="110" w:type="dxa"/>
              <w:right w:w="110" w:type="dxa"/>
            </w:tcMar>
          </w:tcPr>
          <w:p>
            <w:pPr>
              <w:spacing w:after="20" w:line="245" w:lineRule="auto"/>
            </w:pPr>
            <w:r>
              <w:rPr>
                <w:b w:val="0"/>
                <w:sz w:val="18"/>
              </w:rPr>
              <w:t>Read sealed personal/matter records without policy authority</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Firm team member</w:t>
            </w:r>
          </w:p>
        </w:tc>
        <w:tc>
          <w:tcPr>
            <w:tcW w:type="dxa" w:w="3960"/>
            <w:vAlign w:val="center"/>
            <w:tcMar>
              <w:top w:w="90" w:type="dxa"/>
              <w:bottom w:w="90" w:type="dxa"/>
              <w:left w:w="110" w:type="dxa"/>
              <w:right w:w="110" w:type="dxa"/>
            </w:tcMar>
          </w:tcPr>
          <w:p>
            <w:pPr>
              <w:spacing w:after="20" w:line="245" w:lineRule="auto"/>
            </w:pPr>
            <w:r>
              <w:rPr>
                <w:b w:val="0"/>
                <w:sz w:val="18"/>
              </w:rPr>
              <w:t>Specific view/edit/internal-share tasks</w:t>
            </w:r>
          </w:p>
        </w:tc>
        <w:tc>
          <w:tcPr>
            <w:tcW w:type="dxa" w:w="4176"/>
            <w:vAlign w:val="center"/>
            <w:tcMar>
              <w:top w:w="90" w:type="dxa"/>
              <w:bottom w:w="90" w:type="dxa"/>
              <w:left w:w="110" w:type="dxa"/>
              <w:right w:w="110" w:type="dxa"/>
            </w:tcMar>
          </w:tcPr>
          <w:p>
            <w:pPr>
              <w:spacing w:after="20" w:line="245" w:lineRule="auto"/>
            </w:pPr>
            <w:r>
              <w:rPr>
                <w:b w:val="0"/>
                <w:sz w:val="18"/>
              </w:rPr>
              <w:t>Payment authorization solely from BD subaccount status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Freelancer</w:t>
            </w:r>
          </w:p>
        </w:tc>
        <w:tc>
          <w:tcPr>
            <w:tcW w:type="dxa" w:w="3960"/>
            <w:vAlign w:val="center"/>
            <w:tcMar>
              <w:top w:w="90" w:type="dxa"/>
              <w:bottom w:w="90" w:type="dxa"/>
              <w:left w:w="110" w:type="dxa"/>
              <w:right w:w="110" w:type="dxa"/>
            </w:tcMar>
          </w:tcPr>
          <w:p>
            <w:pPr>
              <w:spacing w:after="20" w:line="245" w:lineRule="auto"/>
            </w:pPr>
            <w:r>
              <w:rPr>
                <w:b w:val="0"/>
                <w:sz w:val="18"/>
              </w:rPr>
              <w:t>Own business; invited brief; assigned engagement</w:t>
            </w:r>
          </w:p>
        </w:tc>
        <w:tc>
          <w:tcPr>
            <w:tcW w:type="dxa" w:w="4176"/>
            <w:vAlign w:val="center"/>
            <w:tcMar>
              <w:top w:w="90" w:type="dxa"/>
              <w:bottom w:w="90" w:type="dxa"/>
              <w:left w:w="110" w:type="dxa"/>
              <w:right w:w="110" w:type="dxa"/>
            </w:tcMar>
          </w:tcPr>
          <w:p>
            <w:pPr>
              <w:spacing w:after="20" w:line="245" w:lineRule="auto"/>
            </w:pPr>
            <w:r>
              <w:rPr>
                <w:b w:val="0"/>
                <w:sz w:val="18"/>
              </w:rPr>
              <w:t>Attorney-wide integrations, competing firm work or hidden budget history</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Agency owner / team</w:t>
            </w:r>
          </w:p>
        </w:tc>
        <w:tc>
          <w:tcPr>
            <w:tcW w:type="dxa" w:w="3960"/>
            <w:vAlign w:val="center"/>
            <w:tcMar>
              <w:top w:w="90" w:type="dxa"/>
              <w:bottom w:w="90" w:type="dxa"/>
              <w:left w:w="110" w:type="dxa"/>
              <w:right w:w="110" w:type="dxa"/>
            </w:tcMar>
          </w:tcPr>
          <w:p>
            <w:pPr>
              <w:spacing w:after="20" w:line="245" w:lineRule="auto"/>
            </w:pPr>
            <w:r>
              <w:rPr>
                <w:b w:val="0"/>
                <w:sz w:val="18"/>
              </w:rPr>
              <w:t>Explicitly assigned agency/engagement resources</w:t>
            </w:r>
          </w:p>
        </w:tc>
        <w:tc>
          <w:tcPr>
            <w:tcW w:type="dxa" w:w="4176"/>
            <w:vAlign w:val="center"/>
            <w:tcMar>
              <w:top w:w="90" w:type="dxa"/>
              <w:bottom w:w="90" w:type="dxa"/>
              <w:left w:w="110" w:type="dxa"/>
              <w:right w:w="110" w:type="dxa"/>
            </w:tcMar>
          </w:tcPr>
          <w:p>
            <w:pPr>
              <w:spacing w:after="20" w:line="245" w:lineRule="auto"/>
            </w:pPr>
            <w:r>
              <w:rPr>
                <w:b w:val="0"/>
                <w:sz w:val="18"/>
              </w:rPr>
              <w:t>Owner access to all client records or auto-approved subcontracting</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Operations / reviewer</w:t>
            </w:r>
          </w:p>
        </w:tc>
        <w:tc>
          <w:tcPr>
            <w:tcW w:type="dxa" w:w="3960"/>
            <w:vAlign w:val="center"/>
            <w:tcMar>
              <w:top w:w="90" w:type="dxa"/>
              <w:bottom w:w="90" w:type="dxa"/>
              <w:left w:w="110" w:type="dxa"/>
              <w:right w:w="110" w:type="dxa"/>
            </w:tcMar>
          </w:tcPr>
          <w:p>
            <w:pPr>
              <w:spacing w:after="20" w:line="245" w:lineRule="auto"/>
            </w:pPr>
            <w:r>
              <w:rPr>
                <w:b w:val="0"/>
                <w:sz w:val="18"/>
              </w:rPr>
              <w:t>Case-specific access; time-limited escalation</w:t>
            </w:r>
          </w:p>
        </w:tc>
        <w:tc>
          <w:tcPr>
            <w:tcW w:type="dxa" w:w="4176"/>
            <w:vAlign w:val="center"/>
            <w:tcMar>
              <w:top w:w="90" w:type="dxa"/>
              <w:bottom w:w="90" w:type="dxa"/>
              <w:left w:w="110" w:type="dxa"/>
              <w:right w:w="110" w:type="dxa"/>
            </w:tcMar>
          </w:tcPr>
          <w:p>
            <w:pPr>
              <w:spacing w:after="20" w:line="245" w:lineRule="auto"/>
            </w:pPr>
            <w:r>
              <w:rPr>
                <w:b w:val="0"/>
                <w:sz w:val="18"/>
              </w:rPr>
              <w:t>Bulk confidential access, unrestricted finance or erased audit history</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DELA agent</w:t>
            </w:r>
          </w:p>
        </w:tc>
        <w:tc>
          <w:tcPr>
            <w:tcW w:type="dxa" w:w="3960"/>
            <w:vAlign w:val="center"/>
            <w:tcMar>
              <w:top w:w="90" w:type="dxa"/>
              <w:bottom w:w="90" w:type="dxa"/>
              <w:left w:w="110" w:type="dxa"/>
              <w:right w:w="110" w:type="dxa"/>
            </w:tcMar>
          </w:tcPr>
          <w:p>
            <w:pPr>
              <w:spacing w:after="20" w:line="245" w:lineRule="auto"/>
            </w:pPr>
            <w:r>
              <w:rPr>
                <w:b w:val="0"/>
                <w:sz w:val="18"/>
              </w:rPr>
              <w:t>Tool-by-tool delegated permissions</w:t>
            </w:r>
          </w:p>
        </w:tc>
        <w:tc>
          <w:tcPr>
            <w:tcW w:type="dxa" w:w="4176"/>
            <w:vAlign w:val="center"/>
            <w:tcMar>
              <w:top w:w="90" w:type="dxa"/>
              <w:bottom w:w="90" w:type="dxa"/>
              <w:left w:w="110" w:type="dxa"/>
              <w:right w:w="110" w:type="dxa"/>
            </w:tcMar>
          </w:tcPr>
          <w:p>
            <w:pPr>
              <w:spacing w:after="20" w:line="245" w:lineRule="auto"/>
            </w:pPr>
            <w:r>
              <w:rPr>
                <w:b w:val="0"/>
                <w:sz w:val="18"/>
              </w:rPr>
              <w:t>Self-approval, expanded grants or model-generated authority</w:t>
            </w:r>
          </w:p>
        </w:tc>
      </w:tr>
    </w:tbl>
    <w:p>
      <w:pPr>
        <w:spacing w:after="20"/>
      </w:pPr>
    </w:p>
    <w:p>
      <w:r>
        <w:rPr>
          <w:b w:val="0"/>
        </w:rPr>
        <w:t>RLS must protect exposed Postgres tables and permission-aware vector retrieval. Security-definer functions, views, service roles and background workers require separate checks; privileged keys can bypass RLS. Storage/realtime subscriptions/caches must enforce the same boundaries. [S03]</w:t>
      </w:r>
    </w:p>
    <w:p>
      <w:r>
        <w:rPr>
          <w:b w:val="0"/>
        </w:rPr>
      </w:r>
      <w:r>
        <w:rPr>
          <w:b/>
        </w:rPr>
        <w:t>Revocation:</w:t>
      </w:r>
      <w:r>
        <w:rPr>
          <w:b w:val="0"/>
        </w:rPr>
        <w:t xml:space="preserve"> Remove membership or bench grant -&gt; increment authorization version -&gt; invalidate sessions/caches as appropriate -&gt; cancel or reauthorize pending jobs -&gt; block new signed URLs. Previously downloaded files cannot be recalled; disclose this limit. Personal benches never become firm property by automatic merge.</w:t>
      </w:r>
    </w:p>
    <w:p>
      <w:r>
        <w:rPr>
          <w:b w:val="0"/>
        </w:rPr>
      </w:r>
      <w:r>
        <w:rPr>
          <w:b/>
        </w:rPr>
        <w:t>Tests:</w:t>
      </w:r>
      <w:r>
        <w:rPr>
          <w:b w:val="0"/>
        </w:rPr>
        <w:t xml:space="preserve"> Change tenant IDs, guess document IDs, remove a team member during a queued job, access a cached answer after revocation, and reuse a signed URL outside its permitted validity. All unauthorized paths must fail without revealing existence or sensitive metadata.</w:t>
      </w:r>
    </w:p>
    <w:p>
      <w:r>
        <w:br w:type="page"/>
      </w:r>
    </w:p>
    <w:p>
      <w:pPr>
        <w:pStyle w:val="Heading1"/>
      </w:pPr>
      <w:r>
        <w:t>7. Registration, verification and match readiness</w:t>
      </w:r>
    </w:p>
    <w:p>
      <w:pPr>
        <w:pStyle w:val="Heading2"/>
      </w:pPr>
      <w:r>
        <w:t>Attorney requirements</w:t>
      </w:r>
    </w:p>
    <w:p>
      <w:r>
        <w:rPr>
          <w:b w:val="0"/>
        </w:rPr>
        <w:t>Separate email verification, professional eligibility and identity-to-license match. Collect legal and entity names, jurisdiction/registration identifiers and independent evidence; resolve name changes manually. Before first paid engagement add business/billing address, signatory authority, business email and appropriate service contact. Do not imply that a bar number or firm domain alone proves identity.</w:t>
      </w:r>
    </w:p>
    <w:p>
      <w:r>
        <w:rPr>
          <w:b w:val="0"/>
        </w:rPr>
        <w:t>Only authorized/verified attorneys may initiate hiring activity. Staff act through a verified firm with explicit role grants. Manual verification is acceptable where official permitted automation is unavailable. Record regulator, method, timestamp and next-check policy; no unlicensed scraping assumptions. International credentials are schema-ready, not enabled.</w:t>
      </w:r>
    </w:p>
    <w:p>
      <w:pPr>
        <w:pStyle w:val="Heading2"/>
      </w:pPr>
      <w:r>
        <w:t>Freelancer readiness</w:t>
      </w:r>
    </w:p>
    <w:p>
      <w:r>
        <w:rPr>
          <w:b w:val="0"/>
        </w:rPr>
        <w:t>Proposed required sections: identity/email and existing verification; headline/summary; practice areas; at least one clear service; relevant experience; declared software skills or none; work/jurisdiction preferences; current availability/capacity; applicable marketplace/confidentiality acknowledgments. A profile score, photo, paid plan or positive reviews are not substitutes for these checks.</w:t>
      </w:r>
    </w:p>
    <w:p>
      <w:r>
        <w:rPr>
          <w:b w:val="0"/>
        </w:rPr>
        <w:t>Dashboard states: incomplete, verification pending, match-ready, availability stale, unavailable and restricted. Explain exact missing items. Keep public profile visibility separate from match eligibility. Declining an invitation promptly is not misconduct; unresponsive patterns need notices and correction rather than automatic quality judgments.</w:t>
      </w:r>
    </w:p>
    <w:p>
      <w:pPr>
        <w:pStyle w:val="ListBullet"/>
      </w:pPr>
      <w:r>
        <w:rPr>
          <w:b w:val="0"/>
        </w:rPr>
        <w:t>R: Reconfirm new-work availability about every 14 days; use a 30-day meaningful-activity lookback only as a tunable test, not an approved rule. Active delivery does not prove spare capacity.</w:t>
      </w:r>
    </w:p>
    <w:p>
      <w:pPr>
        <w:pStyle w:val="ListBullet"/>
      </w:pPr>
      <w:r>
        <w:rPr>
          <w:b w:val="0"/>
        </w:rPr>
        <w:t>R: Secure email availability links require a confirmation page and explicit POST; automated email scanners must not mark someone available.</w:t>
      </w:r>
    </w:p>
    <w:p>
      <w:pPr>
        <w:pStyle w:val="ListBullet"/>
      </w:pPr>
      <w:r>
        <w:rPr>
          <w:b w:val="0"/>
        </w:rPr>
        <w:t>C: Enhanced attorney verification precedes paid work. R: Existing-member onboarding reuses verified profile data and gives migration notices rather than silently hiding the whole directory.</w:t>
      </w:r>
    </w:p>
    <w:p>
      <w:r>
        <w:rPr>
          <w:b w:val="0"/>
        </w:rPr>
      </w:r>
      <w:r>
        <w:rPr>
          <w:b/>
        </w:rPr>
        <w:t>Acceptance:</w:t>
      </w:r>
      <w:r>
        <w:rPr>
          <w:b w:val="0"/>
        </w:rPr>
        <w:t xml:space="preserve"> A new ready freelancer with no history can enter the pool. An expired availability record is excluded at recommendation and invitation time. Verification downtime yields pending, not a false pass or fraud label.</w:t>
      </w:r>
    </w:p>
    <w:p>
      <w:r>
        <w:br w:type="page"/>
      </w:r>
    </w:p>
    <w:p>
      <w:pPr>
        <w:pStyle w:val="Heading1"/>
      </w:pPr>
      <w:r>
        <w:t>8. Memberships, trials and entitlement engine</w:t>
      </w:r>
    </w:p>
    <w:tbl>
      <w:tblPr>
        <w:tblW w:type="auto" w:w="0"/>
        <w:jc w:val="center"/>
        <w:tblLayout w:type="fixed"/>
        <w:tblLook w:firstColumn="1" w:firstRow="1" w:lastColumn="0" w:lastRow="0" w:noHBand="0" w:noVBand="1" w:val="04A0"/>
      </w:tblPr>
      <w:tblGrid>
        <w:gridCol w:w="1584"/>
        <w:gridCol w:w="3888"/>
        <w:gridCol w:w="1944"/>
        <w:gridCol w:w="2808"/>
      </w:tblGrid>
      <w:tr>
        <w:trPr>
          <w:tblHeader/>
          <w:cantSplit/>
        </w:trPr>
        <w:tc>
          <w:tcPr>
            <w:tcW w:type="dxa" w:w="1584"/>
            <w:vAlign w:val="center"/>
            <w:tcMar>
              <w:top w:w="90" w:type="dxa"/>
              <w:bottom w:w="90" w:type="dxa"/>
              <w:left w:w="110" w:type="dxa"/>
              <w:right w:w="110" w:type="dxa"/>
            </w:tcMar>
            <w:shd w:fill="8B1F3F"/>
          </w:tcPr>
          <w:p>
            <w:pPr>
              <w:spacing w:after="20" w:line="245" w:lineRule="auto"/>
            </w:pPr>
            <w:r>
              <w:rPr>
                <w:b/>
                <w:color w:val="FFFFFF"/>
                <w:sz w:val="18"/>
              </w:rPr>
              <w:t>Tier</w:t>
            </w:r>
          </w:p>
        </w:tc>
        <w:tc>
          <w:tcPr>
            <w:tcW w:type="dxa" w:w="3888"/>
            <w:vAlign w:val="center"/>
            <w:tcMar>
              <w:top w:w="90" w:type="dxa"/>
              <w:bottom w:w="90" w:type="dxa"/>
              <w:left w:w="110" w:type="dxa"/>
              <w:right w:w="110" w:type="dxa"/>
            </w:tcMar>
            <w:shd w:fill="8B1F3F"/>
          </w:tcPr>
          <w:p>
            <w:pPr>
              <w:spacing w:after="20" w:line="245" w:lineRule="auto"/>
            </w:pPr>
            <w:r>
              <w:rPr>
                <w:b/>
                <w:color w:val="FFFFFF"/>
                <w:sz w:val="18"/>
              </w:rPr>
              <w:t>Monthly price candidates: attorney / freelancer</w:t>
            </w:r>
          </w:p>
        </w:tc>
        <w:tc>
          <w:tcPr>
            <w:tcW w:type="dxa" w:w="1944"/>
            <w:vAlign w:val="center"/>
            <w:tcMar>
              <w:top w:w="90" w:type="dxa"/>
              <w:bottom w:w="90" w:type="dxa"/>
              <w:left w:w="110" w:type="dxa"/>
              <w:right w:w="110" w:type="dxa"/>
            </w:tcMar>
            <w:shd w:fill="8B1F3F"/>
          </w:tcPr>
          <w:p>
            <w:pPr>
              <w:spacing w:after="20" w:line="245" w:lineRule="auto"/>
            </w:pPr>
            <w:r>
              <w:rPr>
                <w:b/>
                <w:color w:val="FFFFFF"/>
                <w:sz w:val="18"/>
              </w:rPr>
              <w:t>Per-side fee candidate</w:t>
            </w:r>
          </w:p>
        </w:tc>
        <w:tc>
          <w:tcPr>
            <w:tcW w:type="dxa" w:w="2808"/>
            <w:vAlign w:val="center"/>
            <w:tcMar>
              <w:top w:w="90" w:type="dxa"/>
              <w:bottom w:w="90" w:type="dxa"/>
              <w:left w:w="110" w:type="dxa"/>
              <w:right w:w="110" w:type="dxa"/>
            </w:tcMar>
            <w:shd w:fill="8B1F3F"/>
          </w:tcPr>
          <w:p>
            <w:pPr>
              <w:spacing w:after="20" w:line="245" w:lineRule="auto"/>
            </w:pPr>
            <w:r>
              <w:rPr>
                <w:b/>
                <w:color w:val="FFFFFF"/>
                <w:sz w:val="18"/>
              </w:rPr>
              <w:t>Proposal allowance</w:t>
            </w:r>
          </w:p>
        </w:tc>
      </w:tr>
      <w:tr>
        <w:trPr>
          <w:cantSplit/>
        </w:trPr>
        <w:tc>
          <w:tcPr>
            <w:tcW w:type="dxa" w:w="1584"/>
            <w:vAlign w:val="center"/>
            <w:tcMar>
              <w:top w:w="90" w:type="dxa"/>
              <w:bottom w:w="90" w:type="dxa"/>
              <w:left w:w="110" w:type="dxa"/>
              <w:right w:w="110" w:type="dxa"/>
            </w:tcMar>
          </w:tcPr>
          <w:p>
            <w:pPr>
              <w:spacing w:after="20" w:line="245" w:lineRule="auto"/>
            </w:pPr>
            <w:r>
              <w:rPr>
                <w:b w:val="0"/>
                <w:sz w:val="18"/>
              </w:rPr>
              <w:t>Free</w:t>
            </w:r>
          </w:p>
        </w:tc>
        <w:tc>
          <w:tcPr>
            <w:tcW w:type="dxa" w:w="3888"/>
            <w:vAlign w:val="center"/>
            <w:tcMar>
              <w:top w:w="90" w:type="dxa"/>
              <w:bottom w:w="90" w:type="dxa"/>
              <w:left w:w="110" w:type="dxa"/>
              <w:right w:w="110" w:type="dxa"/>
            </w:tcMar>
          </w:tcPr>
          <w:p>
            <w:pPr>
              <w:spacing w:after="20" w:line="245" w:lineRule="auto"/>
            </w:pPr>
            <w:r>
              <w:rPr>
                <w:b w:val="0"/>
                <w:sz w:val="18"/>
              </w:rPr>
              <w:t>$0 / $0</w:t>
            </w:r>
          </w:p>
        </w:tc>
        <w:tc>
          <w:tcPr>
            <w:tcW w:type="dxa" w:w="1944"/>
            <w:vAlign w:val="center"/>
            <w:tcMar>
              <w:top w:w="90" w:type="dxa"/>
              <w:bottom w:w="90" w:type="dxa"/>
              <w:left w:w="110" w:type="dxa"/>
              <w:right w:w="110" w:type="dxa"/>
            </w:tcMar>
          </w:tcPr>
          <w:p>
            <w:pPr>
              <w:spacing w:after="20" w:line="245" w:lineRule="auto"/>
            </w:pPr>
            <w:r>
              <w:rPr>
                <w:b w:val="0"/>
                <w:sz w:val="18"/>
              </w:rPr>
              <w:t>5%</w:t>
            </w:r>
          </w:p>
        </w:tc>
        <w:tc>
          <w:tcPr>
            <w:tcW w:type="dxa" w:w="2808"/>
            <w:vAlign w:val="center"/>
            <w:tcMar>
              <w:top w:w="90" w:type="dxa"/>
              <w:bottom w:w="90" w:type="dxa"/>
              <w:left w:w="110" w:type="dxa"/>
              <w:right w:w="110" w:type="dxa"/>
            </w:tcMar>
          </w:tcPr>
          <w:p>
            <w:pPr>
              <w:spacing w:after="20" w:line="245" w:lineRule="auto"/>
            </w:pPr>
            <w:r>
              <w:rPr>
                <w:b w:val="0"/>
                <w:sz w:val="18"/>
              </w:rPr>
              <w:t>5 / month</w:t>
            </w:r>
          </w:p>
        </w:tc>
      </w:tr>
      <w:tr>
        <w:trPr>
          <w:cantSplit/>
        </w:trPr>
        <w:tc>
          <w:tcPr>
            <w:tcW w:type="dxa" w:w="1584"/>
            <w:vAlign w:val="center"/>
            <w:tcMar>
              <w:top w:w="90" w:type="dxa"/>
              <w:bottom w:w="90" w:type="dxa"/>
              <w:left w:w="110" w:type="dxa"/>
              <w:right w:w="110" w:type="dxa"/>
            </w:tcMar>
          </w:tcPr>
          <w:p>
            <w:pPr>
              <w:spacing w:after="20" w:line="245" w:lineRule="auto"/>
            </w:pPr>
            <w:r>
              <w:rPr>
                <w:b w:val="0"/>
                <w:sz w:val="18"/>
              </w:rPr>
              <w:t>Plus</w:t>
            </w:r>
          </w:p>
        </w:tc>
        <w:tc>
          <w:tcPr>
            <w:tcW w:type="dxa" w:w="3888"/>
            <w:vAlign w:val="center"/>
            <w:tcMar>
              <w:top w:w="90" w:type="dxa"/>
              <w:bottom w:w="90" w:type="dxa"/>
              <w:left w:w="110" w:type="dxa"/>
              <w:right w:w="110" w:type="dxa"/>
            </w:tcMar>
          </w:tcPr>
          <w:p>
            <w:pPr>
              <w:spacing w:after="20" w:line="245" w:lineRule="auto"/>
            </w:pPr>
            <w:r>
              <w:rPr>
                <w:b w:val="0"/>
                <w:sz w:val="18"/>
              </w:rPr>
              <w:t>$19 / $12</w:t>
            </w:r>
          </w:p>
        </w:tc>
        <w:tc>
          <w:tcPr>
            <w:tcW w:type="dxa" w:w="1944"/>
            <w:vAlign w:val="center"/>
            <w:tcMar>
              <w:top w:w="90" w:type="dxa"/>
              <w:bottom w:w="90" w:type="dxa"/>
              <w:left w:w="110" w:type="dxa"/>
              <w:right w:w="110" w:type="dxa"/>
            </w:tcMar>
          </w:tcPr>
          <w:p>
            <w:pPr>
              <w:spacing w:after="20" w:line="245" w:lineRule="auto"/>
            </w:pPr>
            <w:r>
              <w:rPr>
                <w:b w:val="0"/>
                <w:sz w:val="18"/>
              </w:rPr>
              <w:t>4%</w:t>
            </w:r>
          </w:p>
        </w:tc>
        <w:tc>
          <w:tcPr>
            <w:tcW w:type="dxa" w:w="2808"/>
            <w:vAlign w:val="center"/>
            <w:tcMar>
              <w:top w:w="90" w:type="dxa"/>
              <w:bottom w:w="90" w:type="dxa"/>
              <w:left w:w="110" w:type="dxa"/>
              <w:right w:w="110" w:type="dxa"/>
            </w:tcMar>
          </w:tcPr>
          <w:p>
            <w:pPr>
              <w:spacing w:after="20" w:line="245" w:lineRule="auto"/>
            </w:pPr>
            <w:r>
              <w:rPr>
                <w:b w:val="0"/>
                <w:sz w:val="18"/>
              </w:rPr>
              <w:t>20 / month</w:t>
            </w:r>
          </w:p>
        </w:tc>
      </w:tr>
      <w:tr>
        <w:trPr>
          <w:cantSplit/>
        </w:trPr>
        <w:tc>
          <w:tcPr>
            <w:tcW w:type="dxa" w:w="1584"/>
            <w:vAlign w:val="center"/>
            <w:tcMar>
              <w:top w:w="90" w:type="dxa"/>
              <w:bottom w:w="90" w:type="dxa"/>
              <w:left w:w="110" w:type="dxa"/>
              <w:right w:w="110" w:type="dxa"/>
            </w:tcMar>
          </w:tcPr>
          <w:p>
            <w:pPr>
              <w:spacing w:after="20" w:line="245" w:lineRule="auto"/>
            </w:pPr>
            <w:r>
              <w:rPr>
                <w:b w:val="0"/>
                <w:sz w:val="18"/>
              </w:rPr>
              <w:t>Pro</w:t>
            </w:r>
          </w:p>
        </w:tc>
        <w:tc>
          <w:tcPr>
            <w:tcW w:type="dxa" w:w="3888"/>
            <w:vAlign w:val="center"/>
            <w:tcMar>
              <w:top w:w="90" w:type="dxa"/>
              <w:bottom w:w="90" w:type="dxa"/>
              <w:left w:w="110" w:type="dxa"/>
              <w:right w:w="110" w:type="dxa"/>
            </w:tcMar>
          </w:tcPr>
          <w:p>
            <w:pPr>
              <w:spacing w:after="20" w:line="245" w:lineRule="auto"/>
            </w:pPr>
            <w:r>
              <w:rPr>
                <w:b w:val="0"/>
                <w:sz w:val="18"/>
              </w:rPr>
              <w:t>$49 / $29</w:t>
            </w:r>
          </w:p>
        </w:tc>
        <w:tc>
          <w:tcPr>
            <w:tcW w:type="dxa" w:w="1944"/>
            <w:vAlign w:val="center"/>
            <w:tcMar>
              <w:top w:w="90" w:type="dxa"/>
              <w:bottom w:w="90" w:type="dxa"/>
              <w:left w:w="110" w:type="dxa"/>
              <w:right w:w="110" w:type="dxa"/>
            </w:tcMar>
          </w:tcPr>
          <w:p>
            <w:pPr>
              <w:spacing w:after="20" w:line="245" w:lineRule="auto"/>
            </w:pPr>
            <w:r>
              <w:rPr>
                <w:b w:val="0"/>
                <w:sz w:val="18"/>
              </w:rPr>
              <w:t>3.5%</w:t>
            </w:r>
          </w:p>
        </w:tc>
        <w:tc>
          <w:tcPr>
            <w:tcW w:type="dxa" w:w="2808"/>
            <w:vAlign w:val="center"/>
            <w:tcMar>
              <w:top w:w="90" w:type="dxa"/>
              <w:bottom w:w="90" w:type="dxa"/>
              <w:left w:w="110" w:type="dxa"/>
              <w:right w:w="110" w:type="dxa"/>
            </w:tcMar>
          </w:tcPr>
          <w:p>
            <w:pPr>
              <w:spacing w:after="20" w:line="245" w:lineRule="auto"/>
            </w:pPr>
            <w:r>
              <w:rPr>
                <w:b w:val="0"/>
                <w:sz w:val="18"/>
              </w:rPr>
              <w:t>50 / month</w:t>
            </w:r>
          </w:p>
        </w:tc>
      </w:tr>
      <w:tr>
        <w:trPr>
          <w:cantSplit/>
        </w:trPr>
        <w:tc>
          <w:tcPr>
            <w:tcW w:type="dxa" w:w="1584"/>
            <w:vAlign w:val="center"/>
            <w:tcMar>
              <w:top w:w="90" w:type="dxa"/>
              <w:bottom w:w="90" w:type="dxa"/>
              <w:left w:w="110" w:type="dxa"/>
              <w:right w:w="110" w:type="dxa"/>
            </w:tcMar>
          </w:tcPr>
          <w:p>
            <w:pPr>
              <w:spacing w:after="20" w:line="245" w:lineRule="auto"/>
            </w:pPr>
            <w:r>
              <w:rPr>
                <w:b w:val="0"/>
                <w:sz w:val="18"/>
              </w:rPr>
              <w:t>Business (firm / agency)</w:t>
            </w:r>
          </w:p>
        </w:tc>
        <w:tc>
          <w:tcPr>
            <w:tcW w:type="dxa" w:w="3888"/>
            <w:vAlign w:val="center"/>
            <w:tcMar>
              <w:top w:w="90" w:type="dxa"/>
              <w:bottom w:w="90" w:type="dxa"/>
              <w:left w:w="110" w:type="dxa"/>
              <w:right w:w="110" w:type="dxa"/>
            </w:tcMar>
          </w:tcPr>
          <w:p>
            <w:pPr>
              <w:spacing w:after="20" w:line="245" w:lineRule="auto"/>
            </w:pPr>
            <w:r>
              <w:rPr>
                <w:b w:val="0"/>
                <w:sz w:val="18"/>
              </w:rPr>
              <w:t>$99 / $59</w:t>
            </w:r>
          </w:p>
        </w:tc>
        <w:tc>
          <w:tcPr>
            <w:tcW w:type="dxa" w:w="1944"/>
            <w:vAlign w:val="center"/>
            <w:tcMar>
              <w:top w:w="90" w:type="dxa"/>
              <w:bottom w:w="90" w:type="dxa"/>
              <w:left w:w="110" w:type="dxa"/>
              <w:right w:w="110" w:type="dxa"/>
            </w:tcMar>
          </w:tcPr>
          <w:p>
            <w:pPr>
              <w:spacing w:after="20" w:line="245" w:lineRule="auto"/>
            </w:pPr>
            <w:r>
              <w:rPr>
                <w:b w:val="0"/>
                <w:sz w:val="18"/>
              </w:rPr>
              <w:t>3%</w:t>
            </w:r>
          </w:p>
        </w:tc>
        <w:tc>
          <w:tcPr>
            <w:tcW w:type="dxa" w:w="2808"/>
            <w:vAlign w:val="center"/>
            <w:tcMar>
              <w:top w:w="90" w:type="dxa"/>
              <w:bottom w:w="90" w:type="dxa"/>
              <w:left w:w="110" w:type="dxa"/>
              <w:right w:w="110" w:type="dxa"/>
            </w:tcMar>
          </w:tcPr>
          <w:p>
            <w:pPr>
              <w:spacing w:after="20" w:line="245" w:lineRule="auto"/>
            </w:pPr>
            <w:r>
              <w:rPr>
                <w:b w:val="0"/>
                <w:sz w:val="18"/>
              </w:rPr>
              <w:t>Unlimited, controlled</w:t>
            </w:r>
          </w:p>
        </w:tc>
      </w:tr>
    </w:tbl>
    <w:p>
      <w:pPr>
        <w:spacing w:after="20"/>
      </w:pPr>
    </w:p>
    <w:p>
      <w:r>
        <w:rPr>
          <w:b w:val="0"/>
        </w:rPr>
        <w:t>Prices and fee percentages remain a planning configuration, not approved checkout prices. The $10 fee floor per party is confirmed; apply once per engagement, not each milestone. Organization seats, annual terms, recurring-period fee floors, higher export allowances and integration counts require approval. All paid tiers see the same available connector catalog; illustrative connection caps 2/5/10 are not frozen.</w:t>
      </w:r>
    </w:p>
    <w:p>
      <w:r>
        <w:rPr>
          <w:b w:val="0"/>
        </w:rPr>
      </w:r>
      <w:r>
        <w:rPr>
          <w:b/>
        </w:rPr>
        <w:t>Entitlement model:</w:t>
      </w:r>
      <w:r>
        <w:rPr>
          <w:b w:val="0"/>
        </w:rPr>
        <w:t xml:space="preserve"> feature grants + consumption quotas + security/verification eligibility. Price/feature versions are immutable for their effective period. Keep subscription billing, a promotional trial, paid export license, engagement unlock and professional verification separate.</w:t>
      </w:r>
    </w:p>
    <w:p>
      <w:pPr>
        <w:pStyle w:val="ListBullet"/>
      </w:pPr>
      <w:r>
        <w:rPr>
          <w:b w:val="0"/>
        </w:rPr>
        <w:t>Trial engine supports timed premium grants and automatic expiration even without a card. Proposed seven-day duration/start moment requires approval. Check expiry on each action, not just nightly jobs.</w:t>
      </w:r>
    </w:p>
    <w:p>
      <w:pPr>
        <w:pStyle w:val="ListBullet"/>
      </w:pPr>
      <w:r>
        <w:rPr>
          <w:b w:val="0"/>
        </w:rPr>
        <w:t>Expired trial/subscription removes premium generation and new premium actions, not lawful records, active work communication, disputes or already purchased license access. Preserve data; pause rather than delete excess resources.</w:t>
      </w:r>
    </w:p>
    <w:p>
      <w:pPr>
        <w:pStyle w:val="ListBullet"/>
      </w:pPr>
      <w:r>
        <w:rPr>
          <w:b w:val="0"/>
        </w:rPr>
        <w:t>BYOK is allowed on Free, Plus, Pro and Business for attorneys/freelancers/agencies. It does not grant exports, extra proposals, integrations or unlimited worker/storage capacity.</w:t>
      </w:r>
    </w:p>
    <w:p>
      <w:pPr>
        <w:pStyle w:val="ListBullet"/>
      </w:pPr>
      <w:r>
        <w:rPr>
          <w:b w:val="0"/>
        </w:rPr>
        <w:t>No separate AI credit purchases at launch; upgrade/reset paths remain. Define highest-tier exhaustion and nonpunitive active-engagement support before publishing quotas.</w:t>
      </w:r>
    </w:p>
    <w:p>
      <w:pPr>
        <w:pStyle w:val="ListBullet"/>
      </w:pPr>
      <w:r>
        <w:rPr>
          <w:b w:val="0"/>
        </w:rPr>
        <w:t>New pricing does not erase existing lifetime/founding commitments. Inventory legacy entitlements, map benefits explicitly and prevent duplicate BD/Stripe subscriptions; do not use legacy prices to constrain new design.</w:t>
      </w:r>
    </w:p>
    <w:p>
      <w:r>
        <w:rPr>
          <w:b w:val="0"/>
        </w:rPr>
      </w:r>
      <w:r>
        <w:rPr>
          <w:b/>
        </w:rPr>
        <w:t>Atomic counters:</w:t>
      </w:r>
      <w:r>
        <w:rPr>
          <w:b w:val="0"/>
        </w:rPr>
        <w:t xml:space="preserve"> Reserve quota on accepted operation, settle successful use, and release reservations on eligible failure. Repeated browser clicks/retries cannot consume twice. Monthly period timezone, invited-proposal counting and withdrawn-proposal restoration remain open.</w:t>
      </w:r>
    </w:p>
    <w:p>
      <w:r>
        <w:br w:type="page"/>
      </w:r>
    </w:p>
    <w:p>
      <w:pPr>
        <w:pStyle w:val="Heading1"/>
      </w:pPr>
      <w:r>
        <w:t>9. Unit economics and financial instrumentation</w:t>
      </w:r>
    </w:p>
    <w:p>
      <w:r>
        <w:rPr>
          <w:b w:val="0"/>
        </w:rPr>
        <w:t>Every revenue line needs gross revenue, refunds/discounts, processor costs, model/tool costs, variable infrastructure, support and expected loss. Do not treat gross payment volume as revenue or monthly freelancer retainers as Lawfecta subscription MRR.</w:t>
      </w:r>
    </w:p>
    <w:p>
      <w:pPr>
        <w:spacing w:after="140" w:line="240" w:lineRule="auto"/>
        <w:shd w:fill="F3F3F3"/>
      </w:pPr>
      <w:r>
        <w:rPr>
          <w:rFonts w:ascii="Consolas" w:hAnsi="Consolas"/>
          <w:sz w:val="18"/>
        </w:rPr>
        <w:t>P = base freelancer project price</w:t>
        <w:br/>
        <w:t>A = max(P * attorney_rate, attorney_fee_floor)</w:t>
        <w:br/>
        <w:t>F = max(P * freelancer_rate, freelancer_fee_floor)</w:t>
        <w:br/>
        <w:t>Attorney total = P + A; freelancer net before taxes = P - F</w:t>
        <w:br/>
        <w:t>Platform gross fees = A + F</w:t>
        <w:br/>
        <w:t>Contribution = A + F - processing - Connect - AI/tools</w:t>
        <w:br/>
        <w:t xml:space="preserve">               - variable infrastructure - support - loss provision</w:t>
      </w:r>
    </w:p>
    <w:p>
      <w:r>
        <w:rPr>
          <w:b w:val="0"/>
        </w:rPr>
        <w:t>Fee floors require deterministic allocation across milestones: allocate F proportionally in integer cents, put rounding remainder on the final installment, never exceed the contractual total. Cancellation and scope-increase adjustments require an approved formula; the developer may not invent one.</w:t>
      </w:r>
    </w:p>
    <w:p>
      <w:r>
        <w:rPr>
          <w:b w:val="0"/>
        </w:rPr>
      </w:r>
      <w:r>
        <w:rPr>
          <w:b/>
        </w:rPr>
        <w:t>Illustrative cost inputs:</w:t>
      </w:r>
      <w:r>
        <w:rPr>
          <w:b w:val="0"/>
        </w:rPr>
        <w:t xml:space="preserve"> domestic card processing 2.9% + $0.30; platform-managed Connect $2 per active account-month, 0.25% + $0.25 per bank payout; pricing also lists 0.25% funds-routing/platform management on payout volume. Stripe Billing pay-as-you-go lists 0.7% of Billing volume. Confirm account applicability and avoid double-counting alternatives. [S11-S13]</w:t>
      </w:r>
    </w:p>
    <w:tbl>
      <w:tblPr>
        <w:tblW w:type="auto" w:w="0"/>
        <w:jc w:val="center"/>
        <w:tblLayout w:type="fixed"/>
        <w:tblLook w:firstColumn="1" w:firstRow="1" w:lastColumn="0" w:lastRow="0" w:noHBand="0" w:noVBand="1" w:val="04A0"/>
      </w:tblPr>
      <w:tblGrid>
        <w:gridCol w:w="5112"/>
        <w:gridCol w:w="2520"/>
        <w:gridCol w:w="2592"/>
      </w:tblGrid>
      <w:tr>
        <w:trPr>
          <w:tblHeader/>
          <w:cantSplit/>
        </w:trPr>
        <w:tc>
          <w:tcPr>
            <w:tcW w:type="dxa" w:w="5112"/>
            <w:vAlign w:val="center"/>
            <w:tcMar>
              <w:top w:w="90" w:type="dxa"/>
              <w:bottom w:w="90" w:type="dxa"/>
              <w:left w:w="110" w:type="dxa"/>
              <w:right w:w="110" w:type="dxa"/>
            </w:tcMar>
            <w:shd w:fill="8B1F3F"/>
          </w:tcPr>
          <w:p>
            <w:pPr>
              <w:spacing w:after="20" w:line="245" w:lineRule="auto"/>
            </w:pPr>
            <w:r>
              <w:rPr>
                <w:b/>
                <w:color w:val="FFFFFF"/>
                <w:sz w:val="18"/>
              </w:rPr>
              <w:t>$250 example; 1 milestone</w:t>
            </w:r>
          </w:p>
        </w:tc>
        <w:tc>
          <w:tcPr>
            <w:tcW w:type="dxa" w:w="2520"/>
            <w:vAlign w:val="center"/>
            <w:tcMar>
              <w:top w:w="90" w:type="dxa"/>
              <w:bottom w:w="90" w:type="dxa"/>
              <w:left w:w="110" w:type="dxa"/>
              <w:right w:w="110" w:type="dxa"/>
            </w:tcMar>
            <w:shd w:fill="8B1F3F"/>
          </w:tcPr>
          <w:p>
            <w:pPr>
              <w:spacing w:after="20" w:line="245" w:lineRule="auto"/>
            </w:pPr>
            <w:r>
              <w:rPr>
                <w:b/>
                <w:color w:val="FFFFFF"/>
                <w:sz w:val="18"/>
              </w:rPr>
              <w:t>Free / Free</w:t>
            </w:r>
          </w:p>
        </w:tc>
        <w:tc>
          <w:tcPr>
            <w:tcW w:type="dxa" w:w="2592"/>
            <w:vAlign w:val="center"/>
            <w:tcMar>
              <w:top w:w="90" w:type="dxa"/>
              <w:bottom w:w="90" w:type="dxa"/>
              <w:left w:w="110" w:type="dxa"/>
              <w:right w:w="110" w:type="dxa"/>
            </w:tcMar>
            <w:shd w:fill="8B1F3F"/>
          </w:tcPr>
          <w:p>
            <w:pPr>
              <w:spacing w:after="20" w:line="245" w:lineRule="auto"/>
            </w:pPr>
            <w:r>
              <w:rPr>
                <w:b/>
                <w:color w:val="FFFFFF"/>
                <w:sz w:val="18"/>
              </w:rPr>
              <w:t>Business / Business</w:t>
            </w:r>
          </w:p>
        </w:tc>
      </w:tr>
      <w:tr>
        <w:trPr>
          <w:cantSplit/>
        </w:trPr>
        <w:tc>
          <w:tcPr>
            <w:tcW w:type="dxa" w:w="5112"/>
            <w:vAlign w:val="center"/>
            <w:tcMar>
              <w:top w:w="90" w:type="dxa"/>
              <w:bottom w:w="90" w:type="dxa"/>
              <w:left w:w="110" w:type="dxa"/>
              <w:right w:w="110" w:type="dxa"/>
            </w:tcMar>
          </w:tcPr>
          <w:p>
            <w:pPr>
              <w:spacing w:after="20" w:line="245" w:lineRule="auto"/>
            </w:pPr>
            <w:r>
              <w:rPr>
                <w:b w:val="0"/>
                <w:sz w:val="18"/>
              </w:rPr>
              <w:t>Platform fees</w:t>
            </w:r>
          </w:p>
        </w:tc>
        <w:tc>
          <w:tcPr>
            <w:tcW w:type="dxa" w:w="2520"/>
            <w:vAlign w:val="center"/>
            <w:tcMar>
              <w:top w:w="90" w:type="dxa"/>
              <w:bottom w:w="90" w:type="dxa"/>
              <w:left w:w="110" w:type="dxa"/>
              <w:right w:w="110" w:type="dxa"/>
            </w:tcMar>
          </w:tcPr>
          <w:p>
            <w:pPr>
              <w:spacing w:after="20" w:line="245" w:lineRule="auto"/>
            </w:pPr>
            <w:r>
              <w:rPr>
                <w:b w:val="0"/>
                <w:sz w:val="18"/>
              </w:rPr>
              <w:t>$25.00</w:t>
            </w:r>
          </w:p>
        </w:tc>
        <w:tc>
          <w:tcPr>
            <w:tcW w:type="dxa" w:w="2592"/>
            <w:vAlign w:val="center"/>
            <w:tcMar>
              <w:top w:w="90" w:type="dxa"/>
              <w:bottom w:w="90" w:type="dxa"/>
              <w:left w:w="110" w:type="dxa"/>
              <w:right w:w="110" w:type="dxa"/>
            </w:tcMar>
          </w:tcPr>
          <w:p>
            <w:pPr>
              <w:spacing w:after="20" w:line="245" w:lineRule="auto"/>
            </w:pPr>
            <w:r>
              <w:rPr>
                <w:b w:val="0"/>
                <w:sz w:val="18"/>
              </w:rPr>
              <w:t>$20.00 (two $10 floors)</w:t>
            </w:r>
          </w:p>
        </w:tc>
      </w:tr>
      <w:tr>
        <w:trPr>
          <w:cantSplit/>
        </w:trPr>
        <w:tc>
          <w:tcPr>
            <w:tcW w:type="dxa" w:w="5112"/>
            <w:vAlign w:val="center"/>
            <w:tcMar>
              <w:top w:w="90" w:type="dxa"/>
              <w:bottom w:w="90" w:type="dxa"/>
              <w:left w:w="110" w:type="dxa"/>
              <w:right w:w="110" w:type="dxa"/>
            </w:tcMar>
          </w:tcPr>
          <w:p>
            <w:pPr>
              <w:spacing w:after="20" w:line="245" w:lineRule="auto"/>
            </w:pPr>
            <w:r>
              <w:rPr>
                <w:b w:val="0"/>
                <w:sz w:val="18"/>
              </w:rPr>
              <w:t>Attorney card total</w:t>
            </w:r>
          </w:p>
        </w:tc>
        <w:tc>
          <w:tcPr>
            <w:tcW w:type="dxa" w:w="2520"/>
            <w:vAlign w:val="center"/>
            <w:tcMar>
              <w:top w:w="90" w:type="dxa"/>
              <w:bottom w:w="90" w:type="dxa"/>
              <w:left w:w="110" w:type="dxa"/>
              <w:right w:w="110" w:type="dxa"/>
            </w:tcMar>
          </w:tcPr>
          <w:p>
            <w:pPr>
              <w:spacing w:after="20" w:line="245" w:lineRule="auto"/>
            </w:pPr>
            <w:r>
              <w:rPr>
                <w:b w:val="0"/>
                <w:sz w:val="18"/>
              </w:rPr>
              <w:t>$262.50</w:t>
            </w:r>
          </w:p>
        </w:tc>
        <w:tc>
          <w:tcPr>
            <w:tcW w:type="dxa" w:w="2592"/>
            <w:vAlign w:val="center"/>
            <w:tcMar>
              <w:top w:w="90" w:type="dxa"/>
              <w:bottom w:w="90" w:type="dxa"/>
              <w:left w:w="110" w:type="dxa"/>
              <w:right w:w="110" w:type="dxa"/>
            </w:tcMar>
          </w:tcPr>
          <w:p>
            <w:pPr>
              <w:spacing w:after="20" w:line="245" w:lineRule="auto"/>
            </w:pPr>
            <w:r>
              <w:rPr>
                <w:b w:val="0"/>
                <w:sz w:val="18"/>
              </w:rPr>
              <w:t>$260.00</w:t>
            </w:r>
          </w:p>
        </w:tc>
      </w:tr>
      <w:tr>
        <w:trPr>
          <w:cantSplit/>
        </w:trPr>
        <w:tc>
          <w:tcPr>
            <w:tcW w:type="dxa" w:w="5112"/>
            <w:vAlign w:val="center"/>
            <w:tcMar>
              <w:top w:w="90" w:type="dxa"/>
              <w:bottom w:w="90" w:type="dxa"/>
              <w:left w:w="110" w:type="dxa"/>
              <w:right w:w="110" w:type="dxa"/>
            </w:tcMar>
          </w:tcPr>
          <w:p>
            <w:pPr>
              <w:spacing w:after="20" w:line="245" w:lineRule="auto"/>
            </w:pPr>
            <w:r>
              <w:rPr>
                <w:b w:val="0"/>
                <w:sz w:val="18"/>
              </w:rPr>
              <w:t>Seller transfer base</w:t>
            </w:r>
          </w:p>
        </w:tc>
        <w:tc>
          <w:tcPr>
            <w:tcW w:type="dxa" w:w="2520"/>
            <w:vAlign w:val="center"/>
            <w:tcMar>
              <w:top w:w="90" w:type="dxa"/>
              <w:bottom w:w="90" w:type="dxa"/>
              <w:left w:w="110" w:type="dxa"/>
              <w:right w:w="110" w:type="dxa"/>
            </w:tcMar>
          </w:tcPr>
          <w:p>
            <w:pPr>
              <w:spacing w:after="20" w:line="245" w:lineRule="auto"/>
            </w:pPr>
            <w:r>
              <w:rPr>
                <w:b w:val="0"/>
                <w:sz w:val="18"/>
              </w:rPr>
              <w:t>$237.50</w:t>
            </w:r>
          </w:p>
        </w:tc>
        <w:tc>
          <w:tcPr>
            <w:tcW w:type="dxa" w:w="2592"/>
            <w:vAlign w:val="center"/>
            <w:tcMar>
              <w:top w:w="90" w:type="dxa"/>
              <w:bottom w:w="90" w:type="dxa"/>
              <w:left w:w="110" w:type="dxa"/>
              <w:right w:w="110" w:type="dxa"/>
            </w:tcMar>
          </w:tcPr>
          <w:p>
            <w:pPr>
              <w:spacing w:after="20" w:line="245" w:lineRule="auto"/>
            </w:pPr>
            <w:r>
              <w:rPr>
                <w:b w:val="0"/>
                <w:sz w:val="18"/>
              </w:rPr>
              <w:t>$240.00</w:t>
            </w:r>
          </w:p>
        </w:tc>
      </w:tr>
      <w:tr>
        <w:trPr>
          <w:cantSplit/>
        </w:trPr>
        <w:tc>
          <w:tcPr>
            <w:tcW w:type="dxa" w:w="5112"/>
            <w:vAlign w:val="center"/>
            <w:tcMar>
              <w:top w:w="90" w:type="dxa"/>
              <w:bottom w:w="90" w:type="dxa"/>
              <w:left w:w="110" w:type="dxa"/>
              <w:right w:w="110" w:type="dxa"/>
            </w:tcMar>
          </w:tcPr>
          <w:p>
            <w:pPr>
              <w:spacing w:after="20" w:line="245" w:lineRule="auto"/>
            </w:pPr>
            <w:r>
              <w:rPr>
                <w:b w:val="0"/>
                <w:sz w:val="18"/>
              </w:rPr>
              <w:t>Card fees: 2 charges</w:t>
            </w:r>
          </w:p>
        </w:tc>
        <w:tc>
          <w:tcPr>
            <w:tcW w:type="dxa" w:w="2520"/>
            <w:vAlign w:val="center"/>
            <w:tcMar>
              <w:top w:w="90" w:type="dxa"/>
              <w:bottom w:w="90" w:type="dxa"/>
              <w:left w:w="110" w:type="dxa"/>
              <w:right w:w="110" w:type="dxa"/>
            </w:tcMar>
          </w:tcPr>
          <w:p>
            <w:pPr>
              <w:spacing w:after="20" w:line="245" w:lineRule="auto"/>
            </w:pPr>
            <w:r>
              <w:rPr>
                <w:b w:val="0"/>
                <w:sz w:val="18"/>
              </w:rPr>
              <w:t>$8.21</w:t>
            </w:r>
          </w:p>
        </w:tc>
        <w:tc>
          <w:tcPr>
            <w:tcW w:type="dxa" w:w="2592"/>
            <w:vAlign w:val="center"/>
            <w:tcMar>
              <w:top w:w="90" w:type="dxa"/>
              <w:bottom w:w="90" w:type="dxa"/>
              <w:left w:w="110" w:type="dxa"/>
              <w:right w:w="110" w:type="dxa"/>
            </w:tcMar>
          </w:tcPr>
          <w:p>
            <w:pPr>
              <w:spacing w:after="20" w:line="245" w:lineRule="auto"/>
            </w:pPr>
            <w:r>
              <w:rPr>
                <w:b w:val="0"/>
                <w:sz w:val="18"/>
              </w:rPr>
              <w:t>$8.14</w:t>
            </w:r>
          </w:p>
        </w:tc>
      </w:tr>
      <w:tr>
        <w:trPr>
          <w:cantSplit/>
        </w:trPr>
        <w:tc>
          <w:tcPr>
            <w:tcW w:type="dxa" w:w="5112"/>
            <w:vAlign w:val="center"/>
            <w:tcMar>
              <w:top w:w="90" w:type="dxa"/>
              <w:bottom w:w="90" w:type="dxa"/>
              <w:left w:w="110" w:type="dxa"/>
              <w:right w:w="110" w:type="dxa"/>
            </w:tcMar>
          </w:tcPr>
          <w:p>
            <w:pPr>
              <w:spacing w:after="20" w:line="245" w:lineRule="auto"/>
            </w:pPr>
            <w:r>
              <w:rPr>
                <w:b w:val="0"/>
                <w:sz w:val="18"/>
              </w:rPr>
              <w:t>Connect: 1 account-month, 1 bank payout; both volume lines</w:t>
            </w:r>
          </w:p>
        </w:tc>
        <w:tc>
          <w:tcPr>
            <w:tcW w:type="dxa" w:w="2520"/>
            <w:vAlign w:val="center"/>
            <w:tcMar>
              <w:top w:w="90" w:type="dxa"/>
              <w:bottom w:w="90" w:type="dxa"/>
              <w:left w:w="110" w:type="dxa"/>
              <w:right w:w="110" w:type="dxa"/>
            </w:tcMar>
          </w:tcPr>
          <w:p>
            <w:pPr>
              <w:spacing w:after="20" w:line="245" w:lineRule="auto"/>
            </w:pPr>
            <w:r>
              <w:rPr>
                <w:b w:val="0"/>
                <w:sz w:val="18"/>
              </w:rPr>
              <w:t>$3.44</w:t>
            </w:r>
          </w:p>
        </w:tc>
        <w:tc>
          <w:tcPr>
            <w:tcW w:type="dxa" w:w="2592"/>
            <w:vAlign w:val="center"/>
            <w:tcMar>
              <w:top w:w="90" w:type="dxa"/>
              <w:bottom w:w="90" w:type="dxa"/>
              <w:left w:w="110" w:type="dxa"/>
              <w:right w:w="110" w:type="dxa"/>
            </w:tcMar>
          </w:tcPr>
          <w:p>
            <w:pPr>
              <w:spacing w:after="20" w:line="245" w:lineRule="auto"/>
            </w:pPr>
            <w:r>
              <w:rPr>
                <w:b w:val="0"/>
                <w:sz w:val="18"/>
              </w:rPr>
              <w:t>$3.45</w:t>
            </w:r>
          </w:p>
        </w:tc>
      </w:tr>
      <w:tr>
        <w:trPr>
          <w:cantSplit/>
        </w:trPr>
        <w:tc>
          <w:tcPr>
            <w:tcW w:type="dxa" w:w="5112"/>
            <w:vAlign w:val="center"/>
            <w:tcMar>
              <w:top w:w="90" w:type="dxa"/>
              <w:bottom w:w="90" w:type="dxa"/>
              <w:left w:w="110" w:type="dxa"/>
              <w:right w:w="110" w:type="dxa"/>
            </w:tcMar>
          </w:tcPr>
          <w:p>
            <w:pPr>
              <w:spacing w:after="20" w:line="245" w:lineRule="auto"/>
            </w:pPr>
            <w:r>
              <w:rPr>
                <w:b w:val="0"/>
                <w:sz w:val="18"/>
              </w:rPr>
              <w:t>Remaining before AI, support and loss</w:t>
            </w:r>
          </w:p>
        </w:tc>
        <w:tc>
          <w:tcPr>
            <w:tcW w:type="dxa" w:w="2520"/>
            <w:vAlign w:val="center"/>
            <w:tcMar>
              <w:top w:w="90" w:type="dxa"/>
              <w:bottom w:w="90" w:type="dxa"/>
              <w:left w:w="110" w:type="dxa"/>
              <w:right w:w="110" w:type="dxa"/>
            </w:tcMar>
          </w:tcPr>
          <w:p>
            <w:pPr>
              <w:spacing w:after="20" w:line="245" w:lineRule="auto"/>
            </w:pPr>
            <w:r>
              <w:rPr>
                <w:b w:val="0"/>
                <w:sz w:val="18"/>
              </w:rPr>
              <w:t>$13.35</w:t>
            </w:r>
          </w:p>
        </w:tc>
        <w:tc>
          <w:tcPr>
            <w:tcW w:type="dxa" w:w="2592"/>
            <w:vAlign w:val="center"/>
            <w:tcMar>
              <w:top w:w="90" w:type="dxa"/>
              <w:bottom w:w="90" w:type="dxa"/>
              <w:left w:w="110" w:type="dxa"/>
              <w:right w:w="110" w:type="dxa"/>
            </w:tcMar>
          </w:tcPr>
          <w:p>
            <w:pPr>
              <w:spacing w:after="20" w:line="245" w:lineRule="auto"/>
            </w:pPr>
            <w:r>
              <w:rPr>
                <w:b w:val="0"/>
                <w:sz w:val="18"/>
              </w:rPr>
              <w:t>$8.41</w:t>
            </w:r>
          </w:p>
        </w:tc>
      </w:tr>
    </w:tbl>
    <w:p>
      <w:pPr>
        <w:spacing w:after="20"/>
      </w:pPr>
    </w:p>
    <w:p>
      <w:r>
        <w:rPr>
          <w:b w:val="0"/>
        </w:rPr>
        <w:t>Example only: domestic cards, monthly account fee wholly allocated here, no refund/dispute, and all stated Connect lines applicable. Actual totals vary with per-charge cent rounding, payout aggregation and account pricing. The $250 project minimum remains open. Never count a monthly account fee once per project when a seller has several projects in the same month.</w:t>
      </w:r>
    </w:p>
    <w:p>
      <w:r>
        <w:rPr>
          <w:b w:val="0"/>
        </w:rPr>
        <w:t>Track actual model token/tool charges by operation and payer. BYOK shifts eligible provider charges, not hosting, retries, key security, search, support or mandatory platform-controlled assessments. Separate contribution by transaction from subscription contribution; allocate subscription revenue once, not to both sides of every engagement.</w:t>
      </w:r>
    </w:p>
    <w:p>
      <w:r>
        <w:br w:type="page"/>
      </w:r>
    </w:p>
    <w:p>
      <w:pPr>
        <w:pStyle w:val="Heading1"/>
      </w:pPr>
      <w:r>
        <w:t>10. AI gateway, BYOK and cost controls</w:t>
      </w:r>
    </w:p>
    <w:p>
      <w:r>
        <w:rPr>
          <w:b w:val="0"/>
        </w:rPr>
        <w:t>All model access passes through one AI gateway. It receives an authenticated scope, approved operation, schema version, model policy, credential reference and maximum budget. It never accepts a model-generated tenant ID, unrestricted URL or arbitrary tool definition.</w:t>
      </w:r>
    </w:p>
    <w:p>
      <w:pPr>
        <w:pStyle w:val="ListBullet"/>
      </w:pPr>
      <w:r>
        <w:rPr>
          <w:b w:val="0"/>
        </w:rPr>
        <w:t>Classify intent and risk before expensive work. Supported scope includes delegation, law-firm operations, approved technology advice and freelancer business work. An unrelated recipe request receives a short redirect, not a premium workflow.</w:t>
      </w:r>
    </w:p>
    <w:p>
      <w:pPr>
        <w:pStyle w:val="ListBullet"/>
      </w:pPr>
      <w:r>
        <w:rPr>
          <w:b w:val="0"/>
        </w:rPr>
        <w:t>Resolve only necessary personal/firm/engagement context. Treat every document, message, screenshot, review and third-party result as untrusted data. Prompt instructions cannot grant permissions.</w:t>
      </w:r>
    </w:p>
    <w:p>
      <w:pPr>
        <w:pStyle w:val="ListBullet"/>
      </w:pPr>
      <w:r>
        <w:rPr>
          <w:b w:val="0"/>
        </w:rPr>
        <w:t>Use approved provider/model adapters and structured output validation. Record model, prompt, retrieval sources, policy version, user-visible output and permitted diagnostic metadata. Do not log raw confidential prompts or secrets by default.</w:t>
      </w:r>
    </w:p>
    <w:p>
      <w:pPr>
        <w:pStyle w:val="ListBullet"/>
      </w:pPr>
      <w:r>
        <w:rPr>
          <w:b w:val="0"/>
        </w:rPr>
        <w:t>Reserve per-operation, member, organization and global budgets atomically. Limit input size, output size, concurrency, retries, tool calls, loops and wall-clock. Estimates may differ from billed cost; reconcile where provider data exists.</w:t>
      </w:r>
    </w:p>
    <w:p>
      <w:pPr>
        <w:pStyle w:val="ListBullet"/>
      </w:pPr>
      <w:r>
        <w:rPr>
          <w:b w:val="0"/>
        </w:rPr>
        <w:t>BYOK uses encrypted server-side credential references with scoped decrypt access; never return secrets to BD, browser extensions, logs or MCP clients. User can test, rotate, revoke and choose which tasks use a key. Validate provider terms and account ownership.</w:t>
      </w:r>
    </w:p>
    <w:p>
      <w:pPr>
        <w:pStyle w:val="ListBullet"/>
      </w:pPr>
      <w:r>
        <w:rPr>
          <w:b w:val="0"/>
        </w:rPr>
        <w:t>A failed BYOK request stops or asks for explicit fallback approval. No silent use of Lawfecta-paid credentials. An external AI subscription is not assumed to include API credit. Revoked keys cancel queued jobs.</w:t>
      </w:r>
    </w:p>
    <w:p>
      <w:r>
        <w:rPr>
          <w:b w:val="0"/>
        </w:rPr>
      </w:r>
      <w:r>
        <w:rPr>
          <w:b/>
        </w:rPr>
        <w:t>Trust-critical assessment:</w:t>
      </w:r>
      <w:r>
        <w:rPr>
          <w:b w:val="0"/>
        </w:rPr>
        <w:t xml:space="preserve"> Proposed separation: members may fund personal drafting with BYOK, but a freelancer cannot choose the model/rubric for the assessment that affects their own release. Lawfecta pins and pays or separately accounts for controlled assessments. This is an R policy requiring approval before acceptance automation.</w:t>
      </w:r>
    </w:p>
    <w:p>
      <w:r>
        <w:rPr>
          <w:b w:val="0"/>
        </w:rPr>
      </w:r>
      <w:r>
        <w:rPr>
          <w:b/>
        </w:rPr>
        <w:t>Privacy:</w:t>
      </w:r>
      <w:r>
        <w:rPr>
          <w:b w:val="0"/>
        </w:rPr>
        <w:t xml:space="preserve"> OpenAI API content is not used for training by default, but retention and application-state rules differ by endpoint/account; no-training is not zero-retention. Validate each supported provider and BYOK route. User-controlled keys do not guarantee organization-approved retention. [S14]</w:t>
      </w:r>
    </w:p>
    <w:p>
      <w:r>
        <w:rPr>
          <w:b w:val="0"/>
        </w:rPr>
      </w:r>
      <w:r>
        <w:rPr>
          <w:b/>
        </w:rPr>
        <w:t>UX:</w:t>
      </w:r>
      <w:r>
        <w:rPr>
          <w:b w:val="0"/>
        </w:rPr>
        <w:t xml:space="preserve"> Show included allowance, BYOK payer, operation estimate and remaining platform capacity separately. Saved work, evidence and paid project access stay available when optional generation pauses. No unvalidated model names or copied historical token prices in production configuration.</w:t>
      </w:r>
    </w:p>
    <w:p>
      <w:r>
        <w:br w:type="page"/>
      </w:r>
    </w:p>
    <w:p>
      <w:pPr>
        <w:pStyle w:val="Heading1"/>
      </w:pPr>
      <w:r>
        <w:t>11. Private Practice Intelligence and workflow quality</w:t>
      </w:r>
    </w:p>
    <w:p>
      <w:r>
        <w:rPr>
          <w:b w:val="0"/>
        </w:rPr>
        <w:t>Personalization uses private records and retrieval, not automatic fine-tuning on customer activity. One underlying reasoning model may process separate requests; storage, retrieval, caches and actions enforce separation before content enters a request.</w:t>
      </w:r>
    </w:p>
    <w:tbl>
      <w:tblPr>
        <w:tblW w:type="auto" w:w="0"/>
        <w:jc w:val="center"/>
        <w:tblLayout w:type="fixed"/>
        <w:tblLook w:firstColumn="1" w:firstRow="1" w:lastColumn="0" w:lastRow="0" w:noHBand="0" w:noVBand="1" w:val="04A0"/>
      </w:tblPr>
      <w:tblGrid>
        <w:gridCol w:w="2088"/>
        <w:gridCol w:w="4392"/>
        <w:gridCol w:w="3744"/>
      </w:tblGrid>
      <w:tr>
        <w:trPr>
          <w:tblHeader/>
          <w:cantSplit/>
        </w:trPr>
        <w:tc>
          <w:tcPr>
            <w:tcW w:type="dxa" w:w="2088"/>
            <w:vAlign w:val="center"/>
            <w:tcMar>
              <w:top w:w="90" w:type="dxa"/>
              <w:bottom w:w="90" w:type="dxa"/>
              <w:left w:w="110" w:type="dxa"/>
              <w:right w:w="110" w:type="dxa"/>
            </w:tcMar>
            <w:shd w:fill="8B1F3F"/>
          </w:tcPr>
          <w:p>
            <w:pPr>
              <w:spacing w:after="20" w:line="245" w:lineRule="auto"/>
            </w:pPr>
            <w:r>
              <w:rPr>
                <w:b/>
                <w:color w:val="FFFFFF"/>
                <w:sz w:val="18"/>
              </w:rPr>
              <w:t>Knowledge class</w:t>
            </w:r>
          </w:p>
        </w:tc>
        <w:tc>
          <w:tcPr>
            <w:tcW w:type="dxa" w:w="4392"/>
            <w:vAlign w:val="center"/>
            <w:tcMar>
              <w:top w:w="90" w:type="dxa"/>
              <w:bottom w:w="90" w:type="dxa"/>
              <w:left w:w="110" w:type="dxa"/>
              <w:right w:w="110" w:type="dxa"/>
            </w:tcMar>
            <w:shd w:fill="8B1F3F"/>
          </w:tcPr>
          <w:p>
            <w:pPr>
              <w:spacing w:after="20" w:line="245" w:lineRule="auto"/>
            </w:pPr>
            <w:r>
              <w:rPr>
                <w:b/>
                <w:color w:val="FFFFFF"/>
                <w:sz w:val="18"/>
              </w:rPr>
              <w:t>Save rule</w:t>
            </w:r>
          </w:p>
        </w:tc>
        <w:tc>
          <w:tcPr>
            <w:tcW w:type="dxa" w:w="3744"/>
            <w:vAlign w:val="center"/>
            <w:tcMar>
              <w:top w:w="90" w:type="dxa"/>
              <w:bottom w:w="90" w:type="dxa"/>
              <w:left w:w="110" w:type="dxa"/>
              <w:right w:w="110" w:type="dxa"/>
            </w:tcMar>
            <w:shd w:fill="8B1F3F"/>
          </w:tcPr>
          <w:p>
            <w:pPr>
              <w:spacing w:after="20" w:line="245" w:lineRule="auto"/>
            </w:pPr>
            <w:r>
              <w:rPr>
                <w:b/>
                <w:color w:val="FFFFFF"/>
                <w:sz w:val="18"/>
              </w:rPr>
              <w:t>Use boundary</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Personal operational preference</w:t>
            </w:r>
          </w:p>
        </w:tc>
        <w:tc>
          <w:tcPr>
            <w:tcW w:type="dxa" w:w="4392"/>
            <w:vAlign w:val="center"/>
            <w:tcMar>
              <w:top w:w="90" w:type="dxa"/>
              <w:bottom w:w="90" w:type="dxa"/>
              <w:left w:w="110" w:type="dxa"/>
              <w:right w:w="110" w:type="dxa"/>
            </w:tcMar>
          </w:tcPr>
          <w:p>
            <w:pPr>
              <w:spacing w:after="20" w:line="245" w:lineRule="auto"/>
            </w:pPr>
            <w:r>
              <w:rPr>
                <w:b w:val="0"/>
                <w:sz w:val="18"/>
              </w:rPr>
              <w:t>Auto-save eligible low-risk explicit preference when enabled; visible undo/provenance.</w:t>
            </w:r>
          </w:p>
        </w:tc>
        <w:tc>
          <w:tcPr>
            <w:tcW w:type="dxa" w:w="3744"/>
            <w:vAlign w:val="center"/>
            <w:tcMar>
              <w:top w:w="90" w:type="dxa"/>
              <w:bottom w:w="90" w:type="dxa"/>
              <w:left w:w="110" w:type="dxa"/>
              <w:right w:w="110" w:type="dxa"/>
            </w:tcMar>
          </w:tcPr>
          <w:p>
            <w:pPr>
              <w:spacing w:after="20" w:line="245" w:lineRule="auto"/>
            </w:pPr>
            <w:r>
              <w:rPr>
                <w:b w:val="0"/>
                <w:sz w:val="18"/>
              </w:rPr>
              <w:t>Current person; context-specific override.</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Firm-approved procedure</w:t>
            </w:r>
          </w:p>
        </w:tc>
        <w:tc>
          <w:tcPr>
            <w:tcW w:type="dxa" w:w="4392"/>
            <w:vAlign w:val="center"/>
            <w:tcMar>
              <w:top w:w="90" w:type="dxa"/>
              <w:bottom w:w="90" w:type="dxa"/>
              <w:left w:w="110" w:type="dxa"/>
              <w:right w:w="110" w:type="dxa"/>
            </w:tcMar>
          </w:tcPr>
          <w:p>
            <w:pPr>
              <w:spacing w:after="20" w:line="245" w:lineRule="auto"/>
            </w:pPr>
            <w:r>
              <w:rPr>
                <w:b w:val="0"/>
                <w:sz w:val="18"/>
              </w:rPr>
              <w:t>Propose change; owner/authorized approver publishes a version.</w:t>
            </w:r>
          </w:p>
        </w:tc>
        <w:tc>
          <w:tcPr>
            <w:tcW w:type="dxa" w:w="3744"/>
            <w:vAlign w:val="center"/>
            <w:tcMar>
              <w:top w:w="90" w:type="dxa"/>
              <w:bottom w:w="90" w:type="dxa"/>
              <w:left w:w="110" w:type="dxa"/>
              <w:right w:w="110" w:type="dxa"/>
            </w:tcMar>
          </w:tcPr>
          <w:p>
            <w:pPr>
              <w:spacing w:after="20" w:line="245" w:lineRule="auto"/>
            </w:pPr>
            <w:r>
              <w:rPr>
                <w:b w:val="0"/>
                <w:sz w:val="18"/>
              </w:rPr>
              <w:t>Authorized firm users; narrower matter access still applies.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Matter / engagement fact</w:t>
            </w:r>
          </w:p>
        </w:tc>
        <w:tc>
          <w:tcPr>
            <w:tcW w:type="dxa" w:w="4392"/>
            <w:vAlign w:val="center"/>
            <w:tcMar>
              <w:top w:w="90" w:type="dxa"/>
              <w:bottom w:w="90" w:type="dxa"/>
              <w:left w:w="110" w:type="dxa"/>
              <w:right w:w="110" w:type="dxa"/>
            </w:tcMar>
          </w:tcPr>
          <w:p>
            <w:pPr>
              <w:spacing w:after="20" w:line="245" w:lineRule="auto"/>
            </w:pPr>
            <w:r>
              <w:rPr>
                <w:b w:val="0"/>
                <w:sz w:val="18"/>
              </w:rPr>
              <w:t>Retain only in permitted context under retention policy.</w:t>
            </w:r>
          </w:p>
        </w:tc>
        <w:tc>
          <w:tcPr>
            <w:tcW w:type="dxa" w:w="3744"/>
            <w:vAlign w:val="center"/>
            <w:tcMar>
              <w:top w:w="90" w:type="dxa"/>
              <w:bottom w:w="90" w:type="dxa"/>
              <w:left w:w="110" w:type="dxa"/>
              <w:right w:w="110" w:type="dxa"/>
            </w:tcMar>
          </w:tcPr>
          <w:p>
            <w:pPr>
              <w:spacing w:after="20" w:line="245" w:lineRule="auto"/>
            </w:pPr>
            <w:r>
              <w:rPr>
                <w:b w:val="0"/>
                <w:sz w:val="18"/>
              </w:rPr>
              <w:t>Authorized participants; never generalized automatically.</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Freelancer reusable method</w:t>
            </w:r>
          </w:p>
        </w:tc>
        <w:tc>
          <w:tcPr>
            <w:tcW w:type="dxa" w:w="4392"/>
            <w:vAlign w:val="center"/>
            <w:tcMar>
              <w:top w:w="90" w:type="dxa"/>
              <w:bottom w:w="90" w:type="dxa"/>
              <w:left w:w="110" w:type="dxa"/>
              <w:right w:w="110" w:type="dxa"/>
            </w:tcMar>
          </w:tcPr>
          <w:p>
            <w:pPr>
              <w:spacing w:after="20" w:line="245" w:lineRule="auto"/>
            </w:pPr>
            <w:r>
              <w:rPr>
                <w:b w:val="0"/>
                <w:sz w:val="18"/>
              </w:rPr>
              <w:t>Extract candidate generic checklist with ownership/confidentiality review.</w:t>
            </w:r>
          </w:p>
        </w:tc>
        <w:tc>
          <w:tcPr>
            <w:tcW w:type="dxa" w:w="3744"/>
            <w:vAlign w:val="center"/>
            <w:tcMar>
              <w:top w:w="90" w:type="dxa"/>
              <w:bottom w:w="90" w:type="dxa"/>
              <w:left w:w="110" w:type="dxa"/>
              <w:right w:w="110" w:type="dxa"/>
            </w:tcMar>
          </w:tcPr>
          <w:p>
            <w:pPr>
              <w:spacing w:after="20" w:line="245" w:lineRule="auto"/>
            </w:pPr>
            <w:r>
              <w:rPr>
                <w:b w:val="0"/>
                <w:sz w:val="18"/>
              </w:rPr>
              <w:t>Freelancer business; no client work product reuse by default.</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Shared Lawfecta library</w:t>
            </w:r>
          </w:p>
        </w:tc>
        <w:tc>
          <w:tcPr>
            <w:tcW w:type="dxa" w:w="4392"/>
            <w:vAlign w:val="center"/>
            <w:tcMar>
              <w:top w:w="90" w:type="dxa"/>
              <w:bottom w:w="90" w:type="dxa"/>
              <w:left w:w="110" w:type="dxa"/>
              <w:right w:w="110" w:type="dxa"/>
            </w:tcMar>
          </w:tcPr>
          <w:p>
            <w:pPr>
              <w:spacing w:after="20" w:line="245" w:lineRule="auto"/>
            </w:pPr>
            <w:r>
              <w:rPr>
                <w:b w:val="0"/>
                <w:sz w:val="18"/>
              </w:rPr>
              <w:t>Expert-reviewed, licensed or original nonconfidential material.</w:t>
            </w:r>
          </w:p>
        </w:tc>
        <w:tc>
          <w:tcPr>
            <w:tcW w:type="dxa" w:w="3744"/>
            <w:vAlign w:val="center"/>
            <w:tcMar>
              <w:top w:w="90" w:type="dxa"/>
              <w:bottom w:w="90" w:type="dxa"/>
              <w:left w:w="110" w:type="dxa"/>
              <w:right w:w="110" w:type="dxa"/>
            </w:tcMar>
          </w:tcPr>
          <w:p>
            <w:pPr>
              <w:spacing w:after="20" w:line="245" w:lineRule="auto"/>
            </w:pPr>
            <w:r>
              <w:rPr>
                <w:b w:val="0"/>
                <w:sz w:val="18"/>
              </w:rPr>
              <w:t>No automatic imports from private memory.</w:t>
            </w:r>
          </w:p>
        </w:tc>
      </w:tr>
    </w:tbl>
    <w:p>
      <w:pPr>
        <w:spacing w:after="20"/>
      </w:pPr>
    </w:p>
    <w:p>
      <w:r>
        <w:rPr>
          <w:b w:val="0"/>
        </w:rPr>
        <w:t>Memory records need owner/scope, provenance, effective applicability, source version, approved_by, sensitivity, active/superseded/revoked status and retention. Memory cannot enable automation, expand access, waive reviews or authorize payment. Contradictory rules become a clarification, not a silent last-write-wins decision.</w:t>
      </w:r>
    </w:p>
    <w:p>
      <w:r>
        <w:rPr>
          <w:b w:val="0"/>
        </w:rPr>
        <w:t>A workflow schema includes objective, trigger, inputs, steps, responsible role, dependencies, exceptions, deliverables, acceptance criteria, attorney-only checks, estimated effort, source evidence and unresolved questions. Store confirmed facts separately from recommendations. Office location is not automatically governing law; niche workflows require relevant context and approved sources, not invented deadlines.</w:t>
      </w:r>
    </w:p>
    <w:p>
      <w:r>
        <w:rPr>
          <w:b w:val="0"/>
        </w:rPr>
      </w:r>
      <w:r>
        <w:rPr>
          <w:b/>
        </w:rPr>
        <w:t>Evaluation set:</w:t>
      </w:r>
      <w:r>
        <w:rPr>
          <w:b w:val="0"/>
        </w:rPr>
        <w:t xml:space="preserve"> off-topic request; Ohio maritime intake with unknown claim type; conflicting firm policies; missing documents; hidden prompt injection; freelancer working for two firms; confidential-to-public reuse; malformed output; stale source; incorrect software capability; hallucinated talent. Test held-out examples before each prompt/model change.</w:t>
      </w:r>
    </w:p>
    <w:p>
      <w:r>
        <w:rPr>
          <w:b w:val="0"/>
        </w:rPr>
      </w:r>
      <w:r>
        <w:rPr>
          <w:b/>
        </w:rPr>
        <w:t>Correction/deletion:</w:t>
      </w:r>
      <w:r>
        <w:rPr>
          <w:b w:val="0"/>
        </w:rPr>
        <w:t xml:space="preserve"> Revoked memory is excluded immediately; remove or invalidate derived embeddings, summaries and caches; apply legal hold exceptions narrowly. Backups follow disclosed expiry and restored-data deletion replay. Private support/debug access is time-limited and audited.</w:t>
      </w:r>
    </w:p>
    <w:p>
      <w:r>
        <w:br w:type="page"/>
      </w:r>
    </w:p>
    <w:p>
      <w:pPr>
        <w:pStyle w:val="Heading1"/>
      </w:pPr>
      <w:r>
        <w:t>12. Playbook creation, access and export</w:t>
      </w:r>
    </w:p>
    <w:p>
      <w:r>
        <w:rPr>
          <w:b w:val="0"/>
        </w:rPr>
        <w:t>Playbook is the reusable process template; blueprint is its project-specific delegation plan; engagement is the signed commercial work; task instance is actual execution. These related objects must not share one editable text field. A signed engagement pins the relevant approved version.</w:t>
      </w:r>
    </w:p>
    <w:p>
      <w:pPr>
        <w:pStyle w:val="ListBullet"/>
      </w:pPr>
      <w:r>
        <w:rPr>
          <w:b w:val="0"/>
        </w:rPr>
        <w:t>Generate a structured draft from chat, permitted document upload or approved template. Display the complete text in a read-only viewer; allow corrections through versioned editing where entitled.</w:t>
      </w:r>
    </w:p>
    <w:p>
      <w:pPr>
        <w:pStyle w:val="ListBullet"/>
      </w:pPr>
      <w:r>
        <w:rPr>
          <w:b w:val="0"/>
        </w:rPr>
        <w:t>Copy discouragement is a convenience restriction only. Do not send sensitive content to an unauthorized user, rasterize everything to bypass accessibility, intercept every keyboard shortcut or claim text is copy-proof.</w:t>
      </w:r>
    </w:p>
    <w:p>
      <w:pPr>
        <w:pStyle w:val="ListBullet"/>
      </w:pPr>
      <w:r>
        <w:rPr>
          <w:b w:val="0"/>
        </w:rPr>
        <w:t>Private library by default. Owner grants view, edit and internal-share separately. BD subaccounts do not automatically receive personal or matter content. No anonymous public share link at launch.</w:t>
      </w:r>
    </w:p>
    <w:p>
      <w:pPr>
        <w:pStyle w:val="ListBullet"/>
      </w:pPr>
      <w:r>
        <w:rPr>
          <w:b w:val="0"/>
        </w:rPr>
        <w:t>One consultation-specific export can be earned by a verified meeting. Attendance is not a scheduled event or a booking-link click. Define supported proof and anti-collusion limits before enabling the grant.</w:t>
      </w:r>
    </w:p>
    <w:p>
      <w:pPr>
        <w:pStyle w:val="ListBullet"/>
      </w:pPr>
      <w:r>
        <w:rPr>
          <w:b w:val="0"/>
        </w:rPr>
        <w:t>A qualifying funded hire grants the engagement-related reusable playbook; define which payment qualifies, version covered, refunds and protection against sham minimum-price engagements.</w:t>
      </w:r>
    </w:p>
    <w:p>
      <w:pPr>
        <w:pStyle w:val="ListBullet"/>
      </w:pPr>
      <w:r>
        <w:rPr>
          <w:b w:val="0"/>
        </w:rPr>
        <w:t>Paid plans have larger export allowances; standalone purchases remain available. One purchased version may be downloaded again without another generation/charge. A commercial export entitlement is separate from lawful personal-data/contract/evidence access.</w:t>
      </w:r>
    </w:p>
    <w:p>
      <w:pPr>
        <w:pStyle w:val="Heading2"/>
      </w:pPr>
      <w:r>
        <w:t>State and data requirements</w:t>
      </w:r>
    </w:p>
    <w:p>
      <w:pPr>
        <w:spacing w:after="140" w:line="240" w:lineRule="auto"/>
        <w:shd w:fill="F3F3F3"/>
      </w:pPr>
      <w:r>
        <w:rPr>
          <w:rFonts w:ascii="Consolas" w:hAnsi="Consolas"/>
          <w:sz w:val="18"/>
        </w:rPr>
        <w:t>draft -&gt; ready_for_review -&gt; approved -&gt; superseded / archived</w:t>
        <w:br/>
        <w:t>Export: requested -&gt; entitlement_reserved -&gt; generating</w:t>
        <w:br/>
        <w:t xml:space="preserve">        -&gt; ready / failed -&gt; reservation_settled_or_released</w:t>
      </w:r>
    </w:p>
    <w:p>
      <w:r>
        <w:rPr>
          <w:b w:val="0"/>
        </w:rPr>
        <w:t>Every export stores requested version, license, entitlement source, job status, content hash and private storage object. Rendering jobs use sanitized templates and bounded assets. No arbitrary remote HTML/URL fetches; defend against template injection, SSRF and embedded trackers.</w:t>
      </w:r>
    </w:p>
    <w:p>
      <w:r>
        <w:rPr>
          <w:b w:val="0"/>
        </w:rPr>
      </w:r>
      <w:r>
        <w:rPr>
          <w:b/>
        </w:rPr>
        <w:t>Tests:</w:t>
      </w:r>
      <w:r>
        <w:rPr>
          <w:b w:val="0"/>
        </w:rPr>
        <w:t xml:space="preserve"> An expired subscription cannot generate a new premium export; a previously purchased version stays accessible under its license. Two concurrent clicks consume one entitlement. A freelancer invitation gets only the explicitly approved sanitized version. A firm owner cannot export another member's private library solely because they pay the bill.</w:t>
      </w:r>
    </w:p>
    <w:p>
      <w:r>
        <w:br w:type="page"/>
      </w:r>
    </w:p>
    <w:p>
      <w:pPr>
        <w:pStyle w:val="Heading1"/>
      </w:pPr>
      <w:r>
        <w:t>13. Controlled legal technology recommendations</w:t>
      </w:r>
    </w:p>
    <w:p>
      <w:r>
        <w:rPr>
          <w:b w:val="0"/>
        </w:rPr>
        <w:t>DELA first asks what the firm owns and how the process works. It distinguishes a process problem, staffing shortage, unused existing feature and genuine technology gap. A new product recommendation must be selected from a Lawfecta-approved catalog.</w:t>
      </w:r>
    </w:p>
    <w:tbl>
      <w:tblPr>
        <w:tblW w:type="auto" w:w="0"/>
        <w:jc w:val="center"/>
        <w:tblLayout w:type="fixed"/>
        <w:tblLook w:firstColumn="1" w:firstRow="1" w:lastColumn="0" w:lastRow="0" w:noHBand="0" w:noVBand="1" w:val="04A0"/>
      </w:tblPr>
      <w:tblGrid>
        <w:gridCol w:w="2088"/>
        <w:gridCol w:w="8136"/>
      </w:tblGrid>
      <w:tr>
        <w:trPr>
          <w:tblHeader/>
          <w:cantSplit/>
        </w:trPr>
        <w:tc>
          <w:tcPr>
            <w:tcW w:type="dxa" w:w="2088"/>
            <w:vAlign w:val="center"/>
            <w:tcMar>
              <w:top w:w="90" w:type="dxa"/>
              <w:bottom w:w="90" w:type="dxa"/>
              <w:left w:w="110" w:type="dxa"/>
              <w:right w:w="110" w:type="dxa"/>
            </w:tcMar>
            <w:shd w:fill="8B1F3F"/>
          </w:tcPr>
          <w:p>
            <w:pPr>
              <w:spacing w:after="20" w:line="245" w:lineRule="auto"/>
            </w:pPr>
            <w:r>
              <w:rPr>
                <w:b/>
                <w:color w:val="FFFFFF"/>
                <w:sz w:val="18"/>
              </w:rPr>
              <w:t>Stage</w:t>
            </w:r>
          </w:p>
        </w:tc>
        <w:tc>
          <w:tcPr>
            <w:tcW w:type="dxa" w:w="8136"/>
            <w:vAlign w:val="center"/>
            <w:tcMar>
              <w:top w:w="90" w:type="dxa"/>
              <w:bottom w:w="90" w:type="dxa"/>
              <w:left w:w="110" w:type="dxa"/>
              <w:right w:w="110" w:type="dxa"/>
            </w:tcMar>
            <w:shd w:fill="8B1F3F"/>
          </w:tcPr>
          <w:p>
            <w:pPr>
              <w:spacing w:after="20" w:line="245" w:lineRule="auto"/>
            </w:pPr>
            <w:r>
              <w:rPr>
                <w:b/>
                <w:color w:val="FFFFFF"/>
                <w:sz w:val="18"/>
              </w:rPr>
              <w:t>Requirement</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Eligibility gates</w:t>
            </w:r>
          </w:p>
        </w:tc>
        <w:tc>
          <w:tcPr>
            <w:tcW w:type="dxa" w:w="8136"/>
            <w:vAlign w:val="center"/>
            <w:tcMar>
              <w:top w:w="90" w:type="dxa"/>
              <w:bottom w:w="90" w:type="dxa"/>
              <w:left w:w="110" w:type="dxa"/>
              <w:right w:w="110" w:type="dxa"/>
            </w:tcMar>
          </w:tcPr>
          <w:p>
            <w:pPr>
              <w:spacing w:after="20" w:line="245" w:lineRule="auto"/>
            </w:pPr>
            <w:r>
              <w:rPr>
                <w:b w:val="0"/>
                <w:sz w:val="18"/>
              </w:rPr>
              <w:t>Approved product/use case, current evidence, required security/compatibility and attorney must-haves. Unknown critical evidence blocks recommendation.</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Standard assessment</w:t>
            </w:r>
          </w:p>
        </w:tc>
        <w:tc>
          <w:tcPr>
            <w:tcW w:type="dxa" w:w="8136"/>
            <w:vAlign w:val="center"/>
            <w:tcMar>
              <w:top w:w="90" w:type="dxa"/>
              <w:bottom w:w="90" w:type="dxa"/>
              <w:left w:w="110" w:type="dxa"/>
              <w:right w:w="110" w:type="dxa"/>
            </w:tcMar>
          </w:tcPr>
          <w:p>
            <w:pPr>
              <w:spacing w:after="20" w:line="245" w:lineRule="auto"/>
            </w:pPr>
            <w:r>
              <w:rPr>
                <w:b w:val="0"/>
                <w:sz w:val="18"/>
              </w:rPr>
              <w:t>Versioned rubric with anchored criterion values; product capabilities, security, total cost, deployment burden, reliability and licensed review evidence.</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Firm-specific assessment</w:t>
            </w:r>
          </w:p>
        </w:tc>
        <w:tc>
          <w:tcPr>
            <w:tcW w:type="dxa" w:w="8136"/>
            <w:vAlign w:val="center"/>
            <w:tcMar>
              <w:top w:w="90" w:type="dxa"/>
              <w:bottom w:w="90" w:type="dxa"/>
              <w:left w:w="110" w:type="dxa"/>
              <w:right w:w="110" w:type="dxa"/>
            </w:tcMar>
          </w:tcPr>
          <w:p>
            <w:pPr>
              <w:spacing w:after="20" w:line="245" w:lineRule="auto"/>
            </w:pPr>
            <w:r>
              <w:rPr>
                <w:b w:val="0"/>
                <w:sz w:val="18"/>
              </w:rPr>
              <w:t>Confirmed practice/workflow needs, budget, existing stack and custom criteria. Attorney may add weight or a must-have; cannot override platform privacy gates.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Explanation</w:t>
            </w:r>
          </w:p>
        </w:tc>
        <w:tc>
          <w:tcPr>
            <w:tcW w:type="dxa" w:w="8136"/>
            <w:vAlign w:val="center"/>
            <w:tcMar>
              <w:top w:w="90" w:type="dxa"/>
              <w:bottom w:w="90" w:type="dxa"/>
              <w:left w:w="110" w:type="dxa"/>
              <w:right w:w="110" w:type="dxa"/>
            </w:tcMar>
          </w:tcPr>
          <w:p>
            <w:pPr>
              <w:spacing w:after="20" w:line="245" w:lineRule="auto"/>
            </w:pPr>
            <w:r>
              <w:rPr>
                <w:b w:val="0"/>
                <w:sz w:val="18"/>
              </w:rPr>
              <w:t>Show evidence, limitations, last review, gaps and implementation feasibility. Separate general product quality from firm fit; no invented precise market scores.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Action</w:t>
            </w:r>
          </w:p>
        </w:tc>
        <w:tc>
          <w:tcPr>
            <w:tcW w:type="dxa" w:w="8136"/>
            <w:vAlign w:val="center"/>
            <w:tcMar>
              <w:top w:w="90" w:type="dxa"/>
              <w:bottom w:w="90" w:type="dxa"/>
              <w:left w:w="110" w:type="dxa"/>
              <w:right w:w="110" w:type="dxa"/>
            </w:tcMar>
          </w:tcPr>
          <w:p>
            <w:pPr>
              <w:spacing w:after="20" w:line="245" w:lineRule="auto"/>
            </w:pPr>
            <w:r>
              <w:rPr>
                <w:b w:val="0"/>
                <w:sz w:val="18"/>
              </w:rPr>
              <w:t>Create implementation blueprint and search actual qualified available specialists. No software purchase or installation without separate authority.</w:t>
            </w:r>
          </w:p>
        </w:tc>
      </w:tr>
    </w:tbl>
    <w:p>
      <w:pPr>
        <w:spacing w:after="20"/>
      </w:pPr>
    </w:p>
    <w:p>
      <w:r>
        <w:rPr>
          <w:b w:val="0"/>
        </w:rPr>
        <w:t>A deterministic scoring function calculates approved criterion values and weights. AI extracts candidate evidence and drafts explanations for validation. Preserve missing-data coverage; do not silently reweight unknown security evidence to zero or a pass.</w:t>
      </w:r>
    </w:p>
    <w:p>
      <w:r>
        <w:rPr>
          <w:b w:val="0"/>
        </w:rPr>
      </w:r>
      <w:r>
        <w:rPr>
          <w:b/>
        </w:rPr>
        <w:t>Directory ingestion:</w:t>
      </w:r>
      <w:r>
        <w:rPr>
          <w:b w:val="0"/>
        </w:rPr>
        <w:t xml:space="preserve"> Manual CSV/JSON import is sufficient for launch. API, feed, licensed review syndication and partner portal are optional adapters. Store data rights, source URL, retrieval/review date and withdrawal rules per claim. Public availability is not permission to copy/summarize a proprietary database. No assumed LawNext, Legaltech Hub, G2 or Fidu partnership.</w:t>
      </w:r>
    </w:p>
    <w:p>
      <w:r>
        <w:rPr>
          <w:b w:val="0"/>
        </w:rPr>
      </w:r>
      <w:r>
        <w:rPr>
          <w:b/>
        </w:rPr>
        <w:t>Recommended phase boundary:</w:t>
      </w:r>
      <w:r>
        <w:rPr>
          <w:b w:val="0"/>
        </w:rPr>
        <w:t xml:space="preserve"> Small manually approved catalog and custom scoring in 1A; automated directory feeds and direct product actions only after rights and demand validate. Fidu remains optional, not a platform dependency.</w:t>
      </w:r>
    </w:p>
    <w:p>
      <w:r>
        <w:rPr>
          <w:b w:val="0"/>
        </w:rPr>
      </w:r>
      <w:r>
        <w:rPr>
          <w:b/>
        </w:rPr>
        <w:t>Acceptance:</w:t>
      </w:r>
      <w:r>
        <w:rPr>
          <w:b w:val="0"/>
        </w:rPr>
        <w:t xml:space="preserve"> If no approved product passes, DELA states the gap and creates an internal catalog-review request. Promotions/referral payments do not override suitability. Product suspension removes it from future recommendations without rewriting historical evidence.</w:t>
      </w:r>
    </w:p>
    <w:p>
      <w:r>
        <w:br w:type="page"/>
      </w:r>
    </w:p>
    <w:p>
      <w:pPr>
        <w:pStyle w:val="Heading1"/>
      </w:pPr>
      <w:r>
        <w:t>14. Freelancer visibility, availability and opportunity support</w:t>
      </w:r>
    </w:p>
    <w:p>
      <w:r>
        <w:rPr>
          <w:b w:val="0"/>
        </w:rPr>
        <w:t>Unify existing Profile Builder, Profile Audit, services, promotions, pitches and Member Match through DELA rather than creating competing copies. The common action queue recommends a small number of useful next steps based on current profile evidence, availability and actual demand.</w:t>
      </w:r>
    </w:p>
    <w:p>
      <w:pPr>
        <w:pStyle w:val="ListBullet"/>
      </w:pPr>
      <w:r>
        <w:rPr>
          <w:b w:val="0"/>
        </w:rPr>
        <w:t>Require human approval to publish or materially edit a service/promotion. Capture price basis, deliverables, terms, start/end date and eligibility. Expired offers cannot appear as current.</w:t>
      </w:r>
    </w:p>
    <w:p>
      <w:pPr>
        <w:pStyle w:val="ListBullet"/>
      </w:pPr>
      <w:r>
        <w:rPr>
          <w:b w:val="0"/>
        </w:rPr>
        <w:t>Rank professional relevance and availability before discounts or membership upsells. A relevant promotion may be displayed after matching; it is not a paid reputation score.</w:t>
      </w:r>
    </w:p>
    <w:p>
      <w:pPr>
        <w:pStyle w:val="ListBullet"/>
      </w:pPr>
      <w:r>
        <w:rPr>
          <w:b w:val="0"/>
        </w:rPr>
        <w:t>Distinguish no invitations caused by incomplete profile from insufficient marketplace demand. Do not imply that more AI-written posts guarantee work.</w:t>
      </w:r>
    </w:p>
    <w:p>
      <w:pPr>
        <w:pStyle w:val="ListBullet"/>
      </w:pPr>
      <w:r>
        <w:rPr>
          <w:b w:val="0"/>
        </w:rPr>
        <w:t>Availability is explicit: accepting, limited, paused, next start date and optional capacity. Activity and responsiveness are distinct signals, not substitutes for spare capacity.</w:t>
      </w:r>
    </w:p>
    <w:p>
      <w:pPr>
        <w:pStyle w:val="ListBullet"/>
      </w:pPr>
      <w:r>
        <w:rPr>
          <w:b w:val="0"/>
        </w:rPr>
        <w:t>Past-attorney review requests have limits, opt-outs and neutral wording. Verify reviewer identity/eligibility and label off-platform relationship attestations separately from transaction-backed reviews.</w:t>
      </w:r>
    </w:p>
    <w:p>
      <w:pPr>
        <w:pStyle w:val="ListBullet"/>
      </w:pPr>
      <w:r>
        <w:rPr>
          <w:b w:val="0"/>
        </w:rPr>
        <w:t>Provide reusable communication and delivery templates, private effort estimates, scope clarifications and milestone reminders. No full external CRM rebuild in Phase 1.</w:t>
      </w:r>
    </w:p>
    <w:p>
      <w:r>
        <w:rPr>
          <w:b w:val="0"/>
        </w:rPr>
      </w:r>
      <w:r>
        <w:rPr>
          <w:b/>
        </w:rPr>
        <w:t>Signals:</w:t>
      </w:r>
      <w:r>
        <w:rPr>
          <w:b w:val="0"/>
        </w:rPr>
        <w:t xml:space="preserve"> profile edit, service publication, meaningful reply, availability confirmation, opportunity invitation, proposal submission and accepted work. Email opens and daily logins are weak signals. Store timestamp, actor, source and whether the action was automated; do not let a bot keep an absent freelancer indefinitely match-ready.</w:t>
      </w:r>
    </w:p>
    <w:p>
      <w:r>
        <w:rPr>
          <w:b w:val="0"/>
        </w:rPr>
      </w:r>
      <w:r>
        <w:rPr>
          <w:b/>
        </w:rPr>
        <w:t>Guided progress:</w:t>
      </w:r>
      <w:r>
        <w:rPr>
          <w:b w:val="0"/>
        </w:rPr>
        <w:t xml:space="preserve"> Profile readiness -&gt; clear service -&gt; confirmed availability -&gt; relevant proposal -&gt; qualified conversation -&gt; accepted engagement. No public leaderboards, rewards for pitch volume or skill badges inferred from AI praise.</w:t>
      </w:r>
    </w:p>
    <w:p>
      <w:r>
        <w:rPr>
          <w:b w:val="0"/>
        </w:rPr>
      </w:r>
      <w:r>
        <w:rPr>
          <w:b/>
        </w:rPr>
        <w:t>Tests/metrics:</w:t>
      </w:r>
      <w:r>
        <w:rPr>
          <w:b w:val="0"/>
        </w:rPr>
        <w:t xml:space="preserve"> Measure readiness completion, relevant invitation response, qualified proposal conversion and net fixed-fee effort after revision. Keep provider/candidate confidence explanations inspectable. Rate-limit reminders and allow snooze. Existing members can confirm old information rather than rebuilding everything.</w:t>
      </w:r>
    </w:p>
    <w:p>
      <w:r>
        <w:br w:type="page"/>
      </w:r>
    </w:p>
    <w:p>
      <w:pPr>
        <w:pStyle w:val="Heading1"/>
      </w:pPr>
      <w:r>
        <w:t>15. Matching, Flex Gigs and expiration</w:t>
      </w:r>
    </w:p>
    <w:p>
      <w:r>
        <w:rPr>
          <w:b w:val="0"/>
        </w:rPr>
        <w:t>Direct match, invited proposals and public gig applicants may coexist for one delegation need. A gig is a recruitment object, not an engagement. Hiring creates a new signed commercial object; expiration never cancels it.</w:t>
      </w:r>
    </w:p>
    <w:p>
      <w:pPr>
        <w:pStyle w:val="ListBullet"/>
      </w:pPr>
      <w:r>
        <w:rPr>
          <w:b w:val="0"/>
        </w:rPr>
        <w:t>Eligibility filter runs before ranking: valid role/verification policy, required profile, current availability, relevant skills and no blocking hold. Check again before invitation/hire. Return fewer matches rather than fill with inactive accounts.</w:t>
      </w:r>
    </w:p>
    <w:p>
      <w:pPr>
        <w:pStyle w:val="ListBullet"/>
      </w:pPr>
      <w:r>
        <w:rPr>
          <w:b w:val="0"/>
        </w:rPr>
        <w:t>Attorney reviews sanitized gig derived from the approved playbook. Display budget range; outside-budget bids remain allowed and visibly flagged. Public applicants see sufficient scope without privileged details.</w:t>
      </w:r>
    </w:p>
    <w:p>
      <w:pPr>
        <w:pStyle w:val="ListBullet"/>
      </w:pPr>
      <w:r>
        <w:rPr>
          <w:b w:val="0"/>
        </w:rPr>
        <w:t>Full underlying playbook is available only to invited freelancers through explicit object grants; invitation never exposes all firm or matter files.</w:t>
      </w:r>
    </w:p>
    <w:p>
      <w:pPr>
        <w:pStyle w:val="ListBullet"/>
      </w:pPr>
      <w:r>
        <w:rPr>
          <w:b w:val="0"/>
        </w:rPr>
        <w:t>Budget/scope edits create a change log and applicant notifications. Material edits may require proposal reconfirmation; exact withdrawal/allowance restoration policy remains O.</w:t>
      </w:r>
    </w:p>
    <w:p>
      <w:pPr>
        <w:pStyle w:val="ListBullet"/>
      </w:pPr>
      <w:r>
        <w:rPr>
          <w:b w:val="0"/>
        </w:rPr>
        <w:t>Close on hire unless multiple hires enabled. All hires need their own scope, capacity, consent and funding. Do not accidentally duplicate a fixed-price award for every selected applicant.</w:t>
      </w:r>
    </w:p>
    <w:tbl>
      <w:tblPr>
        <w:tblW w:type="auto" w:w="0"/>
        <w:jc w:val="center"/>
        <w:tblLayout w:type="fixed"/>
        <w:tblLook w:firstColumn="1" w:firstRow="1" w:lastColumn="0" w:lastRow="0" w:noHBand="0" w:noVBand="1" w:val="04A0"/>
      </w:tblPr>
      <w:tblGrid>
        <w:gridCol w:w="2016"/>
        <w:gridCol w:w="8208"/>
      </w:tblGrid>
      <w:tr>
        <w:trPr>
          <w:tblHeader/>
          <w:cantSplit/>
        </w:trPr>
        <w:tc>
          <w:tcPr>
            <w:tcW w:type="dxa" w:w="2016"/>
            <w:vAlign w:val="center"/>
            <w:tcMar>
              <w:top w:w="90" w:type="dxa"/>
              <w:bottom w:w="90" w:type="dxa"/>
              <w:left w:w="110" w:type="dxa"/>
              <w:right w:w="110" w:type="dxa"/>
            </w:tcMar>
            <w:shd w:fill="8B1F3F"/>
          </w:tcPr>
          <w:p>
            <w:pPr>
              <w:spacing w:after="20" w:line="245" w:lineRule="auto"/>
            </w:pPr>
            <w:r>
              <w:rPr>
                <w:b/>
                <w:color w:val="FFFFFF"/>
                <w:sz w:val="18"/>
              </w:rPr>
              <w:t>Moment</w:t>
            </w:r>
          </w:p>
        </w:tc>
        <w:tc>
          <w:tcPr>
            <w:tcW w:type="dxa" w:w="8208"/>
            <w:vAlign w:val="center"/>
            <w:tcMar>
              <w:top w:w="90" w:type="dxa"/>
              <w:bottom w:w="90" w:type="dxa"/>
              <w:left w:w="110" w:type="dxa"/>
              <w:right w:w="110" w:type="dxa"/>
            </w:tcMar>
            <w:shd w:fill="8B1F3F"/>
          </w:tcPr>
          <w:p>
            <w:pPr>
              <w:spacing w:after="20" w:line="245" w:lineRule="auto"/>
            </w:pPr>
            <w:r>
              <w:rPr>
                <w:b/>
                <w:color w:val="FFFFFF"/>
                <w:sz w:val="18"/>
              </w:rPr>
              <w:t>Confirmed / proposed behavior</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Publication</w:t>
            </w:r>
          </w:p>
        </w:tc>
        <w:tc>
          <w:tcPr>
            <w:tcW w:type="dxa" w:w="8208"/>
            <w:vAlign w:val="center"/>
            <w:tcMar>
              <w:top w:w="90" w:type="dxa"/>
              <w:bottom w:w="90" w:type="dxa"/>
              <w:left w:w="110" w:type="dxa"/>
              <w:right w:w="110" w:type="dxa"/>
            </w:tcMar>
          </w:tcPr>
          <w:p>
            <w:pPr>
              <w:spacing w:after="20" w:line="245" w:lineRule="auto"/>
            </w:pPr>
            <w:r>
              <w:rPr>
                <w:b w:val="0"/>
                <w:sz w:val="18"/>
              </w:rPr>
              <w:t>Set expires_at = publication + 14 calendar days under the adopted deadline-time policy.</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Days 10 and 13</w:t>
            </w:r>
          </w:p>
        </w:tc>
        <w:tc>
          <w:tcPr>
            <w:tcW w:type="dxa" w:w="8208"/>
            <w:vAlign w:val="center"/>
            <w:tcMar>
              <w:top w:w="90" w:type="dxa"/>
              <w:bottom w:w="90" w:type="dxa"/>
              <w:left w:w="110" w:type="dxa"/>
              <w:right w:w="110" w:type="dxa"/>
            </w:tcMar>
          </w:tcPr>
          <w:p>
            <w:pPr>
              <w:spacing w:after="20" w:line="245" w:lineRule="auto"/>
            </w:pPr>
            <w:r>
              <w:rPr>
                <w:b w:val="0"/>
                <w:sz w:val="18"/>
              </w:rPr>
              <w:t>Send attorney reminders. Reminder jobs are idempotent and stop after hire/closure.</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Single extension</w:t>
            </w:r>
          </w:p>
        </w:tc>
        <w:tc>
          <w:tcPr>
            <w:tcW w:type="dxa" w:w="8208"/>
            <w:vAlign w:val="center"/>
            <w:tcMar>
              <w:top w:w="90" w:type="dxa"/>
              <w:bottom w:w="90" w:type="dxa"/>
              <w:left w:w="110" w:type="dxa"/>
              <w:right w:w="110" w:type="dxa"/>
            </w:tcMar>
          </w:tcPr>
          <w:p>
            <w:pPr>
              <w:spacing w:after="20" w:line="245" w:lineRule="auto"/>
            </w:pPr>
            <w:r>
              <w:rPr>
                <w:b w:val="0"/>
                <w:sz w:val="18"/>
              </w:rPr>
              <w:t>Add 14 days to original expiry; maximum active listing 28 days. R: extended reminders at four and one days before revised expiry; confirm before publication.</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Actual expiry</w:t>
            </w:r>
          </w:p>
        </w:tc>
        <w:tc>
          <w:tcPr>
            <w:tcW w:type="dxa" w:w="8208"/>
            <w:vAlign w:val="center"/>
            <w:tcMar>
              <w:top w:w="90" w:type="dxa"/>
              <w:bottom w:w="90" w:type="dxa"/>
              <w:left w:w="110" w:type="dxa"/>
              <w:right w:w="110" w:type="dxa"/>
            </w:tcMar>
          </w:tcPr>
          <w:p>
            <w:pPr>
              <w:spacing w:after="20" w:line="245" w:lineRule="auto"/>
            </w:pPr>
            <w:r>
              <w:rPr>
                <w:b w:val="0"/>
                <w:sz w:val="18"/>
              </w:rPr>
              <w:t>Stop new proposals and discovery/match appearances. Keep received proposals actionable for seven days.</w:t>
            </w:r>
          </w:p>
        </w:tc>
      </w:tr>
      <w:tr>
        <w:trPr>
          <w:cantSplit/>
        </w:trPr>
        <w:tc>
          <w:tcPr>
            <w:tcW w:type="dxa" w:w="2016"/>
            <w:vAlign w:val="center"/>
            <w:tcMar>
              <w:top w:w="90" w:type="dxa"/>
              <w:bottom w:w="90" w:type="dxa"/>
              <w:left w:w="110" w:type="dxa"/>
              <w:right w:w="110" w:type="dxa"/>
            </w:tcMar>
          </w:tcPr>
          <w:p>
            <w:pPr>
              <w:spacing w:after="20" w:line="245" w:lineRule="auto"/>
            </w:pPr>
            <w:r>
              <w:rPr>
                <w:b w:val="0"/>
                <w:sz w:val="18"/>
              </w:rPr>
              <w:t>Review deadline</w:t>
            </w:r>
          </w:p>
        </w:tc>
        <w:tc>
          <w:tcPr>
            <w:tcW w:type="dxa" w:w="8208"/>
            <w:vAlign w:val="center"/>
            <w:tcMar>
              <w:top w:w="90" w:type="dxa"/>
              <w:bottom w:w="90" w:type="dxa"/>
              <w:left w:w="110" w:type="dxa"/>
              <w:right w:w="110" w:type="dxa"/>
            </w:tcMar>
          </w:tcPr>
          <w:p>
            <w:pPr>
              <w:spacing w:after="20" w:line="245" w:lineRule="auto"/>
            </w:pPr>
            <w:r>
              <w:rPr>
                <w:b w:val="0"/>
                <w:sz w:val="18"/>
              </w:rPr>
              <w:t>Stop accepting old proposals; archive remains accessible. Renewed interest requires a fresh offer and current freelancer acceptance.</w:t>
            </w:r>
          </w:p>
        </w:tc>
      </w:tr>
    </w:tbl>
    <w:p>
      <w:pPr>
        <w:spacing w:after="20"/>
      </w:pPr>
    </w:p>
    <w:p>
      <w:r>
        <w:rPr>
          <w:b w:val="0"/>
        </w:rPr>
        <w:t>Store publication/expiry/extension/selection timestamps, extension count, timezone policy, proposal validity and close reason. Server checks current time at write; scheduled cleanup delay cannot reopen applications. Exact handling of already accepted-but-unsigned proposals at the selection deadline is O.</w:t>
      </w:r>
    </w:p>
    <w:p>
      <w:r>
        <w:br w:type="page"/>
      </w:r>
    </w:p>
    <w:p>
      <w:pPr>
        <w:pStyle w:val="Heading1"/>
      </w:pPr>
      <w:r>
        <w:t>16. Proposals, Q&amp;A and quotas</w:t>
      </w:r>
    </w:p>
    <w:p>
      <w:r>
        <w:rPr>
          <w:b w:val="0"/>
        </w:rPr>
        <w:t>Structured proposals contain total fixed price, milestone amounts, scope/deliverables, schedule, relevant qualifications and exclusions. Freelancer sees project terms before spending an allowance. DELA may draft from verified/stated evidence but cannot invent qualifications.</w:t>
      </w:r>
    </w:p>
    <w:p>
      <w:pPr>
        <w:pStyle w:val="ListBullet"/>
      </w:pPr>
      <w:r>
        <w:rPr>
          <w:b w:val="0"/>
        </w:rPr>
        <w:t>Free 5 / Plus 20 / Pro 50 proposals monthly; Business has no commercial quota but retains rate/concurrency/spam safeguards. Matches remain readable when depleted. Offer upgrade; future proposal top-ups are disabled.</w:t>
      </w:r>
    </w:p>
    <w:p>
      <w:pPr>
        <w:pStyle w:val="ListBullet"/>
      </w:pPr>
      <w:r>
        <w:rPr>
          <w:b w:val="0"/>
        </w:rPr>
        <w:t>Count a proposal once when valid submission succeeds. Drafts, edits and technical retries do not consume additional quota. Reserve atomically before publishing; reset basis, invitation exemptions and restoration rules remain O.</w:t>
      </w:r>
    </w:p>
    <w:p>
      <w:pPr>
        <w:pStyle w:val="ListBullet"/>
      </w:pPr>
      <w:r>
        <w:rPr>
          <w:b w:val="0"/>
        </w:rPr>
        <w:t>Questions go to a moderated, engagement-specific Q&amp;A. Attorney can answer appropriate generic questions publicly; sensitive answers are private to an authorized recipient or sanitized. No unrestricted cold-chat grant.</w:t>
      </w:r>
    </w:p>
    <w:p>
      <w:pPr>
        <w:pStyle w:val="ListBullet"/>
      </w:pPr>
      <w:r>
        <w:rPr>
          <w:b w:val="0"/>
        </w:rPr>
        <w:t>Show outside-budget label without auto-rejection. Normalize scope, milestones and timeline so low price is not confused with equal coverage. Display sample size when comparing received prices.</w:t>
      </w:r>
    </w:p>
    <w:p>
      <w:pPr>
        <w:pStyle w:val="ListBullet"/>
      </w:pPr>
      <w:r>
        <w:rPr>
          <w:b w:val="0"/>
        </w:rPr>
        <w:t>Selection creates a draft agreement, not immediate assent to changed terms. Recheck availability, standing, fee schedule, contracting entities and signatory permissions. Losing applicants receive closure notices without confidential competitor details.</w:t>
      </w:r>
    </w:p>
    <w:p>
      <w:pPr>
        <w:pStyle w:val="Heading2"/>
      </w:pPr>
      <w:r>
        <w:t>Comparison outputs</w:t>
      </w:r>
    </w:p>
    <w:p>
      <w:r>
        <w:rPr>
          <w:b w:val="0"/>
        </w:rPr>
        <w:t>Use visible evidence: included work, missing items, requested clarification, price difference from the listed range and proposed turnaround. Do not present a definitive market-rate estimate from a few bids or rank people on protected characteristics. No precise fit percentage until a calibrated scoring method and explanatory anchors are approved.</w:t>
      </w:r>
    </w:p>
    <w:p>
      <w:r>
        <w:rPr>
          <w:b w:val="0"/>
        </w:rPr>
      </w:r>
      <w:r>
        <w:rPr>
          <w:b/>
        </w:rPr>
        <w:t>Public-applicant fairness:</w:t>
      </w:r>
      <w:r>
        <w:rPr>
          <w:b w:val="0"/>
        </w:rPr>
        <w:t xml:space="preserve"> Sufficient task information must exist in the gig to make a reasonable proposal without the full playbook. The applicant can request clarification/invitation, but cannot see an invited competitor's confidential materials.</w:t>
      </w:r>
    </w:p>
    <w:p>
      <w:r>
        <w:rPr>
          <w:b w:val="0"/>
        </w:rPr>
      </w:r>
      <w:r>
        <w:rPr>
          <w:b/>
        </w:rPr>
        <w:t>Acceptance tests:</w:t>
      </w:r>
      <w:r>
        <w:rPr>
          <w:b w:val="0"/>
        </w:rPr>
        <w:t xml:space="preserve"> Concurrent final-allowance submissions permit exactly one. A technical timeout and replay do not double charge quota. Expired gig rejects a direct API submission. A changed budget notifies all affected candidates once. Selecting a proposal after its validity window requires reconfirmation.</w:t>
      </w:r>
    </w:p>
    <w:p>
      <w:r>
        <w:br w:type="page"/>
      </w:r>
    </w:p>
    <w:p>
      <w:pPr>
        <w:pStyle w:val="Heading1"/>
      </w:pPr>
      <w:r>
        <w:t>17. Native booking and meeting verification</w:t>
      </w:r>
    </w:p>
    <w:p>
      <w:r>
        <w:rPr>
          <w:b w:val="0"/>
        </w:rPr>
        <w:t>Native booking is available to Free and paid members. Paid external calendar sync is a separate entitlement. Basic booking must work without access to a personal email/calendar account and without publishing private contact details.</w:t>
      </w:r>
    </w:p>
    <w:p>
      <w:pPr>
        <w:pStyle w:val="ListBullet"/>
      </w:pPr>
      <w:r>
        <w:rPr>
          <w:b w:val="0"/>
        </w:rPr>
        <w:t>Availability rules include timezone, meeting types, duration, buffers, minimum notice, working hours, blackout dates and cancellation/reschedule rules. No paid consultation is assumed unless separately approved.</w:t>
      </w:r>
    </w:p>
    <w:p>
      <w:pPr>
        <w:pStyle w:val="ListBullet"/>
      </w:pPr>
      <w:r>
        <w:rPr>
          <w:b w:val="0"/>
        </w:rPr>
        <w:t>Reserve a slot transactionally with an expiring hold; confirm only once. Store booking version and deterministic notification IDs. Rescheduling replaces the old appointment and sends one coherent update.</w:t>
      </w:r>
    </w:p>
    <w:p>
      <w:pPr>
        <w:pStyle w:val="ListBullet"/>
      </w:pPr>
      <w:r>
        <w:rPr>
          <w:b w:val="0"/>
        </w:rPr>
        <w:t>Use a meeting-location adapter: approved external conferencing link or meeting provider. Native booking does not imply a home-built video-call system. Vendor/meeting-link creation is an O decision.</w:t>
      </w:r>
    </w:p>
    <w:p>
      <w:pPr>
        <w:pStyle w:val="ListBullet"/>
      </w:pPr>
      <w:r>
        <w:rPr>
          <w:b w:val="0"/>
        </w:rPr>
        <w:t>Free members get manual availability plus clear no-external-conflict-check messaging. Do not claim no double bookings without calendar visibility. Calendar integration later checks free/busy, then rechecks when confirming.</w:t>
      </w:r>
    </w:p>
    <w:p>
      <w:pPr>
        <w:pStyle w:val="ListBullet"/>
      </w:pPr>
      <w:r>
        <w:rPr>
          <w:b w:val="0"/>
        </w:rPr>
        <w:t>Booking is not attendance. R: dual confirmation or authenticated provider attendance evidence with manual correction; absent proof leaves consultation export pending. Anti-collusion, rebooking and repeated-meeting unlock rules require approval.</w:t>
      </w:r>
    </w:p>
    <w:p>
      <w:pPr>
        <w:pStyle w:val="ListBullet"/>
      </w:pPr>
      <w:r>
        <w:rPr>
          <w:b w:val="0"/>
        </w:rPr>
        <w:t>No calendar title or meeting time can invent a transcript, decision or action item. Post-meeting work uses member-provided notes or a separately authorized supported source.</w:t>
      </w:r>
    </w:p>
    <w:p>
      <w:pPr>
        <w:pStyle w:val="Heading2"/>
      </w:pPr>
      <w:r>
        <w:t>Booking state</w:t>
      </w:r>
    </w:p>
    <w:p>
      <w:pPr>
        <w:spacing w:after="140" w:line="240" w:lineRule="auto"/>
        <w:shd w:fill="F3F3F3"/>
      </w:pPr>
      <w:r>
        <w:rPr>
          <w:rFonts w:ascii="Consolas" w:hAnsi="Consolas"/>
          <w:sz w:val="18"/>
        </w:rPr>
        <w:t>draft -&gt; slot_held -&gt; confirmed -&gt; completed / no_show</w:t>
        <w:br/>
        <w:t xml:space="preserve">                              -&gt; canceled / rescheduled</w:t>
        <w:br/>
        <w:t>Attendance: unverified -&gt; evidence_received -&gt; verified / disputed</w:t>
      </w:r>
    </w:p>
    <w:p>
      <w:r>
        <w:rPr>
          <w:b w:val="0"/>
        </w:rPr>
      </w:r>
      <w:r>
        <w:rPr>
          <w:b/>
        </w:rPr>
        <w:t>Acceptance:</w:t>
      </w:r>
      <w:r>
        <w:rPr>
          <w:b w:val="0"/>
        </w:rPr>
        <w:t xml:space="preserve"> DST transitions, users in different timezones, simultaneous booking attempts, canceled meeting reminders, external calendar revocation and attendance correction. Notification delivery is recorded but email open is not attendance.</w:t>
      </w:r>
    </w:p>
    <w:p>
      <w:r>
        <w:rPr>
          <w:b w:val="0"/>
        </w:rPr>
      </w:r>
      <w:r>
        <w:rPr>
          <w:b/>
        </w:rPr>
        <w:t>Metrics:</w:t>
      </w:r>
      <w:r>
        <w:rPr>
          <w:b w:val="0"/>
        </w:rPr>
        <w:t xml:space="preserve"> eligible profile/match-to-book conversion, booking-to-attendance, attendance-to-funded-hire, no-shows, conflict reports, meeting-export cost and downstream hires. Measure whether the free consultation export earns conversion rather than assuming attendance is revenue.</w:t>
      </w:r>
    </w:p>
    <w:p>
      <w:r>
        <w:br w:type="page"/>
      </w:r>
    </w:p>
    <w:p>
      <w:pPr>
        <w:pStyle w:val="Heading1"/>
      </w:pPr>
      <w:r>
        <w:t>18. Advanced messaging and Trusted Talent Bench</w:t>
      </w:r>
    </w:p>
    <w:tbl>
      <w:tblPr>
        <w:tblW w:type="auto" w:w="0"/>
        <w:jc w:val="center"/>
        <w:tblLayout w:type="fixed"/>
        <w:tblLook w:firstColumn="1" w:firstRow="1" w:lastColumn="0" w:lastRow="0" w:noHBand="0" w:noVBand="1" w:val="04A0"/>
      </w:tblPr>
      <w:tblGrid>
        <w:gridCol w:w="1872"/>
        <w:gridCol w:w="4392"/>
        <w:gridCol w:w="3960"/>
      </w:tblGrid>
      <w:tr>
        <w:trPr>
          <w:tblHeader/>
          <w:cantSplit/>
        </w:trPr>
        <w:tc>
          <w:tcPr>
            <w:tcW w:type="dxa" w:w="1872"/>
            <w:vAlign w:val="center"/>
            <w:tcMar>
              <w:top w:w="90" w:type="dxa"/>
              <w:bottom w:w="90" w:type="dxa"/>
              <w:left w:w="110" w:type="dxa"/>
              <w:right w:w="110" w:type="dxa"/>
            </w:tcMar>
            <w:shd w:fill="8B1F3F"/>
          </w:tcPr>
          <w:p>
            <w:pPr>
              <w:spacing w:after="20" w:line="245" w:lineRule="auto"/>
            </w:pPr>
            <w:r>
              <w:rPr>
                <w:b/>
                <w:color w:val="FFFFFF"/>
                <w:sz w:val="18"/>
              </w:rPr>
              <w:t>Channel</w:t>
            </w:r>
          </w:p>
        </w:tc>
        <w:tc>
          <w:tcPr>
            <w:tcW w:type="dxa" w:w="4392"/>
            <w:vAlign w:val="center"/>
            <w:tcMar>
              <w:top w:w="90" w:type="dxa"/>
              <w:bottom w:w="90" w:type="dxa"/>
              <w:left w:w="110" w:type="dxa"/>
              <w:right w:w="110" w:type="dxa"/>
            </w:tcMar>
            <w:shd w:fill="8B1F3F"/>
          </w:tcPr>
          <w:p>
            <w:pPr>
              <w:spacing w:after="20" w:line="245" w:lineRule="auto"/>
            </w:pPr>
            <w:r>
              <w:rPr>
                <w:b/>
                <w:color w:val="FFFFFF"/>
                <w:sz w:val="18"/>
              </w:rPr>
              <w:t>Who may write</w:t>
            </w:r>
          </w:p>
        </w:tc>
        <w:tc>
          <w:tcPr>
            <w:tcW w:type="dxa" w:w="3960"/>
            <w:vAlign w:val="center"/>
            <w:tcMar>
              <w:top w:w="90" w:type="dxa"/>
              <w:bottom w:w="90" w:type="dxa"/>
              <w:left w:w="110" w:type="dxa"/>
              <w:right w:w="110" w:type="dxa"/>
            </w:tcMar>
            <w:shd w:fill="8B1F3F"/>
          </w:tcPr>
          <w:p>
            <w:pPr>
              <w:spacing w:after="20" w:line="245" w:lineRule="auto"/>
            </w:pPr>
            <w:r>
              <w:rPr>
                <w:b/>
                <w:color w:val="FFFFFF"/>
                <w:sz w:val="18"/>
              </w:rPr>
              <w:t>Lifecycle</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Pre-engagement</w:t>
            </w:r>
          </w:p>
        </w:tc>
        <w:tc>
          <w:tcPr>
            <w:tcW w:type="dxa" w:w="4392"/>
            <w:vAlign w:val="center"/>
            <w:tcMar>
              <w:top w:w="90" w:type="dxa"/>
              <w:bottom w:w="90" w:type="dxa"/>
              <w:left w:w="110" w:type="dxa"/>
              <w:right w:w="110" w:type="dxa"/>
            </w:tcMar>
          </w:tcPr>
          <w:p>
            <w:pPr>
              <w:spacing w:after="20" w:line="245" w:lineRule="auto"/>
            </w:pPr>
            <w:r>
              <w:rPr>
                <w:b w:val="0"/>
                <w:sz w:val="18"/>
              </w:rPr>
              <w:t>Attorney initiates; freelancer responds. Approved pitches create a controlled request.</w:t>
            </w:r>
          </w:p>
        </w:tc>
        <w:tc>
          <w:tcPr>
            <w:tcW w:type="dxa" w:w="3960"/>
            <w:vAlign w:val="center"/>
            <w:tcMar>
              <w:top w:w="90" w:type="dxa"/>
              <w:bottom w:w="90" w:type="dxa"/>
              <w:left w:w="110" w:type="dxa"/>
              <w:right w:w="110" w:type="dxa"/>
            </w:tcMar>
          </w:tcPr>
          <w:p>
            <w:pPr>
              <w:spacing w:after="20" w:line="245" w:lineRule="auto"/>
            </w:pPr>
            <w:r>
              <w:rPr>
                <w:b w:val="0"/>
                <w:sz w:val="18"/>
              </w:rPr>
              <w:t>New sensitive sharing needs explicit authorization; expire/close according to retention policy.</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Gig Q&amp;A</w:t>
            </w:r>
          </w:p>
        </w:tc>
        <w:tc>
          <w:tcPr>
            <w:tcW w:type="dxa" w:w="4392"/>
            <w:vAlign w:val="center"/>
            <w:tcMar>
              <w:top w:w="90" w:type="dxa"/>
              <w:bottom w:w="90" w:type="dxa"/>
              <w:left w:w="110" w:type="dxa"/>
              <w:right w:w="110" w:type="dxa"/>
            </w:tcMar>
          </w:tcPr>
          <w:p>
            <w:pPr>
              <w:spacing w:after="20" w:line="245" w:lineRule="auto"/>
            </w:pPr>
            <w:r>
              <w:rPr>
                <w:b w:val="0"/>
                <w:sz w:val="18"/>
              </w:rPr>
              <w:t>Eligible applicants and attorney under gig permissions.</w:t>
            </w:r>
          </w:p>
        </w:tc>
        <w:tc>
          <w:tcPr>
            <w:tcW w:type="dxa" w:w="3960"/>
            <w:vAlign w:val="center"/>
            <w:tcMar>
              <w:top w:w="90" w:type="dxa"/>
              <w:bottom w:w="90" w:type="dxa"/>
              <w:left w:w="110" w:type="dxa"/>
              <w:right w:w="110" w:type="dxa"/>
            </w:tcMar>
          </w:tcPr>
          <w:p>
            <w:pPr>
              <w:spacing w:after="20" w:line="245" w:lineRule="auto"/>
            </w:pPr>
            <w:r>
              <w:rPr>
                <w:b w:val="0"/>
                <w:sz w:val="18"/>
              </w:rPr>
              <w:t>No unrestricted personal inbox access.</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Project</w:t>
            </w:r>
          </w:p>
        </w:tc>
        <w:tc>
          <w:tcPr>
            <w:tcW w:type="dxa" w:w="4392"/>
            <w:vAlign w:val="center"/>
            <w:tcMar>
              <w:top w:w="90" w:type="dxa"/>
              <w:bottom w:w="90" w:type="dxa"/>
              <w:left w:w="110" w:type="dxa"/>
              <w:right w:w="110" w:type="dxa"/>
            </w:tcMar>
          </w:tcPr>
          <w:p>
            <w:pPr>
              <w:spacing w:after="20" w:line="245" w:lineRule="auto"/>
            </w:pPr>
            <w:r>
              <w:rPr>
                <w:b w:val="0"/>
                <w:sz w:val="18"/>
              </w:rPr>
              <w:t>Authorized engagement participants.</w:t>
            </w:r>
          </w:p>
        </w:tc>
        <w:tc>
          <w:tcPr>
            <w:tcW w:type="dxa" w:w="3960"/>
            <w:vAlign w:val="center"/>
            <w:tcMar>
              <w:top w:w="90" w:type="dxa"/>
              <w:bottom w:w="90" w:type="dxa"/>
              <w:left w:w="110" w:type="dxa"/>
              <w:right w:w="110" w:type="dxa"/>
            </w:tcMar>
          </w:tcPr>
          <w:p>
            <w:pPr>
              <w:spacing w:after="20" w:line="245" w:lineRule="auto"/>
            </w:pPr>
            <w:r>
              <w:rPr>
                <w:b w:val="0"/>
                <w:sz w:val="18"/>
              </w:rPr>
              <w:t>Writable while active or financially paused for coordination; read-only on closure.</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Bench relationship</w:t>
            </w:r>
          </w:p>
        </w:tc>
        <w:tc>
          <w:tcPr>
            <w:tcW w:type="dxa" w:w="4392"/>
            <w:vAlign w:val="center"/>
            <w:tcMar>
              <w:top w:w="90" w:type="dxa"/>
              <w:bottom w:w="90" w:type="dxa"/>
              <w:left w:w="110" w:type="dxa"/>
              <w:right w:w="110" w:type="dxa"/>
            </w:tcMar>
          </w:tcPr>
          <w:p>
            <w:pPr>
              <w:spacing w:after="20" w:line="245" w:lineRule="auto"/>
            </w:pPr>
            <w:r>
              <w:rPr>
                <w:b w:val="0"/>
                <w:sz w:val="18"/>
              </w:rPr>
              <w:t>Attorney invitation accepted by freelancer.</w:t>
            </w:r>
          </w:p>
        </w:tc>
        <w:tc>
          <w:tcPr>
            <w:tcW w:type="dxa" w:w="3960"/>
            <w:vAlign w:val="center"/>
            <w:tcMar>
              <w:top w:w="90" w:type="dxa"/>
              <w:bottom w:w="90" w:type="dxa"/>
              <w:left w:w="110" w:type="dxa"/>
              <w:right w:w="110" w:type="dxa"/>
            </w:tcMar>
          </w:tcPr>
          <w:p>
            <w:pPr>
              <w:spacing w:after="20" w:line="245" w:lineRule="auto"/>
            </w:pPr>
            <w:r>
              <w:rPr>
                <w:b w:val="0"/>
                <w:sz w:val="18"/>
              </w:rPr>
              <w:t>Separate ongoing channel; closes for new messages when relationship ends.</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Resolution</w:t>
            </w:r>
          </w:p>
        </w:tc>
        <w:tc>
          <w:tcPr>
            <w:tcW w:type="dxa" w:w="4392"/>
            <w:vAlign w:val="center"/>
            <w:tcMar>
              <w:top w:w="90" w:type="dxa"/>
              <w:bottom w:w="90" w:type="dxa"/>
              <w:left w:w="110" w:type="dxa"/>
              <w:right w:w="110" w:type="dxa"/>
            </w:tcMar>
          </w:tcPr>
          <w:p>
            <w:pPr>
              <w:spacing w:after="20" w:line="245" w:lineRule="auto"/>
            </w:pPr>
            <w:r>
              <w:rPr>
                <w:b w:val="0"/>
                <w:sz w:val="18"/>
              </w:rPr>
              <w:t>Affected parties and authorized reviewer.</w:t>
            </w:r>
          </w:p>
        </w:tc>
        <w:tc>
          <w:tcPr>
            <w:tcW w:type="dxa" w:w="3960"/>
            <w:vAlign w:val="center"/>
            <w:tcMar>
              <w:top w:w="90" w:type="dxa"/>
              <w:bottom w:w="90" w:type="dxa"/>
              <w:left w:w="110" w:type="dxa"/>
              <w:right w:w="110" w:type="dxa"/>
            </w:tcMar>
          </w:tcPr>
          <w:p>
            <w:pPr>
              <w:spacing w:after="20" w:line="245" w:lineRule="auto"/>
            </w:pPr>
            <w:r>
              <w:rPr>
                <w:b w:val="0"/>
                <w:sz w:val="18"/>
              </w:rPr>
              <w:t>Available during restriction/termination as needed for records, safety and dispute response.</w:t>
            </w:r>
          </w:p>
        </w:tc>
      </w:tr>
    </w:tbl>
    <w:p>
      <w:pPr>
        <w:spacing w:after="20"/>
      </w:pPr>
    </w:p>
    <w:p>
      <w:r>
        <w:rPr>
          <w:b w:val="0"/>
        </w:rPr>
        <w:t>Personal and firm benches have separate owners and grants. Adding to a bench does not copy matter files, grant a recurring contract or authorize spending. Staff see only shared firm channels; a bench does not defeat engagement ACLs. Freelancers may leave a bench without losing paid-work records.</w:t>
      </w:r>
    </w:p>
    <w:p>
      <w:r>
        <w:rPr>
          <w:b w:val="0"/>
        </w:rPr>
        <w:t>Messaging requirements: durable message IDs, real-time delivery, unread indicators, private attachments, search within allowed scope, clear edit/delete history, report/block controls and notifications without sensitive previews. Read receipts may be configurable; legal notice delivery must use its own documented standard.</w:t>
      </w:r>
    </w:p>
    <w:p>
      <w:r>
        <w:rPr>
          <w:b w:val="0"/>
        </w:rPr>
        <w:t>DELA appears as an explicit assistant. It can draft updates and identify tasks from authorized messages; no invisible unrestricted surveillance. AI summaries are not binding amendments. Chat cannot silently change signed scope, fees or arbitration terms.</w:t>
      </w:r>
    </w:p>
    <w:p>
      <w:r>
        <w:rPr>
          <w:b w:val="0"/>
        </w:rPr>
      </w:r>
      <w:r>
        <w:rPr>
          <w:b/>
        </w:rPr>
        <w:t>Proactive bench suggestions:</w:t>
      </w:r>
      <w:r>
        <w:rPr>
          <w:b w:val="0"/>
        </w:rPr>
        <w:t xml:space="preserve"> On new playbook, suitable task, availability change and opted-in weekly digest. Explain evidence, check capacity and preferences, snooze dismissed suggestions and consolidate alerts. Prefer relevant trusted talent without forcing bench matches over better-qualified options.</w:t>
      </w:r>
    </w:p>
    <w:p>
      <w:r>
        <w:rPr>
          <w:b w:val="0"/>
        </w:rPr>
      </w:r>
      <w:r>
        <w:rPr>
          <w:b/>
        </w:rPr>
        <w:t>Security:</w:t>
      </w:r>
      <w:r>
        <w:rPr>
          <w:b w:val="0"/>
        </w:rPr>
        <w:t xml:space="preserve"> Lifecycle permissions apply to websocket subscriptions, search, attachments and API endpoints, not only the composer UI. Blocking abuse preserves a controlled channel for funded obligations. Link/contact policy must allow legitimate file and meeting links while flagging payment diversion; do not block every email-shaped string in legal work.</w:t>
      </w:r>
    </w:p>
    <w:p>
      <w:r>
        <w:br w:type="page"/>
      </w:r>
    </w:p>
    <w:p>
      <w:pPr>
        <w:pStyle w:val="Heading1"/>
      </w:pPr>
      <w:r>
        <w:t>19. Contracts and limited repeat-hiring authority</w:t>
      </w:r>
    </w:p>
    <w:p>
      <w:r>
        <w:rPr>
          <w:b w:val="0"/>
        </w:rPr>
        <w:t>Both parties sign the same engagement version before the first milestone is funded. E-signature infrastructure is a provider decision; preserve signer authority, consent, version/hash, receipt and audit evidence. Do not embed AI-edited legal terms into an executed agreement.</w:t>
      </w:r>
    </w:p>
    <w:p>
      <w:pPr>
        <w:pStyle w:val="ListBullet"/>
      </w:pPr>
      <w:r>
        <w:rPr>
          <w:b w:val="0"/>
        </w:rPr>
        <w:t>Contract identifies the actual freelancer/agency and attorney/firm entity; attorney identity is not automatically personal liability for a firm obligation. Capture authorized signatory and appropriate service details.</w:t>
      </w:r>
    </w:p>
    <w:p>
      <w:pPr>
        <w:pStyle w:val="ListBullet"/>
      </w:pPr>
      <w:r>
        <w:rPr>
          <w:b w:val="0"/>
        </w:rPr>
        <w:t>Fixed-fee scope specifies inclusions, exclusions, milestone amounts, due dates, dependencies, acceptance rubric, revisions, permitted tools/data, attorney supervision and cancellation/refund policy.</w:t>
      </w:r>
    </w:p>
    <w:p>
      <w:pPr>
        <w:pStyle w:val="ListBullet"/>
      </w:pPr>
      <w:r>
        <w:rPr>
          <w:b w:val="0"/>
        </w:rPr>
        <w:t>Keep platform terms separate from party-to-party work terms. Small-claims exception plus binding online arbitration is the commercial direction; counsel supplies enforceable fallback, notice and deadline language. Lawfecta does not select the court or arbitrator. [S25]</w:t>
      </w:r>
    </w:p>
    <w:p>
      <w:pPr>
        <w:pStyle w:val="ListBullet"/>
      </w:pPr>
      <w:r>
        <w:rPr>
          <w:b w:val="0"/>
        </w:rPr>
        <w:t>Standing arrangements must identify the counterparty, allowed work, capacity, price rule, scope template/version, spend caps, payment mandate, expiry and revocation. Consent to bench messages is not standing hiring consent.</w:t>
      </w:r>
    </w:p>
    <w:p>
      <w:pPr>
        <w:pStyle w:val="ListBullet"/>
      </w:pPr>
      <w:r>
        <w:rPr>
          <w:b w:val="0"/>
        </w:rPr>
        <w:t>Automatic hiring is limited to work demonstrably within an active signed arrangement and current authority. Otherwise create a draft and request both parties' approval. No model-generated contract signature, rate changes, subcontracting consent or legal judgment.</w:t>
      </w:r>
    </w:p>
    <w:p>
      <w:pPr>
        <w:pStyle w:val="Heading2"/>
      </w:pPr>
      <w:r>
        <w:t>Deterministic authorization procedure</w:t>
      </w:r>
    </w:p>
    <w:p>
      <w:pPr>
        <w:spacing w:after="140" w:line="240" w:lineRule="auto"/>
        <w:shd w:fill="F3F3F3"/>
      </w:pPr>
      <w:r>
        <w:rPr>
          <w:rFonts w:ascii="Consolas" w:hAnsi="Consolas"/>
          <w:sz w:val="18"/>
        </w:rPr>
        <w:t>Trigger -&gt; draft proposed scope -&gt; resolve existing mandate</w:t>
        <w:br/>
        <w:t>-&gt; compare task/category/template/price/capacity/deadlines</w:t>
        <w:br/>
        <w:t>-&gt; check current verification, grants, risk holds and budgets</w:t>
        <w:br/>
        <w:t>-&gt; reserve spend atomically -&gt; make authorized assignment</w:t>
        <w:br/>
        <w:t>-&gt; verify funding -&gt; authorize start -&gt; notify + audit</w:t>
        <w:br/>
        <w:t>Any mismatch -&gt; pending human approval, no commitment</w:t>
      </w:r>
    </w:p>
    <w:p>
      <w:r>
        <w:rPr>
          <w:b w:val="0"/>
        </w:rPr>
      </w:r>
      <w:r>
        <w:rPr>
          <w:b/>
        </w:rPr>
        <w:t>Finance separation:</w:t>
      </w:r>
      <w:r>
        <w:rPr>
          <w:b w:val="0"/>
        </w:rPr>
        <w:t xml:space="preserve"> A mandate authorizes specified charges; a model assessment does not. Record basis for contractual acceptance separately from charge consent and transfer eligibility. A dispute/revocation can cancel queued automation at the final execution check.</w:t>
      </w:r>
    </w:p>
    <w:p>
      <w:r>
        <w:rPr>
          <w:b w:val="0"/>
        </w:rPr>
      </w:r>
      <w:r>
        <w:rPr>
          <w:b/>
        </w:rPr>
        <w:t>Release gate:</w:t>
      </w:r>
      <w:r>
        <w:rPr>
          <w:b w:val="0"/>
        </w:rPr>
        <w:t xml:space="preserve"> If standing-agreement drafting or execution controls are unfinished, limited automatic hiring remains visible as unavailable, not falsely advertised as live. Preserve the launch requirement as gated; do not silently substitute broad autonomous hiring or remove it.</w:t>
      </w:r>
    </w:p>
    <w:p>
      <w:r>
        <w:br w:type="page"/>
      </w:r>
    </w:p>
    <w:p>
      <w:pPr>
        <w:pStyle w:val="Heading1"/>
      </w:pPr>
      <w:r>
        <w:t>20. Sequential milestone funding and payment states</w:t>
      </w:r>
    </w:p>
    <w:p>
      <w:r>
        <w:rPr>
          <w:b w:val="0"/>
        </w:rPr>
        <w:t>Target: Stripe Connect through a provider adapter. Full attorney-side platform fee is charged at engagement start under the final fee policy; each freelancer milestone is charged before its work. The freelancer-side fee is allocated across accepted milestone proceeds. Price/fee policy snapshots are disclosed before signatures.</w:t>
      </w:r>
    </w:p>
    <w:p>
      <w:r>
        <w:rPr>
          <w:b w:val="0"/>
        </w:rPr>
        <w:t>After current milestone acceptance, DELA attempts the next approved payment under stored consent. The freelancer receives start authorization only after the required confirmed payment state, risk checks and dependencies pass. Card failure or additional authentication moves the next milestone to awaiting funding; already performed work and review records remain.</w:t>
      </w:r>
    </w:p>
    <w:tbl>
      <w:tblPr>
        <w:tblW w:type="auto" w:w="0"/>
        <w:jc w:val="center"/>
        <w:tblLayout w:type="fixed"/>
        <w:tblLook w:firstColumn="1" w:firstRow="1" w:lastColumn="0" w:lastRow="0" w:noHBand="0" w:noVBand="1" w:val="04A0"/>
      </w:tblPr>
      <w:tblGrid>
        <w:gridCol w:w="1872"/>
        <w:gridCol w:w="8352"/>
      </w:tblGrid>
      <w:tr>
        <w:trPr>
          <w:tblHeader/>
          <w:cantSplit/>
        </w:trPr>
        <w:tc>
          <w:tcPr>
            <w:tcW w:type="dxa" w:w="1872"/>
            <w:vAlign w:val="center"/>
            <w:tcMar>
              <w:top w:w="90" w:type="dxa"/>
              <w:bottom w:w="90" w:type="dxa"/>
              <w:left w:w="110" w:type="dxa"/>
              <w:right w:w="110" w:type="dxa"/>
            </w:tcMar>
            <w:shd w:fill="8B1F3F"/>
          </w:tcPr>
          <w:p>
            <w:pPr>
              <w:spacing w:after="20" w:line="245" w:lineRule="auto"/>
            </w:pPr>
            <w:r>
              <w:rPr>
                <w:b/>
                <w:color w:val="FFFFFF"/>
                <w:sz w:val="18"/>
              </w:rPr>
              <w:t>State dimension</w:t>
            </w:r>
          </w:p>
        </w:tc>
        <w:tc>
          <w:tcPr>
            <w:tcW w:type="dxa" w:w="8352"/>
            <w:vAlign w:val="center"/>
            <w:tcMar>
              <w:top w:w="90" w:type="dxa"/>
              <w:bottom w:w="90" w:type="dxa"/>
              <w:left w:w="110" w:type="dxa"/>
              <w:right w:w="110" w:type="dxa"/>
            </w:tcMar>
            <w:shd w:fill="8B1F3F"/>
          </w:tcPr>
          <w:p>
            <w:pPr>
              <w:spacing w:after="20" w:line="245" w:lineRule="auto"/>
            </w:pPr>
            <w:r>
              <w:rPr>
                <w:b/>
                <w:color w:val="FFFFFF"/>
                <w:sz w:val="18"/>
              </w:rPr>
              <w:t>Separate values required</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Work</w:t>
            </w:r>
          </w:p>
        </w:tc>
        <w:tc>
          <w:tcPr>
            <w:tcW w:type="dxa" w:w="8352"/>
            <w:vAlign w:val="center"/>
            <w:tcMar>
              <w:top w:w="90" w:type="dxa"/>
              <w:bottom w:w="90" w:type="dxa"/>
              <w:left w:w="110" w:type="dxa"/>
              <w:right w:w="110" w:type="dxa"/>
            </w:tcMar>
          </w:tcPr>
          <w:p>
            <w:pPr>
              <w:spacing w:after="20" w:line="245" w:lineRule="auto"/>
            </w:pPr>
            <w:r>
              <w:rPr>
                <w:b w:val="0"/>
                <w:sz w:val="18"/>
              </w:rPr>
              <w:t>not_authorized, ready, in_progress, submitted, revision_requested, completed</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Acceptance</w:t>
            </w:r>
          </w:p>
        </w:tc>
        <w:tc>
          <w:tcPr>
            <w:tcW w:type="dxa" w:w="8352"/>
            <w:vAlign w:val="center"/>
            <w:tcMar>
              <w:top w:w="90" w:type="dxa"/>
              <w:bottom w:w="90" w:type="dxa"/>
              <w:left w:w="110" w:type="dxa"/>
              <w:right w:w="110" w:type="dxa"/>
            </w:tcMar>
          </w:tcPr>
          <w:p>
            <w:pPr>
              <w:spacing w:after="20" w:line="245" w:lineRule="auto"/>
            </w:pPr>
            <w:r>
              <w:rPr>
                <w:b w:val="0"/>
                <w:sz w:val="18"/>
              </w:rPr>
              <w:t>pending, attorney_accepted, eligible_admin_accepted, human_review_pending, disputed, rejected</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Funding</w:t>
            </w:r>
          </w:p>
        </w:tc>
        <w:tc>
          <w:tcPr>
            <w:tcW w:type="dxa" w:w="8352"/>
            <w:vAlign w:val="center"/>
            <w:tcMar>
              <w:top w:w="90" w:type="dxa"/>
              <w:bottom w:w="90" w:type="dxa"/>
              <w:left w:w="110" w:type="dxa"/>
              <w:right w:w="110" w:type="dxa"/>
            </w:tcMar>
          </w:tcPr>
          <w:p>
            <w:pPr>
              <w:spacing w:after="20" w:line="245" w:lineRule="auto"/>
            </w:pPr>
            <w:r>
              <w:rPr>
                <w:b w:val="0"/>
                <w:sz w:val="18"/>
              </w:rPr>
              <w:t>not_requested, action_required, processing, succeeded, failed, reversed, partially_refunded</w:t>
            </w:r>
          </w:p>
        </w:tc>
      </w:tr>
      <w:tr>
        <w:trPr>
          <w:cantSplit/>
        </w:trPr>
        <w:tc>
          <w:tcPr>
            <w:tcW w:type="dxa" w:w="1872"/>
            <w:vAlign w:val="center"/>
            <w:tcMar>
              <w:top w:w="90" w:type="dxa"/>
              <w:bottom w:w="90" w:type="dxa"/>
              <w:left w:w="110" w:type="dxa"/>
              <w:right w:w="110" w:type="dxa"/>
            </w:tcMar>
          </w:tcPr>
          <w:p>
            <w:pPr>
              <w:spacing w:after="20" w:line="245" w:lineRule="auto"/>
            </w:pPr>
            <w:r>
              <w:rPr>
                <w:b w:val="0"/>
                <w:sz w:val="18"/>
              </w:rPr>
              <w:t>Settlement</w:t>
            </w:r>
          </w:p>
        </w:tc>
        <w:tc>
          <w:tcPr>
            <w:tcW w:type="dxa" w:w="8352"/>
            <w:vAlign w:val="center"/>
            <w:tcMar>
              <w:top w:w="90" w:type="dxa"/>
              <w:bottom w:w="90" w:type="dxa"/>
              <w:left w:w="110" w:type="dxa"/>
              <w:right w:w="110" w:type="dxa"/>
            </w:tcMar>
          </w:tcPr>
          <w:p>
            <w:pPr>
              <w:spacing w:after="20" w:line="245" w:lineRule="auto"/>
            </w:pPr>
            <w:r>
              <w:rPr>
                <w:b w:val="0"/>
                <w:sz w:val="18"/>
              </w:rPr>
              <w:t>unreleased, release_eligible, transfer_pending, transferred, payout_pending, paid_out, reversal_or_recovery</w:t>
            </w:r>
          </w:p>
        </w:tc>
      </w:tr>
    </w:tbl>
    <w:p>
      <w:pPr>
        <w:spacing w:after="20"/>
      </w:pPr>
    </w:p>
    <w:p>
      <w:r>
        <w:rPr>
          <w:b w:val="0"/>
        </w:rPr>
        <w:t>Separate Charges and Transfers is a candidate, not a legal conclusion or guarantee: Stripe describes platform fees/refunds/chargebacks, and refunds do not automatically reverse related transfers. The configuration must preserve allocation/reconciliation. Manual bank payout timing is different from a platform-to-freelancer transfer and is not escrow. [S06, S09]</w:t>
      </w:r>
    </w:p>
    <w:p>
      <w:r>
        <w:rPr>
          <w:b w:val="0"/>
        </w:rPr>
        <w:t>Off-session payment consent must cover timing and amount rules, with an authentication/recovery route. Successful setup is not guaranteed future funding. [S07] Use hosted payment collection; do not handle raw card data. Confirm payment methods, country capabilities and invoice/Billing choices before coding exact SDK calls.</w:t>
      </w:r>
    </w:p>
    <w:p>
      <w:pPr>
        <w:pStyle w:val="ListBullet"/>
      </w:pPr>
      <w:r>
        <w:rPr>
          <w:b w:val="0"/>
        </w:rPr>
        <w:t>Lock provider per funded engagement. No live-money migration by changing a setting.</w:t>
      </w:r>
    </w:p>
    <w:p>
      <w:pPr>
        <w:pStyle w:val="ListBullet"/>
      </w:pPr>
      <w:r>
        <w:rPr>
          <w:b w:val="0"/>
        </w:rPr>
        <w:t>Use idempotent operation IDs and DB locks for charge/transfer/refund commands; verify webhook signatures and provider object status.</w:t>
      </w:r>
    </w:p>
    <w:p>
      <w:pPr>
        <w:pStyle w:val="ListBullet"/>
      </w:pPr>
      <w:r>
        <w:rPr>
          <w:b w:val="0"/>
        </w:rPr>
        <w:t>Before transfer: accepted contract/submission, eligible funding and balance, no hold, current recipient capability, reconciled ledger and authorized release basis.</w:t>
      </w:r>
    </w:p>
    <w:p>
      <w:pPr>
        <w:pStyle w:val="ListBullet"/>
      </w:pPr>
      <w:r>
        <w:rPr>
          <w:b w:val="0"/>
        </w:rPr>
        <w:t>Unreleased allocations are liabilities/obligations, not freely spendable revenue. A ledger is not legal segregation; a chargeback can consume cash.</w:t>
      </w:r>
    </w:p>
    <w:p>
      <w:pPr>
        <w:pStyle w:val="ListBullet"/>
      </w:pPr>
      <w:r>
        <w:rPr>
          <w:b w:val="0"/>
        </w:rPr>
        <w:t>G: payment/escrow classification, processor permission/configuration, liability and reserve reviewed before real funding. Naming the flow non-escrow is not an exemption. [S24]</w:t>
      </w:r>
    </w:p>
    <w:p>
      <w:r>
        <w:br w:type="page"/>
      </w:r>
    </w:p>
    <w:p>
      <w:pPr>
        <w:pStyle w:val="Heading1"/>
      </w:pPr>
      <w:r>
        <w:t>21. Milestone submission and seven-day acceptance</w:t>
      </w:r>
    </w:p>
    <w:p>
      <w:r>
        <w:rPr>
          <w:b w:val="0"/>
        </w:rPr>
        <w:t>C: DELA assesses each milestone; the selected passing threshold is 90/100. Attorney has seven days; eligible silence can lead to administrative acceptance. Freelancer can request qualified human review when below threshold. These are contractual/administrative mechanisms, not proof of legal accuracy.</w:t>
      </w:r>
    </w:p>
    <w:p>
      <w:pPr>
        <w:pStyle w:val="ListBullet"/>
      </w:pPr>
      <w:r>
        <w:rPr>
          <w:b w:val="0"/>
        </w:rPr>
        <w:t>Before work: approve criterion anchors, weights, mandatory checks, evidence required, reviewer role, notice and release consequences. Freeze rubric and model policy for each submission version.</w:t>
      </w:r>
    </w:p>
    <w:p>
      <w:pPr>
        <w:pStyle w:val="ListBullet"/>
      </w:pPr>
      <w:r>
        <w:rPr>
          <w:b w:val="0"/>
        </w:rPr>
        <w:t>Formal submission includes immutable deliverables, milestone ID, checklist and completion statement. Quarantine/scanning and completeness checks precede review-clock start under a documented rule.</w:t>
      </w:r>
    </w:p>
    <w:p>
      <w:pPr>
        <w:pStyle w:val="ListBullet"/>
      </w:pPr>
      <w:r>
        <w:rPr>
          <w:b w:val="0"/>
        </w:rPr>
        <w:t>Software validates objective criteria. AI produces evidence-linked criterion findings; deterministic code calculates the weighted result. Unknown criteria, unsupported sources and low evidence coverage cannot be converted into a passing score.</w:t>
      </w:r>
    </w:p>
    <w:p>
      <w:pPr>
        <w:pStyle w:val="ListBullet"/>
      </w:pPr>
      <w:r>
        <w:rPr>
          <w:b w:val="0"/>
        </w:rPr>
        <w:t>Passing score plus ALL mandatory criteria can qualify for timeout only when contractually authorized, notice effective, no timely objection/hold, and no attorney-only professional approval remains.</w:t>
      </w:r>
    </w:p>
    <w:p>
      <w:pPr>
        <w:pStyle w:val="ListBullet"/>
      </w:pPr>
      <w:r>
        <w:rPr>
          <w:b w:val="0"/>
        </w:rPr>
        <w:t>Below threshold: explain specific deficiencies; allow revision or qualified reviewer request. Do not force unlimited rework or charge AI credits for essential appeal access.</w:t>
      </w:r>
    </w:p>
    <w:p>
      <w:pPr>
        <w:pStyle w:val="ListBullet"/>
      </w:pPr>
      <w:r>
        <w:rPr>
          <w:b w:val="0"/>
        </w:rPr>
        <w:t>Reviewer needs relevant competence, confidentiality authorization, conflicts check and a defined administrative remit. Human milestone review is not binding arbitration. Cost, SLA and authority are O.</w:t>
      </w:r>
    </w:p>
    <w:p>
      <w:pPr>
        <w:pStyle w:val="ListBullet"/>
      </w:pPr>
      <w:r>
        <w:rPr>
          <w:b w:val="0"/>
        </w:rPr>
        <w:t>Keep release eligibility separate. The timer may expire while payment is reversed, review disputed or provider down; no transfer should occur until all independent checks pass.</w:t>
      </w:r>
    </w:p>
    <w:p>
      <w:pPr>
        <w:pStyle w:val="Heading2"/>
      </w:pPr>
      <w:r>
        <w:t>Clock policy still open</w:t>
      </w:r>
    </w:p>
    <w:p>
      <w:r>
        <w:rPr>
          <w:b w:val="0"/>
        </w:rPr>
        <w:t>Define calendar-day end time/timezone; which delivery evidence starts the clock; failed notices; attorney absence; whether material resubmission resets it; when a favorable human finding creates a new objection window. The developer must not infer these from a UI countdown. Reminder timing is R, except separately confirmed gig/renewal reminders.</w:t>
      </w:r>
    </w:p>
    <w:p>
      <w:pPr>
        <w:pStyle w:val="Heading2"/>
      </w:pPr>
      <w:r>
        <w:t>Acceptance tests</w:t>
      </w:r>
    </w:p>
    <w:p>
      <w:r>
        <w:rPr>
          <w:b w:val="0"/>
        </w:rPr>
        <w:t>89.99 fails the 90 threshold; 95 with a failed mandatory requirement cannot auto-accept; a timely objection blocks administrative acceptance; AI timeout routes human review; a changed model cannot silently rescore a signed rubric; duplicate timers produce one decision; approval does not equal authority to file a legal document.</w:t>
      </w:r>
    </w:p>
    <w:p>
      <w:r>
        <w:rPr>
          <w:b w:val="0"/>
        </w:rPr>
        <w:t>G: professional supervision and confidentiality requirements must be reviewed; ABA guidance emphasizes obligations of competence, confidentiality and verification when lawyers use generative AI. [S26]</w:t>
      </w:r>
    </w:p>
    <w:p>
      <w:r>
        <w:br w:type="page"/>
      </w:r>
    </w:p>
    <w:p>
      <w:pPr>
        <w:pStyle w:val="Heading1"/>
      </w:pPr>
      <w:r>
        <w:t>22. Monthly recurring engagements and scheduled work</w:t>
      </w:r>
    </w:p>
    <w:p>
      <w:r>
        <w:rPr>
          <w:b w:val="0"/>
        </w:rPr>
        <w:t>C: Defined recurring work for a flat monthly price is available on every tier. Automatic renewal continues until either side cancels. Cancellation takes effect at the end of the current paid period; reversal needs the other party's approval. Both parties approve scope changes effective next period.</w:t>
      </w:r>
    </w:p>
    <w:p>
      <w:pPr>
        <w:pStyle w:val="ListBullet"/>
      </w:pPr>
      <w:r>
        <w:rPr>
          <w:b w:val="0"/>
        </w:rPr>
        <w:t>Store a standing agreement plus immutable period orders. The monthly price is distinct from daily/weekly/biweekly/monthly task cadence. Define included quantities, exceptions, turnaround and dependencies; no unlimited-work assumption.</w:t>
      </w:r>
    </w:p>
    <w:p>
      <w:pPr>
        <w:pStyle w:val="ListBullet"/>
      </w:pPr>
      <w:r>
        <w:rPr>
          <w:b w:val="0"/>
        </w:rPr>
        <w:t>Prepare next-period task drafts ahead of time, but do not activate them until successful funding. Unique agreement + period + task-template + occurrence keys prevent duplicate tasks.</w:t>
      </w:r>
    </w:p>
    <w:p>
      <w:pPr>
        <w:pStyle w:val="ListBullet"/>
      </w:pPr>
      <w:r>
        <w:rPr>
          <w:b w:val="0"/>
        </w:rPr>
        <w:t>Notify both parties three days before renewal with price, scope changes, cancellation status and next work. Cancellation prevents new charges/tasks beyond the effective date, not lawful settlement of old work.</w:t>
      </w:r>
    </w:p>
    <w:p>
      <w:pPr>
        <w:pStyle w:val="ListBullet"/>
      </w:pPr>
      <w:r>
        <w:rPr>
          <w:b w:val="0"/>
        </w:rPr>
        <w:t>Failed renewal: pause new-period work, notify both, allow two automatic retries over several days. Exact timing, final pause limit, authentication handling and restart-date rule remain O. Suppress conflicting processor auto-retries.</w:t>
      </w:r>
    </w:p>
    <w:p>
      <w:pPr>
        <w:pStyle w:val="ListBullet"/>
      </w:pPr>
      <w:r>
        <w:rPr>
          <w:b w:val="0"/>
        </w:rPr>
        <w:t>Mutual early termination: accepted completed work is paid, remaining eligible balance refunded. A monthly agreement needs an agreed allocation method to value partial completed work; do not invent daily proration.</w:t>
      </w:r>
    </w:p>
    <w:p>
      <w:pPr>
        <w:pStyle w:val="ListBullet"/>
      </w:pPr>
      <w:r>
        <w:rPr>
          <w:b w:val="0"/>
        </w:rPr>
        <w:t>Changes not accepted by deadline must not become a higher charge silently. Proposed default is retain current terms only if both parties have not canceled and the contract permits; approval deadline remains O.</w:t>
      </w:r>
    </w:p>
    <w:p>
      <w:r>
        <w:rPr>
          <w:b w:val="0"/>
        </w:rPr>
      </w:r>
      <w:r>
        <w:rPr>
          <w:b/>
        </w:rPr>
        <w:t>Open release decision:</w:t>
      </w:r>
      <w:r>
        <w:rPr>
          <w:b w:val="0"/>
        </w:rPr>
        <w:t xml:space="preserve"> How monthly funding is released to freelancers. Options include defined weekly/monthly acceptance units with prices or one monthly deliverable; the system must not automatically pay the full fee merely because task instances were created. Apply milestone evaluation policy only to agreed reviewable units.</w:t>
      </w:r>
    </w:p>
    <w:p>
      <w:r>
        <w:rPr>
          <w:b w:val="0"/>
        </w:rPr>
      </w:r>
      <w:r>
        <w:rPr>
          <w:b/>
        </w:rPr>
        <w:t>Boundary behavior:</w:t>
      </w:r>
      <w:r>
        <w:rPr>
          <w:b w:val="0"/>
        </w:rPr>
        <w:t xml:space="preserve"> DST, month-end anchors, holidays, missing client inputs, cancellation after pre-generated tasks, overlapping periods, exhausted capacity and multiple parties. First paid period and renewal use consistent current permissions and funding checks.</w:t>
      </w:r>
    </w:p>
    <w:p>
      <w:r>
        <w:rPr>
          <w:b w:val="0"/>
        </w:rPr>
      </w:r>
      <w:r>
        <w:rPr>
          <w:b/>
        </w:rPr>
        <w:t>Metrics:</w:t>
      </w:r>
      <w:r>
        <w:rPr>
          <w:b w:val="0"/>
        </w:rPr>
        <w:t xml:space="preserve"> active paid recurring relationships, retained periods, net platform fees, failed renewal recovery, paused days, accepted work, cancellation causes and support burden. Do not report the total monthly freelancer fee as Lawfecta MRR.</w:t>
      </w:r>
    </w:p>
    <w:p>
      <w:r>
        <w:br w:type="page"/>
      </w:r>
    </w:p>
    <w:p>
      <w:pPr>
        <w:pStyle w:val="Heading1"/>
      </w:pPr>
      <w:r>
        <w:t>23. Chargeback response and payment recovery</w:t>
      </w:r>
    </w:p>
    <w:p>
      <w:r>
        <w:rPr>
          <w:b w:val="0"/>
        </w:rPr>
        <w:t>A verified formal processor dispute is a financial risk event, not proof of fraud. Immediate restrictions block new hiring/payment exposure while retaining necessary record, dispute and controlled resolution access. Assess unrelated engagements individually; pause only financially exposed work.</w:t>
      </w:r>
    </w:p>
    <w:p>
      <w:pPr>
        <w:pStyle w:val="ListBullet"/>
      </w:pPr>
      <w:r>
        <w:rPr>
          <w:b w:val="0"/>
        </w:rPr>
        <w:t>Persist/verify event; deduplicate by provider/account/dispute ID; identify contracting entity, actor, charge, installment, transfers, payouts and recurring schedules.</w:t>
      </w:r>
    </w:p>
    <w:p>
      <w:pPr>
        <w:pStyle w:val="ListBullet"/>
      </w:pPr>
      <w:r>
        <w:rPr>
          <w:b w:val="0"/>
        </w:rPr>
        <w:t>Cancel pending new risky commands, pause exposed work, stop affected automatic renewals and notify responsible operations personnel plus affected members. Do not revoke every firm employee blindly if a compromised user is isolated.</w:t>
      </w:r>
    </w:p>
    <w:p>
      <w:pPr>
        <w:pStyle w:val="ListBullet"/>
      </w:pPr>
      <w:r>
        <w:rPr>
          <w:b w:val="0"/>
        </w:rPr>
        <w:t>Preserve a versioned evidence bundle. Human reviewer decides whether to contest/accept under processor deadlines. The 14-day contractual discussion clock cannot delay a processor response.</w:t>
      </w:r>
    </w:p>
    <w:p>
      <w:pPr>
        <w:pStyle w:val="ListBullet"/>
      </w:pPr>
      <w:r>
        <w:rPr>
          <w:b w:val="0"/>
        </w:rPr>
        <w:t>C: First lost chargeback requires manual reinstatement/risk review. Second verified formal chargeback triggers permanent marketplace termination direction. G: define unique incident counting, duplicate charges, identity theft, withdrawn disputes, errors and legal limits; maintain correction/appeal and necessary records.</w:t>
      </w:r>
    </w:p>
    <w:p>
      <w:pPr>
        <w:pStyle w:val="ListBullet"/>
      </w:pPr>
      <w:r>
        <w:rPr>
          <w:b w:val="0"/>
        </w:rPr>
        <w:t>C: No platform-funded freelancer protection. Self-service evidence and verified counterparty information support the freelancer's claim. Lawfecta pursues its own unpaid platform fees separately.</w:t>
      </w:r>
    </w:p>
    <w:p>
      <w:pPr>
        <w:pStyle w:val="ListBullet"/>
      </w:pPr>
      <w:r>
        <w:rPr>
          <w:b w:val="0"/>
        </w:rPr>
        <w:t>No automatic penalties, small-claims filing, forum determination, arbitrator selection, legal representation or guarantee of recovery. Disclose account information use and narrowly review additional disclosure requests.</w:t>
      </w:r>
    </w:p>
    <w:p>
      <w:r>
        <w:rPr>
          <w:b w:val="0"/>
        </w:rPr>
        <w:t>Stripe debits the platform for destination-charge and separate-charge/transfer disputes; direct-charge ultimate shortfall liability depends on configuration. Deferring a freelancer protection program does not remove Lawfecta's processor exposure. [S08]</w:t>
      </w:r>
    </w:p>
    <w:p>
      <w:pPr>
        <w:pStyle w:val="Heading2"/>
      </w:pPr>
      <w:r>
        <w:t>Open financial loss allocation</w:t>
      </w:r>
    </w:p>
    <w:p>
      <w:r>
        <w:rPr>
          <w:b w:val="0"/>
        </w:rPr>
        <w:t>Before live processing, settle whether a good-faith freelancer keeps already-paid proceeds, when any lawful transfer reversal is allowed, and how partial losses are accounted for. Evidence support is not a replacement for this decision. Model a chargeback after bank payout, failed reversal, withheld future funds and provider account restriction.</w:t>
      </w:r>
    </w:p>
    <w:p>
      <w:r>
        <w:rPr>
          <w:b w:val="0"/>
        </w:rPr>
      </w:r>
      <w:r>
        <w:rPr>
          <w:b/>
        </w:rPr>
        <w:t>Notice content:</w:t>
      </w:r>
      <w:r>
        <w:rPr>
          <w:b w:val="0"/>
        </w:rPr>
        <w:t xml:space="preserve"> State factual payment review/pause, required actions and safe continuation rules without accusing the attorney publicly. Preserve critical client-file access where lawful; emergency obligations require human coordination, not an automated lockout.</w:t>
      </w:r>
    </w:p>
    <w:p>
      <w:r>
        <w:br w:type="page"/>
      </w:r>
    </w:p>
    <w:p>
      <w:pPr>
        <w:pStyle w:val="Heading1"/>
      </w:pPr>
      <w:r>
        <w:t>24. Reviews, closeout and evidence disclosure</w:t>
      </w:r>
    </w:p>
    <w:p>
      <w:r>
        <w:rPr>
          <w:b w:val="0"/>
        </w:rPr>
        <w:t>C: Eligible mutual reviews publish independently on submission, without a blind waiting window. An attorney's review of a freelancer and a freelancer's review of the attorney use different job-relevant questions. Only completed Lawfecta engagements qualify a freelancer to review an attorney.</w:t>
      </w:r>
    </w:p>
    <w:p>
      <w:pPr>
        <w:pStyle w:val="ListBullet"/>
      </w:pPr>
      <w:r>
        <w:rPr>
          <w:b w:val="0"/>
        </w:rPr>
        <w:t>Project closeout confirms accepted deliverables, open amendments, payment state, unresolved issues, access revocation and final handoff. Do not equate freelancer marking done with completed-and-accepted.</w:t>
      </w:r>
    </w:p>
    <w:p>
      <w:pPr>
        <w:pStyle w:val="ListBullet"/>
      </w:pPr>
      <w:r>
        <w:rPr>
          <w:b w:val="0"/>
        </w:rPr>
        <w:t>Keep external past-client reviews separate from platform-engagement reviews. Verified attorney identity does not independently prove an external transaction. Reviews are not mandatory to receive money or retain access.</w:t>
      </w:r>
    </w:p>
    <w:p>
      <w:pPr>
        <w:pStyle w:val="ListBullet"/>
      </w:pPr>
      <w:r>
        <w:rPr>
          <w:b w:val="0"/>
        </w:rPr>
        <w:t>Apply narrowly defined confidentiality, threats, impersonation and prohibited-content checks. Genuine negative opinions are not removed for sentiment; no freelancer-controlled deletion or review-for-reward exchange. Legal review should assess the FTC review rules and related obligations. [S27]</w:t>
      </w:r>
    </w:p>
    <w:p>
      <w:pPr>
        <w:pStyle w:val="ListBullet"/>
      </w:pPr>
      <w:r>
        <w:rPr>
          <w:b w:val="0"/>
        </w:rPr>
        <w:t>Immediate publication increases retaliation risk. Provide neutral reporting, response and appeal mechanisms; preserve original text, versions and moderation reason. Review edits/time window remain O.</w:t>
      </w:r>
    </w:p>
    <w:p>
      <w:pPr>
        <w:pStyle w:val="ListBullet"/>
      </w:pPr>
      <w:r>
        <w:rPr>
          <w:b w:val="0"/>
        </w:rPr>
        <w:t>Offer bench invitation independently of review score. Freelancer acceptance opens the relationship channel; no automatic hiring or reusable-work rights are created.</w:t>
      </w:r>
    </w:p>
    <w:p>
      <w:pPr>
        <w:pStyle w:val="ListBullet"/>
      </w:pPr>
      <w:r>
        <w:rPr>
          <w:b w:val="0"/>
        </w:rPr>
        <w:t>Supply lawful evidence exports: executed contract, permitted contracting identity, payment timeline, submission/approval history and relevant project messages. Exclude unrelated matters, raw identity documents, card data and secrets.</w:t>
      </w:r>
    </w:p>
    <w:p>
      <w:r>
        <w:rPr>
          <w:b w:val="0"/>
        </w:rPr>
      </w:r>
      <w:r>
        <w:rPr>
          <w:b/>
        </w:rPr>
        <w:t>Notice and recovery:</w:t>
      </w:r>
      <w:r>
        <w:rPr>
          <w:b w:val="0"/>
        </w:rPr>
        <w:t xml:space="preserve"> Documented dispute notice starts the 14-calendar-day period under the legally approved delivery standard. Maintain delivery/attempt evidence separately from read receipts. Basic legal business details are disclosed at signing; extra service information requires verified claim and proportional disclosure.</w:t>
      </w:r>
    </w:p>
    <w:p>
      <w:r>
        <w:rPr>
          <w:b w:val="0"/>
        </w:rPr>
      </w:r>
      <w:r>
        <w:rPr>
          <w:b/>
        </w:rPr>
        <w:t>Substantive boundary:</w:t>
      </w:r>
      <w:r>
        <w:rPr>
          <w:b w:val="0"/>
        </w:rPr>
        <w:t xml:space="preserve"> The platform may perform scoped administrative milestone review; it does not adjudicate legal malpractice, select litigation jurisdiction or decide a binding arbitration award. Counsel must make the online-arbitration clause workable without forcing Lawfecta to choose a provider. [S25]</w:t>
      </w:r>
    </w:p>
    <w:p>
      <w:r>
        <w:rPr>
          <w:b w:val="0"/>
        </w:rPr>
      </w:r>
      <w:r>
        <w:rPr>
          <w:b/>
        </w:rPr>
        <w:t>Tests:</w:t>
      </w:r>
      <w:r>
        <w:rPr>
          <w:b w:val="0"/>
        </w:rPr>
        <w:t xml:space="preserve"> Negative review cannot be hidden solely because a paying member objects. Closing an engagement makes project writes fail. Bench messaging remains independent. Evidence retrieval works through limited-access mode after restriction.</w:t>
      </w:r>
    </w:p>
    <w:p>
      <w:r>
        <w:br w:type="page"/>
      </w:r>
    </w:p>
    <w:p>
      <w:pPr>
        <w:pStyle w:val="Heading1"/>
      </w:pPr>
      <w:r>
        <w:t>25. API, event and asynchronous workflow contracts</w:t>
      </w:r>
    </w:p>
    <w:p>
      <w:r>
        <w:rPr>
          <w:b w:val="0"/>
        </w:rPr>
        <w:t>The names below are proposed internal DELA contracts, not vendor API methods. Publish an OpenAPI/schema specification before implementation; require authenticated workspace, object permission, schema validation and idempotency on every consequential command.</w:t>
      </w:r>
    </w:p>
    <w:tbl>
      <w:tblPr>
        <w:tblW w:type="auto" w:w="0"/>
        <w:jc w:val="center"/>
        <w:tblLayout w:type="fixed"/>
        <w:tblLook w:firstColumn="1" w:firstRow="1" w:lastColumn="0" w:lastRow="0" w:noHBand="0" w:noVBand="1" w:val="04A0"/>
      </w:tblPr>
      <w:tblGrid>
        <w:gridCol w:w="2376"/>
        <w:gridCol w:w="7848"/>
      </w:tblGrid>
      <w:tr>
        <w:trPr>
          <w:tblHeader/>
          <w:cantSplit/>
        </w:trPr>
        <w:tc>
          <w:tcPr>
            <w:tcW w:type="dxa" w:w="2376"/>
            <w:vAlign w:val="center"/>
            <w:tcMar>
              <w:top w:w="90" w:type="dxa"/>
              <w:bottom w:w="90" w:type="dxa"/>
              <w:left w:w="110" w:type="dxa"/>
              <w:right w:w="110" w:type="dxa"/>
            </w:tcMar>
            <w:shd w:fill="8B1F3F"/>
          </w:tcPr>
          <w:p>
            <w:pPr>
              <w:spacing w:after="20" w:line="245" w:lineRule="auto"/>
            </w:pPr>
            <w:r>
              <w:rPr>
                <w:b/>
                <w:color w:val="FFFFFF"/>
                <w:sz w:val="18"/>
              </w:rPr>
              <w:t>Command family</w:t>
            </w:r>
          </w:p>
        </w:tc>
        <w:tc>
          <w:tcPr>
            <w:tcW w:type="dxa" w:w="7848"/>
            <w:vAlign w:val="center"/>
            <w:tcMar>
              <w:top w:w="90" w:type="dxa"/>
              <w:bottom w:w="90" w:type="dxa"/>
              <w:left w:w="110" w:type="dxa"/>
              <w:right w:w="110" w:type="dxa"/>
            </w:tcMar>
            <w:shd w:fill="8B1F3F"/>
          </w:tcPr>
          <w:p>
            <w:pPr>
              <w:spacing w:after="20" w:line="245" w:lineRule="auto"/>
            </w:pPr>
            <w:r>
              <w:rPr>
                <w:b/>
                <w:color w:val="FFFFFF"/>
                <w:sz w:val="18"/>
              </w:rPr>
              <w:t>Representative operations / response</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Profiles / access</w:t>
            </w:r>
          </w:p>
        </w:tc>
        <w:tc>
          <w:tcPr>
            <w:tcW w:type="dxa" w:w="7848"/>
            <w:vAlign w:val="center"/>
            <w:tcMar>
              <w:top w:w="90" w:type="dxa"/>
              <w:bottom w:w="90" w:type="dxa"/>
              <w:left w:w="110" w:type="dxa"/>
              <w:right w:w="110" w:type="dxa"/>
            </w:tcMar>
          </w:tcPr>
          <w:p>
            <w:pPr>
              <w:spacing w:after="20" w:line="245" w:lineRule="auto"/>
            </w:pPr>
            <w:r>
              <w:rPr>
                <w:b w:val="0"/>
                <w:sz w:val="18"/>
              </w:rPr>
              <w:t>Resolve current identity, read match readiness, confirm availability, request verification; return effective permissions and reason codes.</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Playbook / gig</w:t>
            </w:r>
          </w:p>
        </w:tc>
        <w:tc>
          <w:tcPr>
            <w:tcW w:type="dxa" w:w="7848"/>
            <w:vAlign w:val="center"/>
            <w:tcMar>
              <w:top w:w="90" w:type="dxa"/>
              <w:bottom w:w="90" w:type="dxa"/>
              <w:left w:w="110" w:type="dxa"/>
              <w:right w:w="110" w:type="dxa"/>
            </w:tcMar>
          </w:tcPr>
          <w:p>
            <w:pPr>
              <w:spacing w:after="20" w:line="245" w:lineRule="auto"/>
            </w:pPr>
            <w:r>
              <w:rPr>
                <w:b w:val="0"/>
                <w:sz w:val="18"/>
              </w:rPr>
              <w:t>Create draft, publish approved version, create gig, extend once, submit proposal; return immutable version and current state.</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Booking / chat</w:t>
            </w:r>
          </w:p>
        </w:tc>
        <w:tc>
          <w:tcPr>
            <w:tcW w:type="dxa" w:w="7848"/>
            <w:vAlign w:val="center"/>
            <w:tcMar>
              <w:top w:w="90" w:type="dxa"/>
              <w:bottom w:w="90" w:type="dxa"/>
              <w:left w:w="110" w:type="dxa"/>
              <w:right w:w="110" w:type="dxa"/>
            </w:tcMar>
          </w:tcPr>
          <w:p>
            <w:pPr>
              <w:spacing w:after="20" w:line="245" w:lineRule="auto"/>
            </w:pPr>
            <w:r>
              <w:rPr>
                <w:b w:val="0"/>
                <w:sz w:val="18"/>
              </w:rPr>
              <w:t>Reserve/confirm/reschedule booking; send message to permitted channel; return authoritative IDs and delivery state.</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Engagement / money</w:t>
            </w:r>
          </w:p>
        </w:tc>
        <w:tc>
          <w:tcPr>
            <w:tcW w:type="dxa" w:w="7848"/>
            <w:vAlign w:val="center"/>
            <w:tcMar>
              <w:top w:w="90" w:type="dxa"/>
              <w:bottom w:w="90" w:type="dxa"/>
              <w:left w:w="110" w:type="dxa"/>
              <w:right w:w="110" w:type="dxa"/>
            </w:tcMar>
          </w:tcPr>
          <w:p>
            <w:pPr>
              <w:spacing w:after="20" w:line="245" w:lineRule="auto"/>
            </w:pPr>
            <w:r>
              <w:rPr>
                <w:b w:val="0"/>
                <w:sz w:val="18"/>
              </w:rPr>
              <w:t>Prepare agreement, record signatures, request funding, submit milestone, approve/revise/dispute, request permitted transfer/refund; commands do not fabricate provider success.</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Recurring / bench</w:t>
            </w:r>
          </w:p>
        </w:tc>
        <w:tc>
          <w:tcPr>
            <w:tcW w:type="dxa" w:w="7848"/>
            <w:vAlign w:val="center"/>
            <w:tcMar>
              <w:top w:w="90" w:type="dxa"/>
              <w:bottom w:w="90" w:type="dxa"/>
              <w:left w:w="110" w:type="dxa"/>
              <w:right w:w="110" w:type="dxa"/>
            </w:tcMar>
          </w:tcPr>
          <w:p>
            <w:pPr>
              <w:spacing w:after="20" w:line="245" w:lineRule="auto"/>
            </w:pPr>
            <w:r>
              <w:rPr>
                <w:b w:val="0"/>
                <w:sz w:val="18"/>
              </w:rPr>
              <w:t>Approve period amendment, schedule/reverse cancellation, invite/accept/remove bench, grant/revoke mandate.</w:t>
            </w:r>
          </w:p>
        </w:tc>
      </w:tr>
      <w:tr>
        <w:trPr>
          <w:cantSplit/>
        </w:trPr>
        <w:tc>
          <w:tcPr>
            <w:tcW w:type="dxa" w:w="2376"/>
            <w:vAlign w:val="center"/>
            <w:tcMar>
              <w:top w:w="90" w:type="dxa"/>
              <w:bottom w:w="90" w:type="dxa"/>
              <w:left w:w="110" w:type="dxa"/>
              <w:right w:w="110" w:type="dxa"/>
            </w:tcMar>
          </w:tcPr>
          <w:p>
            <w:pPr>
              <w:spacing w:after="20" w:line="245" w:lineRule="auto"/>
            </w:pPr>
            <w:r>
              <w:rPr>
                <w:b w:val="0"/>
                <w:sz w:val="18"/>
              </w:rPr>
              <w:t>AI / integrations</w:t>
            </w:r>
          </w:p>
        </w:tc>
        <w:tc>
          <w:tcPr>
            <w:tcW w:type="dxa" w:w="7848"/>
            <w:vAlign w:val="center"/>
            <w:tcMar>
              <w:top w:w="90" w:type="dxa"/>
              <w:bottom w:w="90" w:type="dxa"/>
              <w:left w:w="110" w:type="dxa"/>
              <w:right w:w="110" w:type="dxa"/>
            </w:tcMar>
          </w:tcPr>
          <w:p>
            <w:pPr>
              <w:spacing w:after="20" w:line="245" w:lineRule="auto"/>
            </w:pPr>
            <w:r>
              <w:rPr>
                <w:b w:val="0"/>
                <w:sz w:val="18"/>
              </w:rPr>
              <w:t>Reserve AI run, test/revoke credential, request export, manage webhook subscription; no arbitrary provider URL or unscoped tool execution.</w:t>
            </w:r>
          </w:p>
        </w:tc>
      </w:tr>
    </w:tbl>
    <w:p>
      <w:pPr>
        <w:spacing w:after="20"/>
      </w:pPr>
    </w:p>
    <w:p>
      <w:pPr>
        <w:pStyle w:val="Heading2"/>
      </w:pPr>
      <w:r>
        <w:t>Proposed event envelope</w:t>
      </w:r>
    </w:p>
    <w:p>
      <w:pPr>
        <w:spacing w:after="140" w:line="240" w:lineRule="auto"/>
        <w:shd w:fill="F3F3F3"/>
      </w:pPr>
      <w:r>
        <w:rPr>
          <w:rFonts w:ascii="Consolas" w:hAnsi="Consolas"/>
          <w:sz w:val="18"/>
        </w:rPr>
        <w:t>event_id; event_type; schema_version; occurred_at_utc;</w:t>
        <w:br/>
        <w:t>workspace_id; actor_type; actor_id; object_type; object_id;</w:t>
        <w:br/>
        <w:t>object_version; correlation_id; causation_id; policy_version;</w:t>
        <w:br/>
        <w:t>classification; is_test; payload_reference</w:t>
      </w:r>
    </w:p>
    <w:p>
      <w:r>
        <w:rPr>
          <w:b w:val="0"/>
        </w:rPr>
        <w:t>Store the state transition and outbox row in one database transaction. Workers lease jobs with visibility timeouts, bounded retries and dead-letter handling. Consumers deduplicate and check expected object version; ordering is not assumed. Durable events reference sensitive payloads instead of broadcasting them.</w:t>
      </w:r>
    </w:p>
    <w:p>
      <w:r>
        <w:rPr>
          <w:b w:val="0"/>
        </w:rPr>
        <w:t>Separate audit, financial journal and analytics. Audit failures affecting a protected write must not be ignored; optional analytics failure must not break the member journey. External notifications can be replayed without repeating billing. Job status is visible: queued, running, waiting_approval, delayed, succeeded, failed, canceled.</w:t>
      </w:r>
    </w:p>
    <w:p>
      <w:r>
        <w:rPr>
          <w:b w:val="0"/>
        </w:rPr>
      </w:r>
      <w:r>
        <w:rPr>
          <w:b/>
        </w:rPr>
        <w:t>Tests:</w:t>
      </w:r>
      <w:r>
        <w:rPr>
          <w:b w:val="0"/>
        </w:rPr>
        <w:t xml:space="preserve"> Crash between DB commit and message delivery; replay same provider/domain event; out-of-order acceptance/refund; cancellation during queued funding; retry after provider timeout with unknown result. Requery provider/object state before producing duplicate external side effects.</w:t>
      </w:r>
    </w:p>
    <w:p>
      <w:r>
        <w:br w:type="page"/>
      </w:r>
    </w:p>
    <w:p>
      <w:pPr>
        <w:pStyle w:val="Heading1"/>
      </w:pPr>
      <w:r>
        <w:t>26. V1 webhooks and notification service</w:t>
      </w:r>
    </w:p>
    <w:p>
      <w:r>
        <w:rPr>
          <w:b w:val="0"/>
        </w:rPr>
        <w:t>C: Webhooks belong in V1. R: Launch member-facing outbound event notifications plus required provider ingress; defer generic inbound mutation commands/public automation API until authorization is mature. Member webhook entitlement, endpoint counts and delivery volume are O.</w:t>
      </w:r>
    </w:p>
    <w:tbl>
      <w:tblPr>
        <w:tblW w:type="auto" w:w="0"/>
        <w:jc w:val="center"/>
        <w:tblLayout w:type="fixed"/>
        <w:tblLook w:firstColumn="1" w:firstRow="1" w:lastColumn="0" w:lastRow="0" w:noHBand="0" w:noVBand="1" w:val="04A0"/>
      </w:tblPr>
      <w:tblGrid>
        <w:gridCol w:w="2520"/>
        <w:gridCol w:w="7704"/>
      </w:tblGrid>
      <w:tr>
        <w:trPr>
          <w:tblHeader/>
          <w:cantSplit/>
        </w:trPr>
        <w:tc>
          <w:tcPr>
            <w:tcW w:type="dxa" w:w="2520"/>
            <w:vAlign w:val="center"/>
            <w:tcMar>
              <w:top w:w="90" w:type="dxa"/>
              <w:bottom w:w="90" w:type="dxa"/>
              <w:left w:w="110" w:type="dxa"/>
              <w:right w:w="110" w:type="dxa"/>
            </w:tcMar>
            <w:shd w:fill="8B1F3F"/>
          </w:tcPr>
          <w:p>
            <w:pPr>
              <w:spacing w:after="20" w:line="245" w:lineRule="auto"/>
            </w:pPr>
            <w:r>
              <w:rPr>
                <w:b/>
                <w:color w:val="FFFFFF"/>
                <w:sz w:val="18"/>
              </w:rPr>
              <w:t>Event family</w:t>
            </w:r>
          </w:p>
        </w:tc>
        <w:tc>
          <w:tcPr>
            <w:tcW w:type="dxa" w:w="7704"/>
            <w:vAlign w:val="center"/>
            <w:tcMar>
              <w:top w:w="90" w:type="dxa"/>
              <w:bottom w:w="90" w:type="dxa"/>
              <w:left w:w="110" w:type="dxa"/>
              <w:right w:w="110" w:type="dxa"/>
            </w:tcMar>
            <w:shd w:fill="8B1F3F"/>
          </w:tcPr>
          <w:p>
            <w:pPr>
              <w:spacing w:after="20" w:line="245" w:lineRule="auto"/>
            </w:pPr>
            <w:r>
              <w:rPr>
                <w:b/>
                <w:color w:val="FFFFFF"/>
                <w:sz w:val="18"/>
              </w:rPr>
              <w:t>Minimal nonconfidential payload</w:t>
            </w:r>
          </w:p>
        </w:tc>
      </w:tr>
      <w:tr>
        <w:trPr>
          <w:cantSplit/>
        </w:trPr>
        <w:tc>
          <w:tcPr>
            <w:tcW w:type="dxa" w:w="2520"/>
            <w:vAlign w:val="center"/>
            <w:tcMar>
              <w:top w:w="90" w:type="dxa"/>
              <w:bottom w:w="90" w:type="dxa"/>
              <w:left w:w="110" w:type="dxa"/>
              <w:right w:w="110" w:type="dxa"/>
            </w:tcMar>
          </w:tcPr>
          <w:p>
            <w:pPr>
              <w:spacing w:after="20" w:line="245" w:lineRule="auto"/>
            </w:pPr>
            <w:r>
              <w:rPr>
                <w:b w:val="0"/>
                <w:sz w:val="18"/>
              </w:rPr>
              <w:t>Playbooks / gigs</w:t>
            </w:r>
          </w:p>
        </w:tc>
        <w:tc>
          <w:tcPr>
            <w:tcW w:type="dxa" w:w="7704"/>
            <w:vAlign w:val="center"/>
            <w:tcMar>
              <w:top w:w="90" w:type="dxa"/>
              <w:bottom w:w="90" w:type="dxa"/>
              <w:left w:w="110" w:type="dxa"/>
              <w:right w:w="110" w:type="dxa"/>
            </w:tcMar>
          </w:tcPr>
          <w:p>
            <w:pPr>
              <w:spacing w:after="20" w:line="245" w:lineRule="auto"/>
            </w:pPr>
            <w:r>
              <w:rPr>
                <w:b w:val="0"/>
                <w:sz w:val="18"/>
              </w:rPr>
              <w:t>ID, permitted status, version and secure deep link; no full SOP by default.</w:t>
            </w:r>
          </w:p>
        </w:tc>
      </w:tr>
      <w:tr>
        <w:trPr>
          <w:cantSplit/>
        </w:trPr>
        <w:tc>
          <w:tcPr>
            <w:tcW w:type="dxa" w:w="2520"/>
            <w:vAlign w:val="center"/>
            <w:tcMar>
              <w:top w:w="90" w:type="dxa"/>
              <w:bottom w:w="90" w:type="dxa"/>
              <w:left w:w="110" w:type="dxa"/>
              <w:right w:w="110" w:type="dxa"/>
            </w:tcMar>
          </w:tcPr>
          <w:p>
            <w:pPr>
              <w:spacing w:after="20" w:line="245" w:lineRule="auto"/>
            </w:pPr>
            <w:r>
              <w:rPr>
                <w:b w:val="0"/>
                <w:sz w:val="18"/>
              </w:rPr>
              <w:t>Proposal / booking</w:t>
            </w:r>
          </w:p>
        </w:tc>
        <w:tc>
          <w:tcPr>
            <w:tcW w:type="dxa" w:w="7704"/>
            <w:vAlign w:val="center"/>
            <w:tcMar>
              <w:top w:w="90" w:type="dxa"/>
              <w:bottom w:w="90" w:type="dxa"/>
              <w:left w:w="110" w:type="dxa"/>
              <w:right w:w="110" w:type="dxa"/>
            </w:tcMar>
          </w:tcPr>
          <w:p>
            <w:pPr>
              <w:spacing w:after="20" w:line="245" w:lineRule="auto"/>
            </w:pPr>
            <w:r>
              <w:rPr>
                <w:b w:val="0"/>
                <w:sz w:val="18"/>
              </w:rPr>
              <w:t>ID, state, timestamps and participant-scoped reference; no unrelated contact lists.</w:t>
            </w:r>
          </w:p>
        </w:tc>
      </w:tr>
      <w:tr>
        <w:trPr>
          <w:cantSplit/>
        </w:trPr>
        <w:tc>
          <w:tcPr>
            <w:tcW w:type="dxa" w:w="2520"/>
            <w:vAlign w:val="center"/>
            <w:tcMar>
              <w:top w:w="90" w:type="dxa"/>
              <w:bottom w:w="90" w:type="dxa"/>
              <w:left w:w="110" w:type="dxa"/>
              <w:right w:w="110" w:type="dxa"/>
            </w:tcMar>
          </w:tcPr>
          <w:p>
            <w:pPr>
              <w:spacing w:after="20" w:line="245" w:lineRule="auto"/>
            </w:pPr>
            <w:r>
              <w:rPr>
                <w:b w:val="0"/>
                <w:sz w:val="18"/>
              </w:rPr>
              <w:t>Engagement / milestone</w:t>
            </w:r>
          </w:p>
        </w:tc>
        <w:tc>
          <w:tcPr>
            <w:tcW w:type="dxa" w:w="7704"/>
            <w:vAlign w:val="center"/>
            <w:tcMar>
              <w:top w:w="90" w:type="dxa"/>
              <w:bottom w:w="90" w:type="dxa"/>
              <w:left w:w="110" w:type="dxa"/>
              <w:right w:w="110" w:type="dxa"/>
            </w:tcMar>
          </w:tcPr>
          <w:p>
            <w:pPr>
              <w:spacing w:after="20" w:line="245" w:lineRule="auto"/>
            </w:pPr>
            <w:r>
              <w:rPr>
                <w:b w:val="0"/>
                <w:sz w:val="18"/>
              </w:rPr>
              <w:t>IDs, current state, due/review timestamp and explicit action required.</w:t>
            </w:r>
          </w:p>
        </w:tc>
      </w:tr>
      <w:tr>
        <w:trPr>
          <w:cantSplit/>
        </w:trPr>
        <w:tc>
          <w:tcPr>
            <w:tcW w:type="dxa" w:w="2520"/>
            <w:vAlign w:val="center"/>
            <w:tcMar>
              <w:top w:w="90" w:type="dxa"/>
              <w:bottom w:w="90" w:type="dxa"/>
              <w:left w:w="110" w:type="dxa"/>
              <w:right w:w="110" w:type="dxa"/>
            </w:tcMar>
          </w:tcPr>
          <w:p>
            <w:pPr>
              <w:spacing w:after="20" w:line="245" w:lineRule="auto"/>
            </w:pPr>
            <w:r>
              <w:rPr>
                <w:b w:val="0"/>
                <w:sz w:val="18"/>
              </w:rPr>
              <w:t>Funding / recurring</w:t>
            </w:r>
          </w:p>
        </w:tc>
        <w:tc>
          <w:tcPr>
            <w:tcW w:type="dxa" w:w="7704"/>
            <w:vAlign w:val="center"/>
            <w:tcMar>
              <w:top w:w="90" w:type="dxa"/>
              <w:bottom w:w="90" w:type="dxa"/>
              <w:left w:w="110" w:type="dxa"/>
              <w:right w:w="110" w:type="dxa"/>
            </w:tcMar>
          </w:tcPr>
          <w:p>
            <w:pPr>
              <w:spacing w:after="20" w:line="245" w:lineRule="auto"/>
            </w:pPr>
            <w:r>
              <w:rPr>
                <w:b w:val="0"/>
                <w:sz w:val="18"/>
              </w:rPr>
              <w:t>Status and permitted amount/currency summary; never card, bank or identity document data.</w:t>
            </w:r>
          </w:p>
        </w:tc>
      </w:tr>
      <w:tr>
        <w:trPr>
          <w:cantSplit/>
        </w:trPr>
        <w:tc>
          <w:tcPr>
            <w:tcW w:type="dxa" w:w="2520"/>
            <w:vAlign w:val="center"/>
            <w:tcMar>
              <w:top w:w="90" w:type="dxa"/>
              <w:bottom w:w="90" w:type="dxa"/>
              <w:left w:w="110" w:type="dxa"/>
              <w:right w:w="110" w:type="dxa"/>
            </w:tcMar>
          </w:tcPr>
          <w:p>
            <w:pPr>
              <w:spacing w:after="20" w:line="245" w:lineRule="auto"/>
            </w:pPr>
            <w:r>
              <w:rPr>
                <w:b w:val="0"/>
                <w:sz w:val="18"/>
              </w:rPr>
              <w:t>Disputes / access</w:t>
            </w:r>
          </w:p>
        </w:tc>
        <w:tc>
          <w:tcPr>
            <w:tcW w:type="dxa" w:w="7704"/>
            <w:vAlign w:val="center"/>
            <w:tcMar>
              <w:top w:w="90" w:type="dxa"/>
              <w:bottom w:w="90" w:type="dxa"/>
              <w:left w:w="110" w:type="dxa"/>
              <w:right w:w="110" w:type="dxa"/>
            </w:tcMar>
          </w:tcPr>
          <w:p>
            <w:pPr>
              <w:spacing w:after="20" w:line="245" w:lineRule="auto"/>
            </w:pPr>
            <w:r>
              <w:rPr>
                <w:b w:val="0"/>
                <w:sz w:val="18"/>
              </w:rPr>
              <w:t>Case/status reference for authorized recipient only; evidence stays behind authenticated access.</w:t>
            </w:r>
          </w:p>
        </w:tc>
      </w:tr>
    </w:tbl>
    <w:p>
      <w:pPr>
        <w:spacing w:after="20"/>
      </w:pPr>
    </w:p>
    <w:p>
      <w:pPr>
        <w:pStyle w:val="ListBullet"/>
      </w:pPr>
      <w:r>
        <w:rPr>
          <w:b w:val="0"/>
        </w:rPr>
        <w:t>Use HTTPS, per-endpoint signing secret, timestamp/replay window, event ID and schema version. Rotate secrets with an overlap window and log changes.</w:t>
      </w:r>
    </w:p>
    <w:p>
      <w:pPr>
        <w:pStyle w:val="ListBullet"/>
      </w:pPr>
      <w:r>
        <w:rPr>
          <w:b w:val="0"/>
        </w:rPr>
        <w:t>Validate endpoint ownership/permission. Defend SSRF: disallow private/link-local/metadata addresses, restrict redirects, recheck DNS/IP at delivery, enforce response/time/size limits and egress policy.</w:t>
      </w:r>
    </w:p>
    <w:p>
      <w:pPr>
        <w:pStyle w:val="ListBullet"/>
      </w:pPr>
      <w:r>
        <w:rPr>
          <w:b w:val="0"/>
        </w:rPr>
        <w:t>At-least-once delivery: retry with bounded exponential backoff and jitter, record attempts, provide disabled/dead-letter states and manual replay. Publish duplicate-handling requirements.</w:t>
      </w:r>
    </w:p>
    <w:p>
      <w:pPr>
        <w:pStyle w:val="ListBullet"/>
      </w:pPr>
      <w:r>
        <w:rPr>
          <w:b w:val="0"/>
        </w:rPr>
        <w:t>Recheck endpoint authorization and event visibility at delivery. Workspace removal or secret revocation stops pending sensitive events. Do not leak restricted content through old queues.</w:t>
      </w:r>
    </w:p>
    <w:p>
      <w:pPr>
        <w:pStyle w:val="ListBullet"/>
      </w:pPr>
      <w:r>
        <w:rPr>
          <w:b w:val="0"/>
        </w:rPr>
        <w:t>Stripe ingress verifies signatures against raw body and uses official library behavior; persist before acknowledgment, then process asynchronously and deduplicate. Do not treat client redirects as payment evidence. [S10]</w:t>
      </w:r>
    </w:p>
    <w:p>
      <w:r>
        <w:rPr>
          <w:b w:val="0"/>
        </w:rPr>
      </w:r>
      <w:r>
        <w:rPr>
          <w:b/>
        </w:rPr>
        <w:t>Notification service:</w:t>
      </w:r>
      <w:r>
        <w:rPr>
          <w:b w:val="0"/>
        </w:rPr>
        <w:t xml:space="preserve"> Transactional in-app plus email; optional independent paging for critical operations. Mandatory financial/legal messages are separate from promotional opt-ins. Preferences, quiet hours, grouping and snooze affect ordinary recommendations, not essential notices. Track send, delivery failure and acknowledgment independently.</w:t>
      </w:r>
    </w:p>
    <w:p>
      <w:r>
        <w:rPr>
          <w:b w:val="0"/>
        </w:rPr>
      </w:r>
      <w:r>
        <w:rPr>
          <w:b/>
        </w:rPr>
        <w:t>Confirmed timing:</w:t>
      </w:r>
      <w:r>
        <w:rPr>
          <w:b w:val="0"/>
        </w:rPr>
        <w:t xml:space="preserve"> gig reminders Days 10/13; renewal reminder three days before billing; payment failure/chargeback/financial pause requires prompt notice. Milestone reminder timing is proposed until approved. Avoid confidential details in notification bodies; use secure authenticated links.</w:t>
      </w:r>
    </w:p>
    <w:p>
      <w:r>
        <w:br w:type="page"/>
      </w:r>
    </w:p>
    <w:p>
      <w:pPr>
        <w:pStyle w:val="Heading1"/>
      </w:pPr>
      <w:r>
        <w:t>27. Security &amp; Trust Control Center</w:t>
      </w:r>
    </w:p>
    <w:p>
      <w:r>
        <w:rPr>
          <w:b w:val="0"/>
        </w:rPr>
        <w:t>Build one policy/hold service used by every request, worker and agent. Detection uses deterministic limits, provider signals and reviewed anomaly rules. AI can summarize evidence but cannot decide guilt, permanently ban someone outside policy, delete audit evidence or grant itself authority.</w:t>
      </w:r>
    </w:p>
    <w:tbl>
      <w:tblPr>
        <w:tblW w:type="auto" w:w="0"/>
        <w:jc w:val="center"/>
        <w:tblLayout w:type="fixed"/>
        <w:tblLook w:firstColumn="1" w:firstRow="1" w:lastColumn="0" w:lastRow="0" w:noHBand="0" w:noVBand="1" w:val="04A0"/>
      </w:tblPr>
      <w:tblGrid>
        <w:gridCol w:w="2880"/>
        <w:gridCol w:w="4464"/>
        <w:gridCol w:w="2880"/>
      </w:tblGrid>
      <w:tr>
        <w:trPr>
          <w:tblHeader/>
          <w:cantSplit/>
        </w:trPr>
        <w:tc>
          <w:tcPr>
            <w:tcW w:type="dxa" w:w="2880"/>
            <w:vAlign w:val="center"/>
            <w:tcMar>
              <w:top w:w="90" w:type="dxa"/>
              <w:bottom w:w="90" w:type="dxa"/>
              <w:left w:w="110" w:type="dxa"/>
              <w:right w:w="110" w:type="dxa"/>
            </w:tcMar>
            <w:shd w:fill="8B1F3F"/>
          </w:tcPr>
          <w:p>
            <w:pPr>
              <w:spacing w:after="20" w:line="245" w:lineRule="auto"/>
            </w:pPr>
            <w:r>
              <w:rPr>
                <w:b/>
                <w:color w:val="FFFFFF"/>
                <w:sz w:val="18"/>
              </w:rPr>
              <w:t>Signal</w:t>
            </w:r>
          </w:p>
        </w:tc>
        <w:tc>
          <w:tcPr>
            <w:tcW w:type="dxa" w:w="4464"/>
            <w:vAlign w:val="center"/>
            <w:tcMar>
              <w:top w:w="90" w:type="dxa"/>
              <w:bottom w:w="90" w:type="dxa"/>
              <w:left w:w="110" w:type="dxa"/>
              <w:right w:w="110" w:type="dxa"/>
            </w:tcMar>
            <w:shd w:fill="8B1F3F"/>
          </w:tcPr>
          <w:p>
            <w:pPr>
              <w:spacing w:after="20" w:line="245" w:lineRule="auto"/>
            </w:pPr>
            <w:r>
              <w:rPr>
                <w:b/>
                <w:color w:val="FFFFFF"/>
                <w:sz w:val="18"/>
              </w:rPr>
              <w:t>Automatic containment</w:t>
            </w:r>
          </w:p>
        </w:tc>
        <w:tc>
          <w:tcPr>
            <w:tcW w:type="dxa" w:w="2880"/>
            <w:vAlign w:val="center"/>
            <w:tcMar>
              <w:top w:w="90" w:type="dxa"/>
              <w:bottom w:w="90" w:type="dxa"/>
              <w:left w:w="110" w:type="dxa"/>
              <w:right w:w="110" w:type="dxa"/>
            </w:tcMar>
            <w:shd w:fill="8B1F3F"/>
          </w:tcPr>
          <w:p>
            <w:pPr>
              <w:spacing w:after="20" w:line="245" w:lineRule="auto"/>
            </w:pPr>
            <w:r>
              <w:rPr>
                <w:b/>
                <w:color w:val="FFFFFF"/>
                <w:sz w:val="18"/>
              </w:rPr>
              <w:t>Escalation</w:t>
            </w:r>
          </w:p>
        </w:tc>
      </w:tr>
      <w:tr>
        <w:trPr>
          <w:cantSplit/>
        </w:trPr>
        <w:tc>
          <w:tcPr>
            <w:tcW w:type="dxa" w:w="2880"/>
            <w:vAlign w:val="center"/>
            <w:tcMar>
              <w:top w:w="90" w:type="dxa"/>
              <w:bottom w:w="90" w:type="dxa"/>
              <w:left w:w="110" w:type="dxa"/>
              <w:right w:w="110" w:type="dxa"/>
            </w:tcMar>
          </w:tcPr>
          <w:p>
            <w:pPr>
              <w:spacing w:after="20" w:line="245" w:lineRule="auto"/>
            </w:pPr>
            <w:r>
              <w:rPr>
                <w:b w:val="0"/>
                <w:sz w:val="18"/>
              </w:rPr>
              <w:t>Cross-tenant access / bad credential</w:t>
            </w:r>
          </w:p>
        </w:tc>
        <w:tc>
          <w:tcPr>
            <w:tcW w:type="dxa" w:w="4464"/>
            <w:vAlign w:val="center"/>
            <w:tcMar>
              <w:top w:w="90" w:type="dxa"/>
              <w:bottom w:w="90" w:type="dxa"/>
              <w:left w:w="110" w:type="dxa"/>
              <w:right w:w="110" w:type="dxa"/>
            </w:tcMar>
          </w:tcPr>
          <w:p>
            <w:pPr>
              <w:spacing w:after="20" w:line="245" w:lineRule="auto"/>
            </w:pPr>
            <w:r>
              <w:rPr>
                <w:b w:val="0"/>
                <w:sz w:val="18"/>
              </w:rPr>
              <w:t>Deny action, preserve minimal evidence; revoke affected session where justified.</w:t>
            </w:r>
          </w:p>
        </w:tc>
        <w:tc>
          <w:tcPr>
            <w:tcW w:type="dxa" w:w="2880"/>
            <w:vAlign w:val="center"/>
            <w:tcMar>
              <w:top w:w="90" w:type="dxa"/>
              <w:bottom w:w="90" w:type="dxa"/>
              <w:left w:w="110" w:type="dxa"/>
              <w:right w:w="110" w:type="dxa"/>
            </w:tcMar>
          </w:tcPr>
          <w:p>
            <w:pPr>
              <w:spacing w:after="20" w:line="245" w:lineRule="auto"/>
            </w:pPr>
            <w:r>
              <w:rPr>
                <w:b w:val="0"/>
                <w:sz w:val="18"/>
              </w:rPr>
              <w:t>Critical/high security queue; no blanket country block.</w:t>
            </w:r>
          </w:p>
        </w:tc>
      </w:tr>
      <w:tr>
        <w:trPr>
          <w:cantSplit/>
        </w:trPr>
        <w:tc>
          <w:tcPr>
            <w:tcW w:type="dxa" w:w="2880"/>
            <w:vAlign w:val="center"/>
            <w:tcMar>
              <w:top w:w="90" w:type="dxa"/>
              <w:bottom w:w="90" w:type="dxa"/>
              <w:left w:w="110" w:type="dxa"/>
              <w:right w:w="110" w:type="dxa"/>
            </w:tcMar>
          </w:tcPr>
          <w:p>
            <w:pPr>
              <w:spacing w:after="20" w:line="245" w:lineRule="auto"/>
            </w:pPr>
            <w:r>
              <w:rPr>
                <w:b w:val="0"/>
                <w:sz w:val="18"/>
              </w:rPr>
              <w:t>Burst exports / scraping</w:t>
            </w:r>
          </w:p>
        </w:tc>
        <w:tc>
          <w:tcPr>
            <w:tcW w:type="dxa" w:w="4464"/>
            <w:vAlign w:val="center"/>
            <w:tcMar>
              <w:top w:w="90" w:type="dxa"/>
              <w:bottom w:w="90" w:type="dxa"/>
              <w:left w:w="110" w:type="dxa"/>
              <w:right w:w="110" w:type="dxa"/>
            </w:tcMar>
          </w:tcPr>
          <w:p>
            <w:pPr>
              <w:spacing w:after="20" w:line="245" w:lineRule="auto"/>
            </w:pPr>
            <w:r>
              <w:rPr>
                <w:b w:val="0"/>
                <w:sz w:val="18"/>
              </w:rPr>
              <w:t>Per-user/org/action throttle, challenge or export hold.</w:t>
            </w:r>
          </w:p>
        </w:tc>
        <w:tc>
          <w:tcPr>
            <w:tcW w:type="dxa" w:w="2880"/>
            <w:vAlign w:val="center"/>
            <w:tcMar>
              <w:top w:w="90" w:type="dxa"/>
              <w:bottom w:w="90" w:type="dxa"/>
              <w:left w:w="110" w:type="dxa"/>
              <w:right w:w="110" w:type="dxa"/>
            </w:tcMar>
          </w:tcPr>
          <w:p>
            <w:pPr>
              <w:spacing w:after="20" w:line="245" w:lineRule="auto"/>
            </w:pPr>
            <w:r>
              <w:rPr>
                <w:b w:val="0"/>
                <w:sz w:val="18"/>
              </w:rPr>
              <w:t>Investigate with risk history; corrected false positives.</w:t>
            </w:r>
          </w:p>
        </w:tc>
      </w:tr>
      <w:tr>
        <w:trPr>
          <w:cantSplit/>
        </w:trPr>
        <w:tc>
          <w:tcPr>
            <w:tcW w:type="dxa" w:w="2880"/>
            <w:vAlign w:val="center"/>
            <w:tcMar>
              <w:top w:w="90" w:type="dxa"/>
              <w:bottom w:w="90" w:type="dxa"/>
              <w:left w:w="110" w:type="dxa"/>
              <w:right w:w="110" w:type="dxa"/>
            </w:tcMar>
          </w:tcPr>
          <w:p>
            <w:pPr>
              <w:spacing w:after="20" w:line="245" w:lineRule="auto"/>
            </w:pPr>
            <w:r>
              <w:rPr>
                <w:b w:val="0"/>
                <w:sz w:val="18"/>
              </w:rPr>
              <w:t>Runaway AI / tool loop</w:t>
            </w:r>
          </w:p>
        </w:tc>
        <w:tc>
          <w:tcPr>
            <w:tcW w:type="dxa" w:w="4464"/>
            <w:vAlign w:val="center"/>
            <w:tcMar>
              <w:top w:w="90" w:type="dxa"/>
              <w:bottom w:w="90" w:type="dxa"/>
              <w:left w:w="110" w:type="dxa"/>
              <w:right w:w="110" w:type="dxa"/>
            </w:tcMar>
          </w:tcPr>
          <w:p>
            <w:pPr>
              <w:spacing w:after="20" w:line="245" w:lineRule="auto"/>
            </w:pPr>
            <w:r>
              <w:rPr>
                <w:b w:val="0"/>
                <w:sz w:val="18"/>
              </w:rPr>
              <w:t>Stop run and queued children; enforce tenant/global budget.</w:t>
            </w:r>
          </w:p>
        </w:tc>
        <w:tc>
          <w:tcPr>
            <w:tcW w:type="dxa" w:w="2880"/>
            <w:vAlign w:val="center"/>
            <w:tcMar>
              <w:top w:w="90" w:type="dxa"/>
              <w:bottom w:w="90" w:type="dxa"/>
              <w:left w:w="110" w:type="dxa"/>
              <w:right w:w="110" w:type="dxa"/>
            </w:tcMar>
          </w:tcPr>
          <w:p>
            <w:pPr>
              <w:spacing w:after="20" w:line="245" w:lineRule="auto"/>
            </w:pPr>
            <w:r>
              <w:rPr>
                <w:b w:val="0"/>
                <w:sz w:val="18"/>
              </w:rPr>
              <w:t>Owner cost/security alert; saved records remain.</w:t>
            </w:r>
          </w:p>
        </w:tc>
      </w:tr>
      <w:tr>
        <w:trPr>
          <w:cantSplit/>
        </w:trPr>
        <w:tc>
          <w:tcPr>
            <w:tcW w:type="dxa" w:w="2880"/>
            <w:vAlign w:val="center"/>
            <w:tcMar>
              <w:top w:w="90" w:type="dxa"/>
              <w:bottom w:w="90" w:type="dxa"/>
              <w:left w:w="110" w:type="dxa"/>
              <w:right w:w="110" w:type="dxa"/>
            </w:tcMar>
          </w:tcPr>
          <w:p>
            <w:pPr>
              <w:spacing w:after="20" w:line="245" w:lineRule="auto"/>
            </w:pPr>
            <w:r>
              <w:rPr>
                <w:b w:val="0"/>
                <w:sz w:val="18"/>
              </w:rPr>
              <w:t>Malicious upload / content</w:t>
            </w:r>
          </w:p>
        </w:tc>
        <w:tc>
          <w:tcPr>
            <w:tcW w:type="dxa" w:w="4464"/>
            <w:vAlign w:val="center"/>
            <w:tcMar>
              <w:top w:w="90" w:type="dxa"/>
              <w:bottom w:w="90" w:type="dxa"/>
              <w:left w:w="110" w:type="dxa"/>
              <w:right w:w="110" w:type="dxa"/>
            </w:tcMar>
          </w:tcPr>
          <w:p>
            <w:pPr>
              <w:spacing w:after="20" w:line="245" w:lineRule="auto"/>
            </w:pPr>
            <w:r>
              <w:rPr>
                <w:b w:val="0"/>
                <w:sz w:val="18"/>
              </w:rPr>
              <w:t>Quarantine; block indexing and sharing.</w:t>
            </w:r>
          </w:p>
        </w:tc>
        <w:tc>
          <w:tcPr>
            <w:tcW w:type="dxa" w:w="2880"/>
            <w:vAlign w:val="center"/>
            <w:tcMar>
              <w:top w:w="90" w:type="dxa"/>
              <w:bottom w:w="90" w:type="dxa"/>
              <w:left w:w="110" w:type="dxa"/>
              <w:right w:w="110" w:type="dxa"/>
            </w:tcMar>
          </w:tcPr>
          <w:p>
            <w:pPr>
              <w:spacing w:after="20" w:line="245" w:lineRule="auto"/>
            </w:pPr>
            <w:r>
              <w:rPr>
                <w:b w:val="0"/>
                <w:sz w:val="18"/>
              </w:rPr>
              <w:t>Restricted review; do not expose file text in logs.</w:t>
            </w:r>
          </w:p>
        </w:tc>
      </w:tr>
      <w:tr>
        <w:trPr>
          <w:cantSplit/>
        </w:trPr>
        <w:tc>
          <w:tcPr>
            <w:tcW w:type="dxa" w:w="2880"/>
            <w:vAlign w:val="center"/>
            <w:tcMar>
              <w:top w:w="90" w:type="dxa"/>
              <w:bottom w:w="90" w:type="dxa"/>
              <w:left w:w="110" w:type="dxa"/>
              <w:right w:w="110" w:type="dxa"/>
            </w:tcMar>
          </w:tcPr>
          <w:p>
            <w:pPr>
              <w:spacing w:after="20" w:line="245" w:lineRule="auto"/>
            </w:pPr>
            <w:r>
              <w:rPr>
                <w:b w:val="0"/>
                <w:sz w:val="18"/>
              </w:rPr>
              <w:t>Payment failure / chargeback</w:t>
            </w:r>
          </w:p>
        </w:tc>
        <w:tc>
          <w:tcPr>
            <w:tcW w:type="dxa" w:w="4464"/>
            <w:vAlign w:val="center"/>
            <w:tcMar>
              <w:top w:w="90" w:type="dxa"/>
              <w:bottom w:w="90" w:type="dxa"/>
              <w:left w:w="110" w:type="dxa"/>
              <w:right w:w="110" w:type="dxa"/>
            </w:tcMar>
          </w:tcPr>
          <w:p>
            <w:pPr>
              <w:spacing w:after="20" w:line="245" w:lineRule="auto"/>
            </w:pPr>
            <w:r>
              <w:rPr>
                <w:b w:val="0"/>
                <w:sz w:val="18"/>
              </w:rPr>
              <w:t>Funding pause or commercial account restriction by policy.</w:t>
            </w:r>
          </w:p>
        </w:tc>
        <w:tc>
          <w:tcPr>
            <w:tcW w:type="dxa" w:w="2880"/>
            <w:vAlign w:val="center"/>
            <w:tcMar>
              <w:top w:w="90" w:type="dxa"/>
              <w:bottom w:w="90" w:type="dxa"/>
              <w:left w:w="110" w:type="dxa"/>
              <w:right w:w="110" w:type="dxa"/>
            </w:tcMar>
          </w:tcPr>
          <w:p>
            <w:pPr>
              <w:spacing w:after="20" w:line="245" w:lineRule="auto"/>
            </w:pPr>
            <w:r>
              <w:rPr>
                <w:b w:val="0"/>
                <w:sz w:val="18"/>
              </w:rPr>
              <w:t>Finance incident with provider deadline and affected engagements.</w:t>
            </w:r>
          </w:p>
        </w:tc>
      </w:tr>
      <w:tr>
        <w:trPr>
          <w:cantSplit/>
        </w:trPr>
        <w:tc>
          <w:tcPr>
            <w:tcW w:type="dxa" w:w="2880"/>
            <w:vAlign w:val="center"/>
            <w:tcMar>
              <w:top w:w="90" w:type="dxa"/>
              <w:bottom w:w="90" w:type="dxa"/>
              <w:left w:w="110" w:type="dxa"/>
              <w:right w:w="110" w:type="dxa"/>
            </w:tcMar>
          </w:tcPr>
          <w:p>
            <w:pPr>
              <w:spacing w:after="20" w:line="245" w:lineRule="auto"/>
            </w:pPr>
            <w:r>
              <w:rPr>
                <w:b w:val="0"/>
                <w:sz w:val="18"/>
              </w:rPr>
              <w:t>Compromised integration</w:t>
            </w:r>
          </w:p>
        </w:tc>
        <w:tc>
          <w:tcPr>
            <w:tcW w:type="dxa" w:w="4464"/>
            <w:vAlign w:val="center"/>
            <w:tcMar>
              <w:top w:w="90" w:type="dxa"/>
              <w:bottom w:w="90" w:type="dxa"/>
              <w:left w:w="110" w:type="dxa"/>
              <w:right w:w="110" w:type="dxa"/>
            </w:tcMar>
          </w:tcPr>
          <w:p>
            <w:pPr>
              <w:spacing w:after="20" w:line="245" w:lineRule="auto"/>
            </w:pPr>
            <w:r>
              <w:rPr>
                <w:b w:val="0"/>
                <w:sz w:val="18"/>
              </w:rPr>
              <w:t>Pause connector, revoke/rotate if supported; cancel pending writes.</w:t>
            </w:r>
          </w:p>
        </w:tc>
        <w:tc>
          <w:tcPr>
            <w:tcW w:type="dxa" w:w="2880"/>
            <w:vAlign w:val="center"/>
            <w:tcMar>
              <w:top w:w="90" w:type="dxa"/>
              <w:bottom w:w="90" w:type="dxa"/>
              <w:left w:w="110" w:type="dxa"/>
              <w:right w:w="110" w:type="dxa"/>
            </w:tcMar>
          </w:tcPr>
          <w:p>
            <w:pPr>
              <w:spacing w:after="20" w:line="245" w:lineRule="auto"/>
            </w:pPr>
            <w:r>
              <w:rPr>
                <w:b w:val="0"/>
                <w:sz w:val="18"/>
              </w:rPr>
              <w:t>Integration/security owner; restore only after verification.</w:t>
            </w:r>
          </w:p>
        </w:tc>
      </w:tr>
    </w:tbl>
    <w:p>
      <w:pPr>
        <w:spacing w:after="20"/>
      </w:pPr>
    </w:p>
    <w:p>
      <w:r>
        <w:rPr>
          <w:b w:val="0"/>
        </w:rPr>
        <w:t>Hold record: scope (action/feature/agent/session/connection/account), actor, rule/version, reason, created/review/expiry timestamps, affected resources, action already taken, owner, appeal state and release evidence. Low-risk throttles may expire; critical holds require explicit reviewer action. Mandatory authorization cannot be toggled off in notification settings.</w:t>
      </w:r>
    </w:p>
    <w:p>
      <w:r>
        <w:rPr>
          <w:b w:val="0"/>
        </w:rPr>
        <w:t>Critical alerts need independent delivery from the failing system, acknowledgment, escalation when unanswered, deduplication and a tested owner/backup. A dashboard and an email mailbox do not constitute round-the-clock coverage. Staffing/on-call policy is a launch dependency.</w:t>
      </w:r>
    </w:p>
    <w:p>
      <w:r>
        <w:rPr>
          <w:b w:val="0"/>
        </w:rPr>
      </w:r>
      <w:r>
        <w:rPr>
          <w:b/>
        </w:rPr>
        <w:t>Proposed targets:</w:t>
      </w:r>
      <w:r>
        <w:rPr>
          <w:b w:val="0"/>
        </w:rPr>
        <w:t xml:space="preserve"> notify responsible operations within minutes of confirmed severe risk; exact SLA requires owner coverage approval. Fail closed for sensitive writes when policy service unavailable. Permit separately assessed read-only access to necessary records.</w:t>
      </w:r>
    </w:p>
    <w:p>
      <w:r>
        <w:rPr>
          <w:b w:val="0"/>
        </w:rPr>
      </w:r>
      <w:r>
        <w:rPr>
          <w:b/>
        </w:rPr>
        <w:t>Tests:</w:t>
      </w:r>
      <w:r>
        <w:rPr>
          <w:b w:val="0"/>
        </w:rPr>
        <w:t xml:space="preserve"> Trigger simulated export abuse, failed funding, repeated tool calls, exposed key and cross-tenant attempt; prove the side effect is blocked before disclosure, the alert arrives, the case is auditable and the appeal/release path works.</w:t>
      </w:r>
    </w:p>
    <w:p>
      <w:r>
        <w:br w:type="page"/>
      </w:r>
    </w:p>
    <w:p>
      <w:pPr>
        <w:pStyle w:val="Heading1"/>
      </w:pPr>
      <w:r>
        <w:t>28. Privacy, files, backups and security baseline</w:t>
      </w:r>
    </w:p>
    <w:p>
      <w:r>
        <w:rPr>
          <w:b w:val="0"/>
        </w:rPr>
        <w:t>Initial broad availability does not authorize confidential client-data use. Show restrictions at signup, uploads, chat, capture and sharing. Default test fixtures and demonstrations are synthetic/de-identified. Reject or quarantine prohibited data where practical; automated detection is imperfect. A signed TOS warning cannot substitute for access controls.</w:t>
      </w:r>
    </w:p>
    <w:p>
      <w:pPr>
        <w:pStyle w:val="ListBullet"/>
      </w:pPr>
      <w:r>
        <w:rPr>
          <w:b w:val="0"/>
        </w:rPr>
        <w:t>Threat-model BD/DELA session linking, object access, multi-firm users, agency subcontractors, prompt injection, file parsing, billing races, webhook SSRF, BYOK secrets and insider access.</w:t>
      </w:r>
    </w:p>
    <w:p>
      <w:pPr>
        <w:pStyle w:val="ListBullet"/>
      </w:pPr>
      <w:r>
        <w:rPr>
          <w:b w:val="0"/>
        </w:rPr>
        <w:t>MFA/step-up for privileged and sensitive financial/permission actions; secure sessions, CSRF/origin protection, parameter validation and output escaping; rate limits on public and authenticated paths.</w:t>
      </w:r>
    </w:p>
    <w:p>
      <w:pPr>
        <w:pStyle w:val="ListBullet"/>
      </w:pPr>
      <w:r>
        <w:rPr>
          <w:b w:val="0"/>
        </w:rPr>
        <w:t>Private storage and authorization-checked short-lived downloads. Validate file type by content, size/page limits, malware scanning and quarantine. Render untrusted documents in isolated workers; block embedded scripts/external fetches.</w:t>
      </w:r>
    </w:p>
    <w:p>
      <w:pPr>
        <w:pStyle w:val="ListBullet"/>
      </w:pPr>
      <w:r>
        <w:rPr>
          <w:b w:val="0"/>
        </w:rPr>
        <w:t>Encrypt transport and provider credentials. Use separate secret-management boundary and least-privilege decryption. Keys, tokens and sensitive payloads never enter GitHub, BD browser code, telemetry or support exports.</w:t>
      </w:r>
    </w:p>
    <w:p>
      <w:pPr>
        <w:pStyle w:val="ListBullet"/>
      </w:pPr>
      <w:r>
        <w:rPr>
          <w:b w:val="0"/>
        </w:rPr>
        <w:t>Maintain retention classes for identity evidence, chat, contracts, financial records, media, memory, audit and analytics; actual durations/legal holds require approval. Delete derivatives and replay tombstones after restore.</w:t>
      </w:r>
    </w:p>
    <w:p>
      <w:pPr>
        <w:pStyle w:val="ListBullet"/>
      </w:pPr>
      <w:r>
        <w:rPr>
          <w:b w:val="0"/>
        </w:rPr>
        <w:t>Back up database AND object storage separately; Supabase database backups exclude stored object content. Test restoration, secrets recovery and safe replay without duplicate charges. [S04]</w:t>
      </w:r>
    </w:p>
    <w:p>
      <w:pPr>
        <w:pStyle w:val="ListBullet"/>
      </w:pPr>
      <w:r>
        <w:rPr>
          <w:b w:val="0"/>
        </w:rPr>
        <w:t>Contract-approved AI/data processors only; no shared model training using private work. Restrict engineering/support production access and record break-glass approval/time limits.</w:t>
      </w:r>
    </w:p>
    <w:p>
      <w:r>
        <w:rPr>
          <w:b w:val="0"/>
        </w:rPr>
      </w:r>
      <w:r>
        <w:rPr>
          <w:b/>
        </w:rPr>
        <w:t>Proposed recovery objectives:</w:t>
      </w:r>
      <w:r>
        <w:rPr>
          <w:b w:val="0"/>
        </w:rPr>
        <w:t xml:space="preserve"> define business-specific RPO/RTO before deployment; a reasonable test target is at most 24 hours data loss for nonfinancial configuration and at most four hours service restoration, but financial state must reconcile fully to processor events. These are R targets, not present guarantees.</w:t>
      </w:r>
    </w:p>
    <w:p>
      <w:r>
        <w:rPr>
          <w:b w:val="0"/>
        </w:rPr>
      </w:r>
      <w:r>
        <w:rPr>
          <w:b/>
        </w:rPr>
        <w:t>Real-client-data gate:</w:t>
      </w:r>
      <w:r>
        <w:rPr>
          <w:b w:val="0"/>
        </w:rPr>
        <w:t xml:space="preserve"> independent review of isolation and capture/upload controls; counsel/privacy review; approved retention/subprocessors; incident runbook and restore evidence; firm-specific consent/authorization; access logs and deletion test. Enable by data class and workspace, not merely because the public beta launched.</w:t>
      </w:r>
    </w:p>
    <w:p>
      <w:r>
        <w:rPr>
          <w:b w:val="0"/>
        </w:rPr>
        <w:t>No end-to-end encryption claim while Lawfecta/AI must read content server-side. Confidentiality, privilege and permitted professional task boundaries require case-appropriate review. [S26]</w:t>
      </w:r>
    </w:p>
    <w:p>
      <w:r>
        <w:br w:type="page"/>
      </w:r>
    </w:p>
    <w:p>
      <w:pPr>
        <w:pStyle w:val="Heading1"/>
      </w:pPr>
      <w:r>
        <w:t>29. Development, staging, deployment and rollback</w:t>
      </w:r>
    </w:p>
    <w:p>
      <w:r>
        <w:rPr>
          <w:b w:val="0"/>
        </w:rPr>
        <w:t>GitHub is the versioned source of application code, schemas, migrations, prompts, policy configuration and tests. Claude Code is a development assistant, not a production authority. Use isolated development, staging and production databases, storage, secrets, worker queues, AI projects and payment environments.</w:t>
      </w:r>
    </w:p>
    <w:p>
      <w:pPr>
        <w:pStyle w:val="ListBullet"/>
      </w:pPr>
      <w:r>
        <w:rPr>
          <w:b w:val="0"/>
        </w:rPr>
        <w:t>Prefer a thin BD integration and separately hosted DELA UI. Use a real isolated BD test environment where available; a live-site widget toggle is visibility control, not data/payment isolation.</w:t>
      </w:r>
    </w:p>
    <w:p>
      <w:pPr>
        <w:pStyle w:val="ListBullet"/>
      </w:pPr>
      <w:r>
        <w:rPr>
          <w:b w:val="0"/>
        </w:rPr>
        <w:t>Protect main/release branches, require reviewed pull requests and automated checks, pin dependencies and scan secrets/vulnerabilities. Production deployment uses environment-restricted credentials and human approval.</w:t>
      </w:r>
    </w:p>
    <w:p>
      <w:pPr>
        <w:pStyle w:val="ListBullet"/>
      </w:pPr>
      <w:r>
        <w:rPr>
          <w:b w:val="0"/>
        </w:rPr>
        <w:t>A deployment bundle identifies commit, schema migration, prompt/model, policy, event schema and feature-flag versions. Pin executable dependencies; Word documents alone are not a machine-enforced policy.</w:t>
      </w:r>
    </w:p>
    <w:p>
      <w:pPr>
        <w:pStyle w:val="ListBullet"/>
      </w:pPr>
      <w:r>
        <w:rPr>
          <w:b w:val="0"/>
        </w:rPr>
        <w:t>Use backward-compatible expand/migrate/contract schema changes. A frontend rollback does not reverse a database migration or a paid transfer. Provide forward repair and compensating transaction procedures.</w:t>
      </w:r>
    </w:p>
    <w:p>
      <w:pPr>
        <w:pStyle w:val="ListBullet"/>
      </w:pPr>
      <w:r>
        <w:rPr>
          <w:b w:val="0"/>
        </w:rPr>
        <w:t>No production data copied into staging. Suppress real member email and use test-only provider keys. Production job replay must be explicitly authorized and side-effect safe.</w:t>
      </w:r>
    </w:p>
    <w:p>
      <w:pPr>
        <w:pStyle w:val="ListBullet"/>
      </w:pPr>
      <w:r>
        <w:rPr>
          <w:b w:val="0"/>
        </w:rPr>
        <w:t>Releases start with disabled high-impact features, synthetic end-to-end checks and owner test accounts, then broad member availability with progressive capability flags. Do not require a commercially narrow pilot to represent market demand.</w:t>
      </w:r>
    </w:p>
    <w:p>
      <w:pPr>
        <w:pStyle w:val="Heading2"/>
      </w:pPr>
      <w:r>
        <w:t>Smoke tests after deployment</w:t>
      </w:r>
    </w:p>
    <w:p>
      <w:r>
        <w:rPr>
          <w:b w:val="0"/>
        </w:rPr>
        <w:t>Login/organization switch; private object denial; view saved playbook; create permitted draft; quota check; native booking slot lock; channel ACL; provider webhook test; financial reconciliation sample; alert delivery; emergency stop. Roll back or disable affected capabilities on safety failure, not after growth metrics are reviewed.</w:t>
      </w:r>
    </w:p>
    <w:p>
      <w:r>
        <w:rPr>
          <w:b w:val="0"/>
        </w:rPr>
      </w:r>
      <w:r>
        <w:rPr>
          <w:b/>
        </w:rPr>
        <w:t>Emergency controls:</w:t>
      </w:r>
      <w:r>
        <w:rPr>
          <w:b w:val="0"/>
        </w:rPr>
        <w:t xml:space="preserve"> Separate stops for generation, new checkout, transfers, recurring renewals, external writes, public publishing and specific integrations. Existing documents, dispute access and critical communications have a safe read-only mode. Log every override and recovery.</w:t>
      </w:r>
    </w:p>
    <w:p>
      <w:r>
        <w:rPr>
          <w:b w:val="0"/>
        </w:rPr>
      </w:r>
      <w:r>
        <w:rPr>
          <w:b/>
        </w:rPr>
        <w:t>Claude Code control:</w:t>
      </w:r>
      <w:r>
        <w:rPr>
          <w:b w:val="0"/>
        </w:rPr>
        <w:t xml:space="preserve"> Repository instructions do not enforce security. Use actual restricted credentials, sandbox/file/network controls, protected branches and deployment approval. Review any agent/MCP dependencies. [S17]</w:t>
      </w:r>
    </w:p>
    <w:p>
      <w:r>
        <w:br w:type="page"/>
      </w:r>
    </w:p>
    <w:p>
      <w:pPr>
        <w:pStyle w:val="Heading1"/>
      </w:pPr>
      <w:r>
        <w:t>30. Analytics, validation and advancement gates</w:t>
      </w:r>
    </w:p>
    <w:p>
      <w:r>
        <w:rPr>
          <w:b w:val="0"/>
        </w:rPr>
        <w:t>Every event includes environment/test flag, actor/workspace, feature, policy version and correlation ID. Never include raw client text or BYOK keys. Product dashboards and financial dashboards reconcile but remain distinct.</w:t>
      </w:r>
    </w:p>
    <w:tbl>
      <w:tblPr>
        <w:tblW w:type="auto" w:w="0"/>
        <w:jc w:val="center"/>
        <w:tblLayout w:type="fixed"/>
        <w:tblLook w:firstColumn="1" w:firstRow="1" w:lastColumn="0" w:lastRow="0" w:noHBand="0" w:noVBand="1" w:val="04A0"/>
      </w:tblPr>
      <w:tblGrid>
        <w:gridCol w:w="2088"/>
        <w:gridCol w:w="5400"/>
        <w:gridCol w:w="2736"/>
      </w:tblGrid>
      <w:tr>
        <w:trPr>
          <w:tblHeader/>
          <w:cantSplit/>
        </w:trPr>
        <w:tc>
          <w:tcPr>
            <w:tcW w:type="dxa" w:w="2088"/>
            <w:vAlign w:val="center"/>
            <w:tcMar>
              <w:top w:w="90" w:type="dxa"/>
              <w:bottom w:w="90" w:type="dxa"/>
              <w:left w:w="110" w:type="dxa"/>
              <w:right w:w="110" w:type="dxa"/>
            </w:tcMar>
            <w:shd w:fill="8B1F3F"/>
          </w:tcPr>
          <w:p>
            <w:pPr>
              <w:spacing w:after="20" w:line="245" w:lineRule="auto"/>
            </w:pPr>
            <w:r>
              <w:rPr>
                <w:b/>
                <w:color w:val="FFFFFF"/>
                <w:sz w:val="18"/>
              </w:rPr>
              <w:t>Metric</w:t>
            </w:r>
          </w:p>
        </w:tc>
        <w:tc>
          <w:tcPr>
            <w:tcW w:type="dxa" w:w="5400"/>
            <w:vAlign w:val="center"/>
            <w:tcMar>
              <w:top w:w="90" w:type="dxa"/>
              <w:bottom w:w="90" w:type="dxa"/>
              <w:left w:w="110" w:type="dxa"/>
              <w:right w:w="110" w:type="dxa"/>
            </w:tcMar>
            <w:shd w:fill="8B1F3F"/>
          </w:tcPr>
          <w:p>
            <w:pPr>
              <w:spacing w:after="20" w:line="245" w:lineRule="auto"/>
            </w:pPr>
            <w:r>
              <w:rPr>
                <w:b/>
                <w:color w:val="FFFFFF"/>
                <w:sz w:val="18"/>
              </w:rPr>
              <w:t>Operational definition</w:t>
            </w:r>
          </w:p>
        </w:tc>
        <w:tc>
          <w:tcPr>
            <w:tcW w:type="dxa" w:w="2736"/>
            <w:vAlign w:val="center"/>
            <w:tcMar>
              <w:top w:w="90" w:type="dxa"/>
              <w:bottom w:w="90" w:type="dxa"/>
              <w:left w:w="110" w:type="dxa"/>
              <w:right w:w="110" w:type="dxa"/>
            </w:tcMar>
            <w:shd w:fill="8B1F3F"/>
          </w:tcPr>
          <w:p>
            <w:pPr>
              <w:spacing w:after="20" w:line="245" w:lineRule="auto"/>
            </w:pPr>
            <w:r>
              <w:rPr>
                <w:b/>
                <w:color w:val="FFFFFF"/>
                <w:sz w:val="18"/>
              </w:rPr>
              <w:t>Proposed signal</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Product activation</w:t>
            </w:r>
          </w:p>
        </w:tc>
        <w:tc>
          <w:tcPr>
            <w:tcW w:type="dxa" w:w="5400"/>
            <w:vAlign w:val="center"/>
            <w:tcMar>
              <w:top w:w="90" w:type="dxa"/>
              <w:bottom w:w="90" w:type="dxa"/>
              <w:left w:w="110" w:type="dxa"/>
              <w:right w:w="110" w:type="dxa"/>
            </w:tcMar>
          </w:tcPr>
          <w:p>
            <w:pPr>
              <w:spacing w:after="20" w:line="245" w:lineRule="auto"/>
            </w:pPr>
            <w:r>
              <w:rPr>
                <w:b w:val="0"/>
                <w:sz w:val="18"/>
              </w:rPr>
              <w:t>Unique eligible attorneys approving a usable real-task playbook / eligible attorneys starting planning; review independently.</w:t>
            </w:r>
          </w:p>
        </w:tc>
        <w:tc>
          <w:tcPr>
            <w:tcW w:type="dxa" w:w="2736"/>
            <w:vAlign w:val="center"/>
            <w:tcMar>
              <w:top w:w="90" w:type="dxa"/>
              <w:bottom w:w="90" w:type="dxa"/>
              <w:left w:w="110" w:type="dxa"/>
              <w:right w:w="110" w:type="dxa"/>
            </w:tcMar>
          </w:tcPr>
          <w:p>
            <w:pPr>
              <w:spacing w:after="20" w:line="245" w:lineRule="auto"/>
            </w:pPr>
            <w:r>
              <w:rPr>
                <w:b w:val="0"/>
                <w:sz w:val="18"/>
              </w:rPr>
              <w:t>At least 60% over &gt;=30 starts; directional until a larger sample.</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Preparation savings</w:t>
            </w:r>
          </w:p>
        </w:tc>
        <w:tc>
          <w:tcPr>
            <w:tcW w:type="dxa" w:w="5400"/>
            <w:vAlign w:val="center"/>
            <w:tcMar>
              <w:top w:w="90" w:type="dxa"/>
              <w:bottom w:w="90" w:type="dxa"/>
              <w:left w:w="110" w:type="dxa"/>
              <w:right w:w="110" w:type="dxa"/>
            </w:tcMar>
          </w:tcPr>
          <w:p>
            <w:pPr>
              <w:spacing w:after="20" w:line="245" w:lineRule="auto"/>
            </w:pPr>
            <w:r>
              <w:rPr>
                <w:b w:val="0"/>
                <w:sz w:val="18"/>
              </w:rPr>
              <w:t>Comparable manual preparation time minus DELA time, including editing and rework.</w:t>
            </w:r>
          </w:p>
        </w:tc>
        <w:tc>
          <w:tcPr>
            <w:tcW w:type="dxa" w:w="2736"/>
            <w:vAlign w:val="center"/>
            <w:tcMar>
              <w:top w:w="90" w:type="dxa"/>
              <w:bottom w:w="90" w:type="dxa"/>
              <w:left w:w="110" w:type="dxa"/>
              <w:right w:w="110" w:type="dxa"/>
            </w:tcMar>
          </w:tcPr>
          <w:p>
            <w:pPr>
              <w:spacing w:after="20" w:line="245" w:lineRule="auto"/>
            </w:pPr>
            <w:r>
              <w:rPr>
                <w:b w:val="0"/>
                <w:sz w:val="18"/>
              </w:rPr>
              <w:t>Median &gt;=20% improvement without quality decline across &gt;=20 paired tasks.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Match coverage</w:t>
            </w:r>
          </w:p>
        </w:tc>
        <w:tc>
          <w:tcPr>
            <w:tcW w:type="dxa" w:w="5400"/>
            <w:vAlign w:val="center"/>
            <w:tcMar>
              <w:top w:w="90" w:type="dxa"/>
              <w:bottom w:w="90" w:type="dxa"/>
              <w:left w:w="110" w:type="dxa"/>
              <w:right w:w="110" w:type="dxa"/>
            </w:tcMar>
          </w:tcPr>
          <w:p>
            <w:pPr>
              <w:spacing w:after="20" w:line="245" w:lineRule="auto"/>
            </w:pPr>
            <w:r>
              <w:rPr>
                <w:b w:val="0"/>
                <w:sz w:val="18"/>
              </w:rPr>
              <w:t>Approved needs with &gt;=1 qualified available candidate / approved needs in supported categories.</w:t>
            </w:r>
          </w:p>
        </w:tc>
        <w:tc>
          <w:tcPr>
            <w:tcW w:type="dxa" w:w="2736"/>
            <w:vAlign w:val="center"/>
            <w:tcMar>
              <w:top w:w="90" w:type="dxa"/>
              <w:bottom w:w="90" w:type="dxa"/>
              <w:left w:w="110" w:type="dxa"/>
              <w:right w:w="110" w:type="dxa"/>
            </w:tcMar>
          </w:tcPr>
          <w:p>
            <w:pPr>
              <w:spacing w:after="20" w:line="245" w:lineRule="auto"/>
            </w:pPr>
            <w:r>
              <w:rPr>
                <w:b w:val="0"/>
                <w:sz w:val="18"/>
              </w:rPr>
              <w:t>&gt;=80% across &gt;=30 needs; report unsupported gaps separately.</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Commercial conversion</w:t>
            </w:r>
          </w:p>
        </w:tc>
        <w:tc>
          <w:tcPr>
            <w:tcW w:type="dxa" w:w="5400"/>
            <w:vAlign w:val="center"/>
            <w:tcMar>
              <w:top w:w="90" w:type="dxa"/>
              <w:bottom w:w="90" w:type="dxa"/>
              <w:left w:w="110" w:type="dxa"/>
              <w:right w:w="110" w:type="dxa"/>
            </w:tcMar>
          </w:tcPr>
          <w:p>
            <w:pPr>
              <w:spacing w:after="20" w:line="245" w:lineRule="auto"/>
            </w:pPr>
            <w:r>
              <w:rPr>
                <w:b w:val="0"/>
                <w:sz w:val="18"/>
              </w:rPr>
              <w:t>First funded engagement / eligible activated attorneys with a stated hire intent.</w:t>
            </w:r>
          </w:p>
        </w:tc>
        <w:tc>
          <w:tcPr>
            <w:tcW w:type="dxa" w:w="2736"/>
            <w:vAlign w:val="center"/>
            <w:tcMar>
              <w:top w:w="90" w:type="dxa"/>
              <w:bottom w:w="90" w:type="dxa"/>
              <w:left w:w="110" w:type="dxa"/>
              <w:right w:w="110" w:type="dxa"/>
            </w:tcMar>
          </w:tcPr>
          <w:p>
            <w:pPr>
              <w:spacing w:after="20" w:line="245" w:lineRule="auto"/>
            </w:pPr>
            <w:r>
              <w:rPr>
                <w:b w:val="0"/>
                <w:sz w:val="18"/>
              </w:rPr>
              <w:t>Establish baseline; proposed &gt;=20% within a defined 30-day cohort.</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Delivery and economics</w:t>
            </w:r>
          </w:p>
        </w:tc>
        <w:tc>
          <w:tcPr>
            <w:tcW w:type="dxa" w:w="5400"/>
            <w:vAlign w:val="center"/>
            <w:tcMar>
              <w:top w:w="90" w:type="dxa"/>
              <w:bottom w:w="90" w:type="dxa"/>
              <w:left w:w="110" w:type="dxa"/>
              <w:right w:w="110" w:type="dxa"/>
            </w:tcMar>
          </w:tcPr>
          <w:p>
            <w:pPr>
              <w:spacing w:after="20" w:line="245" w:lineRule="auto"/>
            </w:pPr>
            <w:r>
              <w:rPr>
                <w:b w:val="0"/>
                <w:sz w:val="18"/>
              </w:rPr>
              <w:t>Accepted paid work, correction rate, all variable costs and realized/expected losses.</w:t>
            </w:r>
          </w:p>
        </w:tc>
        <w:tc>
          <w:tcPr>
            <w:tcW w:type="dxa" w:w="2736"/>
            <w:vAlign w:val="center"/>
            <w:tcMar>
              <w:top w:w="90" w:type="dxa"/>
              <w:bottom w:w="90" w:type="dxa"/>
              <w:left w:w="110" w:type="dxa"/>
              <w:right w:w="110" w:type="dxa"/>
            </w:tcMar>
          </w:tcPr>
          <w:p>
            <w:pPr>
              <w:spacing w:after="20" w:line="245" w:lineRule="auto"/>
            </w:pPr>
            <w:r>
              <w:rPr>
                <w:b w:val="0"/>
                <w:sz w:val="18"/>
              </w:rPr>
              <w:t>Positive aggregate contribution; no persistently negative tier/size segment hidden by averaging.</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Repeat hiring</w:t>
            </w:r>
          </w:p>
        </w:tc>
        <w:tc>
          <w:tcPr>
            <w:tcW w:type="dxa" w:w="5400"/>
            <w:vAlign w:val="center"/>
            <w:tcMar>
              <w:top w:w="90" w:type="dxa"/>
              <w:bottom w:w="90" w:type="dxa"/>
              <w:left w:w="110" w:type="dxa"/>
              <w:right w:w="110" w:type="dxa"/>
            </w:tcMar>
          </w:tcPr>
          <w:p>
            <w:pPr>
              <w:spacing w:after="20" w:line="245" w:lineRule="auto"/>
            </w:pPr>
            <w:r>
              <w:rPr>
                <w:b w:val="0"/>
                <w:sz w:val="18"/>
              </w:rPr>
              <w:t>Transacting attorneys hiring again / attorneys with mature 90-day observation.</w:t>
            </w:r>
          </w:p>
        </w:tc>
        <w:tc>
          <w:tcPr>
            <w:tcW w:type="dxa" w:w="2736"/>
            <w:vAlign w:val="center"/>
            <w:tcMar>
              <w:top w:w="90" w:type="dxa"/>
              <w:bottom w:w="90" w:type="dxa"/>
              <w:left w:w="110" w:type="dxa"/>
              <w:right w:w="110" w:type="dxa"/>
            </w:tcMar>
          </w:tcPr>
          <w:p>
            <w:pPr>
              <w:spacing w:after="20" w:line="245" w:lineRule="auto"/>
            </w:pPr>
            <w:r>
              <w:rPr>
                <w:b w:val="0"/>
                <w:sz w:val="18"/>
              </w:rPr>
              <w:t>Proposed &gt;=25%; show raw counts and recurring vs one-off separately.</w:t>
            </w:r>
          </w:p>
        </w:tc>
      </w:tr>
    </w:tbl>
    <w:p>
      <w:pPr>
        <w:spacing w:after="20"/>
      </w:pPr>
    </w:p>
    <w:p>
      <w:r>
        <w:rPr>
          <w:b w:val="0"/>
        </w:rPr>
        <w:t>No threshold above is an approved promise or statistical proof. Freeze denominator/time window, predefine exclusions and show confidence/sample limitations. Adoption does not validate causality. An initial twenty engagements is a directional operations sample, not evidence about rare chargebacks.</w:t>
      </w:r>
    </w:p>
    <w:p>
      <w:r>
        <w:rPr>
          <w:b w:val="0"/>
        </w:rPr>
      </w:r>
      <w:r>
        <w:rPr>
          <w:b/>
        </w:rPr>
        <w:t>Hard gates:</w:t>
      </w:r>
      <w:r>
        <w:rPr>
          <w:b w:val="0"/>
        </w:rPr>
        <w:t xml:space="preserve"> Required authorization/financial tests pass; no unresolved critical/high launch-blocking security issue; provider/legal prerequisites signed off; backups/restore and alert coverage tested; no unreconciled financial mismatch; signed contract and fee schedule ready.</w:t>
      </w:r>
    </w:p>
    <w:p>
      <w:r>
        <w:rPr>
          <w:b w:val="0"/>
        </w:rPr>
      </w:r>
      <w:r>
        <w:rPr>
          <w:b/>
        </w:rPr>
        <w:t>Advance:</w:t>
      </w:r>
      <w:r>
        <w:rPr>
          <w:b w:val="0"/>
        </w:rPr>
        <w:t xml:space="preserve"> useful outcomes, repeat evidence and plausible contribution support the next specific feature. </w:t>
      </w:r>
      <w:r>
        <w:rPr>
          <w:b/>
        </w:rPr>
        <w:t>Iterate:</w:t>
      </w:r>
      <w:r>
        <w:rPr>
          <w:b w:val="0"/>
        </w:rPr>
        <w:t xml:space="preserve"> locate the weak step (planning, proposal response, booking, funding, delivery). </w:t>
      </w:r>
      <w:r>
        <w:rPr>
          <w:b/>
        </w:rPr>
        <w:t>Hold:</w:t>
      </w:r>
      <w:r>
        <w:rPr>
          <w:b w:val="0"/>
        </w:rPr>
        <w:t xml:space="preserve"> unsafe money movement, private-data exposure or unsupported legal workflow. Marketing growth never waives hard gates.</w:t>
      </w:r>
    </w:p>
    <w:p>
      <w:r>
        <w:rPr>
          <w:b w:val="0"/>
        </w:rPr>
        <w:t>Track MRR separately from transaction revenue; recurring GMV separately from platform recurring fees; BYOK infrastructure cost; paid-export margin; subscription discount erosion; support minutes; refunds, disputes and mature loss cohorts. Include filters, CSV export and feature adoption/abandonment reports.</w:t>
      </w:r>
    </w:p>
    <w:p>
      <w:r>
        <w:br w:type="page"/>
      </w:r>
    </w:p>
    <w:p>
      <w:pPr>
        <w:pStyle w:val="Heading1"/>
      </w:pPr>
      <w:r>
        <w:t>31. Acceptance and regression test matrix</w:t>
      </w:r>
    </w:p>
    <w:tbl>
      <w:tblPr>
        <w:tblW w:type="auto" w:w="0"/>
        <w:jc w:val="center"/>
        <w:tblLayout w:type="fixed"/>
        <w:tblLook w:firstColumn="1" w:firstRow="1" w:lastColumn="0" w:lastRow="0" w:noHBand="0" w:noVBand="1" w:val="04A0"/>
      </w:tblPr>
      <w:tblGrid>
        <w:gridCol w:w="1800"/>
        <w:gridCol w:w="4104"/>
        <w:gridCol w:w="4320"/>
      </w:tblGrid>
      <w:tr>
        <w:trPr>
          <w:tblHeader/>
          <w:cantSplit/>
        </w:trPr>
        <w:tc>
          <w:tcPr>
            <w:tcW w:type="dxa" w:w="1800"/>
            <w:vAlign w:val="center"/>
            <w:tcMar>
              <w:top w:w="90" w:type="dxa"/>
              <w:bottom w:w="90" w:type="dxa"/>
              <w:left w:w="110" w:type="dxa"/>
              <w:right w:w="110" w:type="dxa"/>
            </w:tcMar>
            <w:shd w:fill="8B1F3F"/>
          </w:tcPr>
          <w:p>
            <w:pPr>
              <w:spacing w:after="20" w:line="245" w:lineRule="auto"/>
            </w:pPr>
            <w:r>
              <w:rPr>
                <w:b/>
                <w:color w:val="FFFFFF"/>
                <w:sz w:val="18"/>
              </w:rPr>
              <w:t>ID / family</w:t>
            </w:r>
          </w:p>
        </w:tc>
        <w:tc>
          <w:tcPr>
            <w:tcW w:type="dxa" w:w="4104"/>
            <w:vAlign w:val="center"/>
            <w:tcMar>
              <w:top w:w="90" w:type="dxa"/>
              <w:bottom w:w="90" w:type="dxa"/>
              <w:left w:w="110" w:type="dxa"/>
              <w:right w:w="110" w:type="dxa"/>
            </w:tcMar>
            <w:shd w:fill="8B1F3F"/>
          </w:tcPr>
          <w:p>
            <w:pPr>
              <w:spacing w:after="20" w:line="245" w:lineRule="auto"/>
            </w:pPr>
            <w:r>
              <w:rPr>
                <w:b/>
                <w:color w:val="FFFFFF"/>
                <w:sz w:val="18"/>
              </w:rPr>
              <w:t>Scenario</w:t>
            </w:r>
          </w:p>
        </w:tc>
        <w:tc>
          <w:tcPr>
            <w:tcW w:type="dxa" w:w="4320"/>
            <w:vAlign w:val="center"/>
            <w:tcMar>
              <w:top w:w="90" w:type="dxa"/>
              <w:bottom w:w="90" w:type="dxa"/>
              <w:left w:w="110" w:type="dxa"/>
              <w:right w:w="110" w:type="dxa"/>
            </w:tcMar>
            <w:shd w:fill="8B1F3F"/>
          </w:tcPr>
          <w:p>
            <w:pPr>
              <w:spacing w:after="20" w:line="245" w:lineRule="auto"/>
            </w:pPr>
            <w:r>
              <w:rPr>
                <w:b/>
                <w:color w:val="FFFFFF"/>
                <w:sz w:val="18"/>
              </w:rPr>
              <w:t>Required result</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T01 / 1A-AUTH</w:t>
            </w:r>
          </w:p>
        </w:tc>
        <w:tc>
          <w:tcPr>
            <w:tcW w:type="dxa" w:w="4104"/>
            <w:vAlign w:val="center"/>
            <w:tcMar>
              <w:top w:w="90" w:type="dxa"/>
              <w:bottom w:w="90" w:type="dxa"/>
              <w:left w:w="110" w:type="dxa"/>
              <w:right w:w="110" w:type="dxa"/>
            </w:tcMar>
          </w:tcPr>
          <w:p>
            <w:pPr>
              <w:spacing w:after="20" w:line="245" w:lineRule="auto"/>
            </w:pPr>
            <w:r>
              <w:rPr>
                <w:b w:val="0"/>
                <w:sz w:val="18"/>
              </w:rPr>
              <w:t>Forged BD ID or expired exchange code</w:t>
            </w:r>
          </w:p>
        </w:tc>
        <w:tc>
          <w:tcPr>
            <w:tcW w:type="dxa" w:w="4320"/>
            <w:vAlign w:val="center"/>
            <w:tcMar>
              <w:top w:w="90" w:type="dxa"/>
              <w:bottom w:w="90" w:type="dxa"/>
              <w:left w:w="110" w:type="dxa"/>
              <w:right w:w="110" w:type="dxa"/>
            </w:tcMar>
          </w:tcPr>
          <w:p>
            <w:pPr>
              <w:spacing w:after="20" w:line="245" w:lineRule="auto"/>
            </w:pPr>
            <w:r>
              <w:rPr>
                <w:b w:val="0"/>
                <w:sz w:val="18"/>
              </w:rPr>
              <w:t>Deny; no identity or private record leakage.</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T02 / 1A-ACL</w:t>
            </w:r>
          </w:p>
        </w:tc>
        <w:tc>
          <w:tcPr>
            <w:tcW w:type="dxa" w:w="4104"/>
            <w:vAlign w:val="center"/>
            <w:tcMar>
              <w:top w:w="90" w:type="dxa"/>
              <w:bottom w:w="90" w:type="dxa"/>
              <w:left w:w="110" w:type="dxa"/>
              <w:right w:w="110" w:type="dxa"/>
            </w:tcMar>
          </w:tcPr>
          <w:p>
            <w:pPr>
              <w:spacing w:after="20" w:line="245" w:lineRule="auto"/>
            </w:pPr>
            <w:r>
              <w:rPr>
                <w:b w:val="0"/>
                <w:sz w:val="18"/>
              </w:rPr>
              <w:t>Agency member requests unrelated firm artifact</w:t>
            </w:r>
          </w:p>
        </w:tc>
        <w:tc>
          <w:tcPr>
            <w:tcW w:type="dxa" w:w="4320"/>
            <w:vAlign w:val="center"/>
            <w:tcMar>
              <w:top w:w="90" w:type="dxa"/>
              <w:bottom w:w="90" w:type="dxa"/>
              <w:left w:w="110" w:type="dxa"/>
              <w:right w:w="110" w:type="dxa"/>
            </w:tcMar>
          </w:tcPr>
          <w:p>
            <w:pPr>
              <w:spacing w:after="20" w:line="245" w:lineRule="auto"/>
            </w:pPr>
            <w:r>
              <w:rPr>
                <w:b w:val="0"/>
                <w:sz w:val="18"/>
              </w:rPr>
              <w:t>Deny across API, search, realtime and storage.</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T03 / 1A-ENT</w:t>
            </w:r>
          </w:p>
        </w:tc>
        <w:tc>
          <w:tcPr>
            <w:tcW w:type="dxa" w:w="4104"/>
            <w:vAlign w:val="center"/>
            <w:tcMar>
              <w:top w:w="90" w:type="dxa"/>
              <w:bottom w:w="90" w:type="dxa"/>
              <w:left w:w="110" w:type="dxa"/>
              <w:right w:w="110" w:type="dxa"/>
            </w:tcMar>
          </w:tcPr>
          <w:p>
            <w:pPr>
              <w:spacing w:after="20" w:line="245" w:lineRule="auto"/>
            </w:pPr>
            <w:r>
              <w:rPr>
                <w:b w:val="0"/>
                <w:sz w:val="18"/>
              </w:rPr>
              <w:t>No-card trial expires; billing job delayed</w:t>
            </w:r>
          </w:p>
        </w:tc>
        <w:tc>
          <w:tcPr>
            <w:tcW w:type="dxa" w:w="4320"/>
            <w:vAlign w:val="center"/>
            <w:tcMar>
              <w:top w:w="90" w:type="dxa"/>
              <w:bottom w:w="90" w:type="dxa"/>
              <w:left w:w="110" w:type="dxa"/>
              <w:right w:w="110" w:type="dxa"/>
            </w:tcMar>
          </w:tcPr>
          <w:p>
            <w:pPr>
              <w:spacing w:after="20" w:line="245" w:lineRule="auto"/>
            </w:pPr>
            <w:r>
              <w:rPr>
                <w:b w:val="0"/>
                <w:sz w:val="18"/>
              </w:rPr>
              <w:t>Premium request denied; active engagement records available.</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T04 / 1A-AI</w:t>
            </w:r>
          </w:p>
        </w:tc>
        <w:tc>
          <w:tcPr>
            <w:tcW w:type="dxa" w:w="4104"/>
            <w:vAlign w:val="center"/>
            <w:tcMar>
              <w:top w:w="90" w:type="dxa"/>
              <w:bottom w:w="90" w:type="dxa"/>
              <w:left w:w="110" w:type="dxa"/>
              <w:right w:w="110" w:type="dxa"/>
            </w:tcMar>
          </w:tcPr>
          <w:p>
            <w:pPr>
              <w:spacing w:after="20" w:line="245" w:lineRule="auto"/>
            </w:pPr>
            <w:r>
              <w:rPr>
                <w:b w:val="0"/>
                <w:sz w:val="18"/>
              </w:rPr>
              <w:t>BYOK revoked or provider billing fails</w:t>
            </w:r>
          </w:p>
        </w:tc>
        <w:tc>
          <w:tcPr>
            <w:tcW w:type="dxa" w:w="4320"/>
            <w:vAlign w:val="center"/>
            <w:tcMar>
              <w:top w:w="90" w:type="dxa"/>
              <w:bottom w:w="90" w:type="dxa"/>
              <w:left w:w="110" w:type="dxa"/>
              <w:right w:w="110" w:type="dxa"/>
            </w:tcMar>
          </w:tcPr>
          <w:p>
            <w:pPr>
              <w:spacing w:after="20" w:line="245" w:lineRule="auto"/>
            </w:pPr>
            <w:r>
              <w:rPr>
                <w:b w:val="0"/>
                <w:sz w:val="18"/>
              </w:rPr>
              <w:t>No silent platform-key fallback; safe retry/status.</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T05 / 1A-MEM</w:t>
            </w:r>
          </w:p>
        </w:tc>
        <w:tc>
          <w:tcPr>
            <w:tcW w:type="dxa" w:w="4104"/>
            <w:vAlign w:val="center"/>
            <w:tcMar>
              <w:top w:w="90" w:type="dxa"/>
              <w:bottom w:w="90" w:type="dxa"/>
              <w:left w:w="110" w:type="dxa"/>
              <w:right w:w="110" w:type="dxa"/>
            </w:tcMar>
          </w:tcPr>
          <w:p>
            <w:pPr>
              <w:spacing w:after="20" w:line="245" w:lineRule="auto"/>
            </w:pPr>
            <w:r>
              <w:rPr>
                <w:b w:val="0"/>
                <w:sz w:val="18"/>
              </w:rPr>
              <w:t>Malicious document asks to save payment rule</w:t>
            </w:r>
          </w:p>
        </w:tc>
        <w:tc>
          <w:tcPr>
            <w:tcW w:type="dxa" w:w="4320"/>
            <w:vAlign w:val="center"/>
            <w:tcMar>
              <w:top w:w="90" w:type="dxa"/>
              <w:bottom w:w="90" w:type="dxa"/>
              <w:left w:w="110" w:type="dxa"/>
              <w:right w:w="110" w:type="dxa"/>
            </w:tcMar>
          </w:tcPr>
          <w:p>
            <w:pPr>
              <w:spacing w:after="20" w:line="245" w:lineRule="auto"/>
            </w:pPr>
            <w:r>
              <w:rPr>
                <w:b w:val="0"/>
                <w:sz w:val="18"/>
              </w:rPr>
              <w:t>No authority granted; source treated as data.</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T06 / 1A-PLAY</w:t>
            </w:r>
          </w:p>
        </w:tc>
        <w:tc>
          <w:tcPr>
            <w:tcW w:type="dxa" w:w="4104"/>
            <w:vAlign w:val="center"/>
            <w:tcMar>
              <w:top w:w="90" w:type="dxa"/>
              <w:bottom w:w="90" w:type="dxa"/>
              <w:left w:w="110" w:type="dxa"/>
              <w:right w:w="110" w:type="dxa"/>
            </w:tcMar>
          </w:tcPr>
          <w:p>
            <w:pPr>
              <w:spacing w:after="20" w:line="245" w:lineRule="auto"/>
            </w:pPr>
            <w:r>
              <w:rPr>
                <w:b w:val="0"/>
                <w:sz w:val="18"/>
              </w:rPr>
              <w:t>Duplicate export and version mismatch</w:t>
            </w:r>
          </w:p>
        </w:tc>
        <w:tc>
          <w:tcPr>
            <w:tcW w:type="dxa" w:w="4320"/>
            <w:vAlign w:val="center"/>
            <w:tcMar>
              <w:top w:w="90" w:type="dxa"/>
              <w:bottom w:w="90" w:type="dxa"/>
              <w:left w:w="110" w:type="dxa"/>
              <w:right w:w="110" w:type="dxa"/>
            </w:tcMar>
          </w:tcPr>
          <w:p>
            <w:pPr>
              <w:spacing w:after="20" w:line="245" w:lineRule="auto"/>
            </w:pPr>
            <w:r>
              <w:rPr>
                <w:b w:val="0"/>
                <w:sz w:val="18"/>
              </w:rPr>
              <w:t>One entitlement; authorized exact version only.</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T07 / 1A-GIG</w:t>
            </w:r>
          </w:p>
        </w:tc>
        <w:tc>
          <w:tcPr>
            <w:tcW w:type="dxa" w:w="4104"/>
            <w:vAlign w:val="center"/>
            <w:tcMar>
              <w:top w:w="90" w:type="dxa"/>
              <w:bottom w:w="90" w:type="dxa"/>
              <w:left w:w="110" w:type="dxa"/>
              <w:right w:w="110" w:type="dxa"/>
            </w:tcMar>
          </w:tcPr>
          <w:p>
            <w:pPr>
              <w:spacing w:after="20" w:line="245" w:lineRule="auto"/>
            </w:pPr>
            <w:r>
              <w:rPr>
                <w:b w:val="0"/>
                <w:sz w:val="18"/>
              </w:rPr>
              <w:t>Deadline/extension/last quota races</w:t>
            </w:r>
          </w:p>
        </w:tc>
        <w:tc>
          <w:tcPr>
            <w:tcW w:type="dxa" w:w="4320"/>
            <w:vAlign w:val="center"/>
            <w:tcMar>
              <w:top w:w="90" w:type="dxa"/>
              <w:bottom w:w="90" w:type="dxa"/>
              <w:left w:w="110" w:type="dxa"/>
              <w:right w:w="110" w:type="dxa"/>
            </w:tcMar>
          </w:tcPr>
          <w:p>
            <w:pPr>
              <w:spacing w:after="20" w:line="245" w:lineRule="auto"/>
            </w:pPr>
            <w:r>
              <w:rPr>
                <w:b w:val="0"/>
                <w:sz w:val="18"/>
              </w:rPr>
              <w:t>One valid transition; expired gig closed; allowance not overspent.</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T08 / 1A-BOOK</w:t>
            </w:r>
          </w:p>
        </w:tc>
        <w:tc>
          <w:tcPr>
            <w:tcW w:type="dxa" w:w="4104"/>
            <w:vAlign w:val="center"/>
            <w:tcMar>
              <w:top w:w="90" w:type="dxa"/>
              <w:bottom w:w="90" w:type="dxa"/>
              <w:left w:w="110" w:type="dxa"/>
              <w:right w:w="110" w:type="dxa"/>
            </w:tcMar>
          </w:tcPr>
          <w:p>
            <w:pPr>
              <w:spacing w:after="20" w:line="245" w:lineRule="auto"/>
            </w:pPr>
            <w:r>
              <w:rPr>
                <w:b w:val="0"/>
                <w:sz w:val="18"/>
              </w:rPr>
              <w:t>Two users confirm same slot / DST</w:t>
            </w:r>
          </w:p>
        </w:tc>
        <w:tc>
          <w:tcPr>
            <w:tcW w:type="dxa" w:w="4320"/>
            <w:vAlign w:val="center"/>
            <w:tcMar>
              <w:top w:w="90" w:type="dxa"/>
              <w:bottom w:w="90" w:type="dxa"/>
              <w:left w:w="110" w:type="dxa"/>
              <w:right w:w="110" w:type="dxa"/>
            </w:tcMar>
          </w:tcPr>
          <w:p>
            <w:pPr>
              <w:spacing w:after="20" w:line="245" w:lineRule="auto"/>
            </w:pPr>
            <w:r>
              <w:rPr>
                <w:b w:val="0"/>
                <w:sz w:val="18"/>
              </w:rPr>
              <w:t>One booking; correct absolute time and notifications.</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T09 / 1A-CHAT</w:t>
            </w:r>
          </w:p>
        </w:tc>
        <w:tc>
          <w:tcPr>
            <w:tcW w:type="dxa" w:w="4104"/>
            <w:vAlign w:val="center"/>
            <w:tcMar>
              <w:top w:w="90" w:type="dxa"/>
              <w:bottom w:w="90" w:type="dxa"/>
              <w:left w:w="110" w:type="dxa"/>
              <w:right w:w="110" w:type="dxa"/>
            </w:tcMar>
          </w:tcPr>
          <w:p>
            <w:pPr>
              <w:spacing w:after="20" w:line="245" w:lineRule="auto"/>
            </w:pPr>
            <w:r>
              <w:rPr>
                <w:b w:val="0"/>
                <w:sz w:val="18"/>
              </w:rPr>
              <w:t>Project closed, bench accepted</w:t>
            </w:r>
          </w:p>
        </w:tc>
        <w:tc>
          <w:tcPr>
            <w:tcW w:type="dxa" w:w="4320"/>
            <w:vAlign w:val="center"/>
            <w:tcMar>
              <w:top w:w="90" w:type="dxa"/>
              <w:bottom w:w="90" w:type="dxa"/>
              <w:left w:w="110" w:type="dxa"/>
              <w:right w:w="110" w:type="dxa"/>
            </w:tcMar>
          </w:tcPr>
          <w:p>
            <w:pPr>
              <w:spacing w:after="20" w:line="245" w:lineRule="auto"/>
            </w:pPr>
            <w:r>
              <w:rPr>
                <w:b w:val="0"/>
                <w:sz w:val="18"/>
              </w:rPr>
              <w:t>Project read-only; separate bench channel remains valid.</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T10 / 1A-CONTRACT</w:t>
            </w:r>
          </w:p>
        </w:tc>
        <w:tc>
          <w:tcPr>
            <w:tcW w:type="dxa" w:w="4104"/>
            <w:vAlign w:val="center"/>
            <w:tcMar>
              <w:top w:w="90" w:type="dxa"/>
              <w:bottom w:w="90" w:type="dxa"/>
              <w:left w:w="110" w:type="dxa"/>
              <w:right w:w="110" w:type="dxa"/>
            </w:tcMar>
          </w:tcPr>
          <w:p>
            <w:pPr>
              <w:spacing w:after="20" w:line="245" w:lineRule="auto"/>
            </w:pPr>
            <w:r>
              <w:rPr>
                <w:b w:val="0"/>
                <w:sz w:val="18"/>
              </w:rPr>
              <w:t>Scope changed after first signature</w:t>
            </w:r>
          </w:p>
        </w:tc>
        <w:tc>
          <w:tcPr>
            <w:tcW w:type="dxa" w:w="4320"/>
            <w:vAlign w:val="center"/>
            <w:tcMar>
              <w:top w:w="90" w:type="dxa"/>
              <w:bottom w:w="90" w:type="dxa"/>
              <w:left w:w="110" w:type="dxa"/>
              <w:right w:w="110" w:type="dxa"/>
            </w:tcMar>
          </w:tcPr>
          <w:p>
            <w:pPr>
              <w:spacing w:after="20" w:line="245" w:lineRule="auto"/>
            </w:pPr>
            <w:r>
              <w:rPr>
                <w:b w:val="0"/>
                <w:sz w:val="18"/>
              </w:rPr>
              <w:t>No funding until both accept the same new version.</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T11 / 1A-PAY</w:t>
            </w:r>
          </w:p>
        </w:tc>
        <w:tc>
          <w:tcPr>
            <w:tcW w:type="dxa" w:w="4104"/>
            <w:vAlign w:val="center"/>
            <w:tcMar>
              <w:top w:w="90" w:type="dxa"/>
              <w:bottom w:w="90" w:type="dxa"/>
              <w:left w:w="110" w:type="dxa"/>
              <w:right w:w="110" w:type="dxa"/>
            </w:tcMar>
          </w:tcPr>
          <w:p>
            <w:pPr>
              <w:spacing w:after="20" w:line="245" w:lineRule="auto"/>
            </w:pPr>
            <w:r>
              <w:rPr>
                <w:b w:val="0"/>
                <w:sz w:val="18"/>
              </w:rPr>
              <w:t>Duplicate/out-of-order Stripe event</w:t>
            </w:r>
          </w:p>
        </w:tc>
        <w:tc>
          <w:tcPr>
            <w:tcW w:type="dxa" w:w="4320"/>
            <w:vAlign w:val="center"/>
            <w:tcMar>
              <w:top w:w="90" w:type="dxa"/>
              <w:bottom w:w="90" w:type="dxa"/>
              <w:left w:w="110" w:type="dxa"/>
              <w:right w:w="110" w:type="dxa"/>
            </w:tcMar>
          </w:tcPr>
          <w:p>
            <w:pPr>
              <w:spacing w:after="20" w:line="245" w:lineRule="auto"/>
            </w:pPr>
            <w:r>
              <w:rPr>
                <w:b w:val="0"/>
                <w:sz w:val="18"/>
              </w:rPr>
              <w:t>One journal effect; no duplicate charge/transfer.</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T12 / 1A-REVIEW</w:t>
            </w:r>
          </w:p>
        </w:tc>
        <w:tc>
          <w:tcPr>
            <w:tcW w:type="dxa" w:w="4104"/>
            <w:vAlign w:val="center"/>
            <w:tcMar>
              <w:top w:w="90" w:type="dxa"/>
              <w:bottom w:w="90" w:type="dxa"/>
              <w:left w:w="110" w:type="dxa"/>
              <w:right w:w="110" w:type="dxa"/>
            </w:tcMar>
          </w:tcPr>
          <w:p>
            <w:pPr>
              <w:spacing w:after="20" w:line="245" w:lineRule="auto"/>
            </w:pPr>
            <w:r>
              <w:rPr>
                <w:b w:val="0"/>
                <w:sz w:val="18"/>
              </w:rPr>
              <w:t>95 score but mandatory legal review missing</w:t>
            </w:r>
          </w:p>
        </w:tc>
        <w:tc>
          <w:tcPr>
            <w:tcW w:type="dxa" w:w="4320"/>
            <w:vAlign w:val="center"/>
            <w:tcMar>
              <w:top w:w="90" w:type="dxa"/>
              <w:bottom w:w="90" w:type="dxa"/>
              <w:left w:w="110" w:type="dxa"/>
              <w:right w:w="110" w:type="dxa"/>
            </w:tcMar>
          </w:tcPr>
          <w:p>
            <w:pPr>
              <w:spacing w:after="20" w:line="245" w:lineRule="auto"/>
            </w:pPr>
            <w:r>
              <w:rPr>
                <w:b w:val="0"/>
                <w:sz w:val="18"/>
              </w:rPr>
              <w:t>No timeout acceptance or transfer.</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T13 / 1A-RECUR</w:t>
            </w:r>
          </w:p>
        </w:tc>
        <w:tc>
          <w:tcPr>
            <w:tcW w:type="dxa" w:w="4104"/>
            <w:vAlign w:val="center"/>
            <w:tcMar>
              <w:top w:w="90" w:type="dxa"/>
              <w:bottom w:w="90" w:type="dxa"/>
              <w:left w:w="110" w:type="dxa"/>
              <w:right w:w="110" w:type="dxa"/>
            </w:tcMar>
          </w:tcPr>
          <w:p>
            <w:pPr>
              <w:spacing w:after="20" w:line="245" w:lineRule="auto"/>
            </w:pPr>
            <w:r>
              <w:rPr>
                <w:b w:val="0"/>
                <w:sz w:val="18"/>
              </w:rPr>
              <w:t>Cancel while renewal worker executes</w:t>
            </w:r>
          </w:p>
        </w:tc>
        <w:tc>
          <w:tcPr>
            <w:tcW w:type="dxa" w:w="4320"/>
            <w:vAlign w:val="center"/>
            <w:tcMar>
              <w:top w:w="90" w:type="dxa"/>
              <w:bottom w:w="90" w:type="dxa"/>
              <w:left w:w="110" w:type="dxa"/>
              <w:right w:w="110" w:type="dxa"/>
            </w:tcMar>
          </w:tcPr>
          <w:p>
            <w:pPr>
              <w:spacing w:after="20" w:line="245" w:lineRule="auto"/>
            </w:pPr>
            <w:r>
              <w:rPr>
                <w:b w:val="0"/>
                <w:sz w:val="18"/>
              </w:rPr>
              <w:t>Atomic effective-date check; no unauthorized next-period charge.</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T14 / 1A-RISK</w:t>
            </w:r>
          </w:p>
        </w:tc>
        <w:tc>
          <w:tcPr>
            <w:tcW w:type="dxa" w:w="4104"/>
            <w:vAlign w:val="center"/>
            <w:tcMar>
              <w:top w:w="90" w:type="dxa"/>
              <w:bottom w:w="90" w:type="dxa"/>
              <w:left w:w="110" w:type="dxa"/>
              <w:right w:w="110" w:type="dxa"/>
            </w:tcMar>
          </w:tcPr>
          <w:p>
            <w:pPr>
              <w:spacing w:after="20" w:line="245" w:lineRule="auto"/>
            </w:pPr>
            <w:r>
              <w:rPr>
                <w:b w:val="0"/>
                <w:sz w:val="18"/>
              </w:rPr>
              <w:t>Chargeback after payout / duplicate notification</w:t>
            </w:r>
          </w:p>
        </w:tc>
        <w:tc>
          <w:tcPr>
            <w:tcW w:type="dxa" w:w="4320"/>
            <w:vAlign w:val="center"/>
            <w:tcMar>
              <w:top w:w="90" w:type="dxa"/>
              <w:bottom w:w="90" w:type="dxa"/>
              <w:left w:w="110" w:type="dxa"/>
              <w:right w:w="110" w:type="dxa"/>
            </w:tcMar>
          </w:tcPr>
          <w:p>
            <w:pPr>
              <w:spacing w:after="20" w:line="245" w:lineRule="auto"/>
            </w:pPr>
            <w:r>
              <w:rPr>
                <w:b w:val="0"/>
                <w:sz w:val="18"/>
              </w:rPr>
              <w:t>Correct exposure, hold and distinct dispute count; no guaranteed recovery.</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T15 / 1A-WEB</w:t>
            </w:r>
          </w:p>
        </w:tc>
        <w:tc>
          <w:tcPr>
            <w:tcW w:type="dxa" w:w="4104"/>
            <w:vAlign w:val="center"/>
            <w:tcMar>
              <w:top w:w="90" w:type="dxa"/>
              <w:bottom w:w="90" w:type="dxa"/>
              <w:left w:w="110" w:type="dxa"/>
              <w:right w:w="110" w:type="dxa"/>
            </w:tcMar>
          </w:tcPr>
          <w:p>
            <w:pPr>
              <w:spacing w:after="20" w:line="245" w:lineRule="auto"/>
            </w:pPr>
            <w:r>
              <w:rPr>
                <w:b w:val="0"/>
                <w:sz w:val="18"/>
              </w:rPr>
              <w:t>Webhook URL resolves to private address</w:t>
            </w:r>
          </w:p>
        </w:tc>
        <w:tc>
          <w:tcPr>
            <w:tcW w:type="dxa" w:w="4320"/>
            <w:vAlign w:val="center"/>
            <w:tcMar>
              <w:top w:w="90" w:type="dxa"/>
              <w:bottom w:w="90" w:type="dxa"/>
              <w:left w:w="110" w:type="dxa"/>
              <w:right w:w="110" w:type="dxa"/>
            </w:tcMar>
          </w:tcPr>
          <w:p>
            <w:pPr>
              <w:spacing w:after="20" w:line="245" w:lineRule="auto"/>
            </w:pPr>
            <w:r>
              <w:rPr>
                <w:b w:val="0"/>
                <w:sz w:val="18"/>
              </w:rPr>
              <w:t>Block network request; no secret/metadata exposure.</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T16 / 1A-OPS</w:t>
            </w:r>
          </w:p>
        </w:tc>
        <w:tc>
          <w:tcPr>
            <w:tcW w:type="dxa" w:w="4104"/>
            <w:vAlign w:val="center"/>
            <w:tcMar>
              <w:top w:w="90" w:type="dxa"/>
              <w:bottom w:w="90" w:type="dxa"/>
              <w:left w:w="110" w:type="dxa"/>
              <w:right w:w="110" w:type="dxa"/>
            </w:tcMar>
          </w:tcPr>
          <w:p>
            <w:pPr>
              <w:spacing w:after="20" w:line="245" w:lineRule="auto"/>
            </w:pPr>
            <w:r>
              <w:rPr>
                <w:b w:val="0"/>
                <w:sz w:val="18"/>
              </w:rPr>
              <w:t>Restore database and object backup</w:t>
            </w:r>
          </w:p>
        </w:tc>
        <w:tc>
          <w:tcPr>
            <w:tcW w:type="dxa" w:w="4320"/>
            <w:vAlign w:val="center"/>
            <w:tcMar>
              <w:top w:w="90" w:type="dxa"/>
              <w:bottom w:w="90" w:type="dxa"/>
              <w:left w:w="110" w:type="dxa"/>
              <w:right w:w="110" w:type="dxa"/>
            </w:tcMar>
          </w:tcPr>
          <w:p>
            <w:pPr>
              <w:spacing w:after="20" w:line="245" w:lineRule="auto"/>
            </w:pPr>
            <w:r>
              <w:rPr>
                <w:b w:val="0"/>
                <w:sz w:val="18"/>
              </w:rPr>
              <w:t>Recover relationships; replay deletions; reconcile provider without money replay.</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T17 / 1A-AUTO</w:t>
            </w:r>
          </w:p>
        </w:tc>
        <w:tc>
          <w:tcPr>
            <w:tcW w:type="dxa" w:w="4104"/>
            <w:vAlign w:val="center"/>
            <w:tcMar>
              <w:top w:w="90" w:type="dxa"/>
              <w:bottom w:w="90" w:type="dxa"/>
              <w:left w:w="110" w:type="dxa"/>
              <w:right w:w="110" w:type="dxa"/>
            </w:tcMar>
          </w:tcPr>
          <w:p>
            <w:pPr>
              <w:spacing w:after="20" w:line="245" w:lineRule="auto"/>
            </w:pPr>
            <w:r>
              <w:rPr>
                <w:b w:val="0"/>
                <w:sz w:val="18"/>
              </w:rPr>
              <w:t>Standing mandate revoked before execution</w:t>
            </w:r>
          </w:p>
        </w:tc>
        <w:tc>
          <w:tcPr>
            <w:tcW w:type="dxa" w:w="4320"/>
            <w:vAlign w:val="center"/>
            <w:tcMar>
              <w:top w:w="90" w:type="dxa"/>
              <w:bottom w:w="90" w:type="dxa"/>
              <w:left w:w="110" w:type="dxa"/>
              <w:right w:w="110" w:type="dxa"/>
            </w:tcMar>
          </w:tcPr>
          <w:p>
            <w:pPr>
              <w:spacing w:after="20" w:line="245" w:lineRule="auto"/>
            </w:pPr>
            <w:r>
              <w:rPr>
                <w:b w:val="0"/>
                <w:sz w:val="18"/>
              </w:rPr>
              <w:t>Pending assignment/charge blocked.</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T18 / 1A-REP</w:t>
            </w:r>
          </w:p>
        </w:tc>
        <w:tc>
          <w:tcPr>
            <w:tcW w:type="dxa" w:w="4104"/>
            <w:vAlign w:val="center"/>
            <w:tcMar>
              <w:top w:w="90" w:type="dxa"/>
              <w:bottom w:w="90" w:type="dxa"/>
              <w:left w:w="110" w:type="dxa"/>
              <w:right w:w="110" w:type="dxa"/>
            </w:tcMar>
          </w:tcPr>
          <w:p>
            <w:pPr>
              <w:spacing w:after="20" w:line="245" w:lineRule="auto"/>
            </w:pPr>
            <w:r>
              <w:rPr>
                <w:b w:val="0"/>
                <w:sz w:val="18"/>
              </w:rPr>
              <w:t>Negative eligible review submitted</w:t>
            </w:r>
          </w:p>
        </w:tc>
        <w:tc>
          <w:tcPr>
            <w:tcW w:type="dxa" w:w="4320"/>
            <w:vAlign w:val="center"/>
            <w:tcMar>
              <w:top w:w="90" w:type="dxa"/>
              <w:bottom w:w="90" w:type="dxa"/>
              <w:left w:w="110" w:type="dxa"/>
              <w:right w:w="110" w:type="dxa"/>
            </w:tcMar>
          </w:tcPr>
          <w:p>
            <w:pPr>
              <w:spacing w:after="20" w:line="245" w:lineRule="auto"/>
            </w:pPr>
            <w:r>
              <w:rPr>
                <w:b w:val="0"/>
                <w:sz w:val="18"/>
              </w:rPr>
              <w:t>Publish under neutral policy; no sentiment-based suppression.</w:t>
            </w:r>
          </w:p>
        </w:tc>
      </w:tr>
    </w:tbl>
    <w:p>
      <w:pPr>
        <w:spacing w:after="20"/>
      </w:pPr>
    </w:p>
    <w:p>
      <w:r>
        <w:rPr>
          <w:b w:val="0"/>
        </w:rPr>
        <w:t>Each automated test must record fixture, requirement/decision ID, environment, commit and result. Add manual keyboard/screen-reader/mobile tests; staged load and outage tests; qualified human review of AI evaluation cases. Passing synthetic tests does not establish legal correctness or production security.</w:t>
      </w:r>
    </w:p>
    <w:p>
      <w:r>
        <w:br w:type="page"/>
      </w:r>
    </w:p>
    <w:p>
      <w:pPr>
        <w:pStyle w:val="Heading1"/>
      </w:pPr>
      <w:r>
        <w:t>32. Implementation work packages and build prompts</w:t>
      </w:r>
    </w:p>
    <w:p>
      <w:r>
        <w:rPr>
          <w:b w:val="0"/>
        </w:rPr>
        <w:t>These are future execution instructions. Only document preparation is authorized now. Use the sequence to avoid coding downstream features on unapproved policies.</w:t>
      </w:r>
    </w:p>
    <w:tbl>
      <w:tblPr>
        <w:tblW w:type="auto" w:w="0"/>
        <w:jc w:val="center"/>
        <w:tblLayout w:type="fixed"/>
        <w:tblLook w:firstColumn="1" w:firstRow="1" w:lastColumn="0" w:lastRow="0" w:noHBand="0" w:noVBand="1" w:val="04A0"/>
      </w:tblPr>
      <w:tblGrid>
        <w:gridCol w:w="1800"/>
        <w:gridCol w:w="6048"/>
        <w:gridCol w:w="2376"/>
      </w:tblGrid>
      <w:tr>
        <w:trPr>
          <w:tblHeader/>
          <w:cantSplit/>
        </w:trPr>
        <w:tc>
          <w:tcPr>
            <w:tcW w:type="dxa" w:w="1800"/>
            <w:vAlign w:val="center"/>
            <w:tcMar>
              <w:top w:w="90" w:type="dxa"/>
              <w:bottom w:w="90" w:type="dxa"/>
              <w:left w:w="110" w:type="dxa"/>
              <w:right w:w="110" w:type="dxa"/>
            </w:tcMar>
            <w:shd w:fill="8B1F3F"/>
          </w:tcPr>
          <w:p>
            <w:pPr>
              <w:spacing w:after="20" w:line="245" w:lineRule="auto"/>
            </w:pPr>
            <w:r>
              <w:rPr>
                <w:b/>
                <w:color w:val="FFFFFF"/>
                <w:sz w:val="18"/>
              </w:rPr>
              <w:t>Package</w:t>
            </w:r>
          </w:p>
        </w:tc>
        <w:tc>
          <w:tcPr>
            <w:tcW w:type="dxa" w:w="6048"/>
            <w:vAlign w:val="center"/>
            <w:tcMar>
              <w:top w:w="90" w:type="dxa"/>
              <w:bottom w:w="90" w:type="dxa"/>
              <w:left w:w="110" w:type="dxa"/>
              <w:right w:w="110" w:type="dxa"/>
            </w:tcMar>
            <w:shd w:fill="8B1F3F"/>
          </w:tcPr>
          <w:p>
            <w:pPr>
              <w:spacing w:after="20" w:line="245" w:lineRule="auto"/>
            </w:pPr>
            <w:r>
              <w:rPr>
                <w:b/>
                <w:color w:val="FFFFFF"/>
                <w:sz w:val="18"/>
              </w:rPr>
              <w:t>Requirement families / deliverable</w:t>
            </w:r>
          </w:p>
        </w:tc>
        <w:tc>
          <w:tcPr>
            <w:tcW w:type="dxa" w:w="2376"/>
            <w:vAlign w:val="center"/>
            <w:tcMar>
              <w:top w:w="90" w:type="dxa"/>
              <w:bottom w:w="90" w:type="dxa"/>
              <w:left w:w="110" w:type="dxa"/>
              <w:right w:w="110" w:type="dxa"/>
            </w:tcMar>
            <w:shd w:fill="8B1F3F"/>
          </w:tcPr>
          <w:p>
            <w:pPr>
              <w:spacing w:after="20" w:line="245" w:lineRule="auto"/>
            </w:pPr>
            <w:r>
              <w:rPr>
                <w:b/>
                <w:color w:val="FFFFFF"/>
                <w:sz w:val="18"/>
              </w:rPr>
              <w:t>Depends on</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WP1 Architecture inventory</w:t>
            </w:r>
          </w:p>
        </w:tc>
        <w:tc>
          <w:tcPr>
            <w:tcW w:type="dxa" w:w="6048"/>
            <w:vAlign w:val="center"/>
            <w:tcMar>
              <w:top w:w="90" w:type="dxa"/>
              <w:bottom w:w="90" w:type="dxa"/>
              <w:left w:w="110" w:type="dxa"/>
              <w:right w:w="110" w:type="dxa"/>
            </w:tcMar>
          </w:tcPr>
          <w:p>
            <w:pPr>
              <w:spacing w:after="20" w:line="245" w:lineRule="auto"/>
            </w:pPr>
            <w:r>
              <w:rPr>
                <w:b w:val="0"/>
                <w:sz w:val="18"/>
              </w:rPr>
              <w:t>BD capabilities, source-of-truth contracts, decision gaps, threat model and environment plan.</w:t>
            </w:r>
          </w:p>
        </w:tc>
        <w:tc>
          <w:tcPr>
            <w:tcW w:type="dxa" w:w="2376"/>
            <w:vAlign w:val="center"/>
            <w:tcMar>
              <w:top w:w="90" w:type="dxa"/>
              <w:bottom w:w="90" w:type="dxa"/>
              <w:left w:w="110" w:type="dxa"/>
              <w:right w:w="110" w:type="dxa"/>
            </w:tcMar>
          </w:tcPr>
          <w:p>
            <w:pPr>
              <w:spacing w:after="20" w:line="245" w:lineRule="auto"/>
            </w:pPr>
            <w:r>
              <w:rPr>
                <w:b w:val="0"/>
                <w:sz w:val="18"/>
              </w:rPr>
              <w:t>Read-only access authorization</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WP2 Shared foundation</w:t>
            </w:r>
          </w:p>
        </w:tc>
        <w:tc>
          <w:tcPr>
            <w:tcW w:type="dxa" w:w="6048"/>
            <w:vAlign w:val="center"/>
            <w:tcMar>
              <w:top w:w="90" w:type="dxa"/>
              <w:bottom w:w="90" w:type="dxa"/>
              <w:left w:w="110" w:type="dxa"/>
              <w:right w:w="110" w:type="dxa"/>
            </w:tcMar>
          </w:tcPr>
          <w:p>
            <w:pPr>
              <w:spacing w:after="20" w:line="245" w:lineRule="auto"/>
            </w:pPr>
            <w:r>
              <w:rPr>
                <w:b w:val="0"/>
                <w:sz w:val="18"/>
              </w:rPr>
              <w:t>1A-AUTH/ACL/ENT/OPS: identity, tenants, grants, quotas, jobs, audit and flags.</w:t>
            </w:r>
          </w:p>
        </w:tc>
        <w:tc>
          <w:tcPr>
            <w:tcW w:type="dxa" w:w="2376"/>
            <w:vAlign w:val="center"/>
            <w:tcMar>
              <w:top w:w="90" w:type="dxa"/>
              <w:bottom w:w="90" w:type="dxa"/>
              <w:left w:w="110" w:type="dxa"/>
              <w:right w:w="110" w:type="dxa"/>
            </w:tcMar>
          </w:tcPr>
          <w:p>
            <w:pPr>
              <w:spacing w:after="20" w:line="245" w:lineRule="auto"/>
            </w:pPr>
            <w:r>
              <w:rPr>
                <w:b w:val="0"/>
                <w:sz w:val="18"/>
              </w:rPr>
              <w:t>WP1 / identity and billing authority</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WP3 DELA planning</w:t>
            </w:r>
          </w:p>
        </w:tc>
        <w:tc>
          <w:tcPr>
            <w:tcW w:type="dxa" w:w="6048"/>
            <w:vAlign w:val="center"/>
            <w:tcMar>
              <w:top w:w="90" w:type="dxa"/>
              <w:bottom w:w="90" w:type="dxa"/>
              <w:left w:w="110" w:type="dxa"/>
              <w:right w:w="110" w:type="dxa"/>
            </w:tcMar>
          </w:tcPr>
          <w:p>
            <w:pPr>
              <w:spacing w:after="20" w:line="245" w:lineRule="auto"/>
            </w:pPr>
            <w:r>
              <w:rPr>
                <w:b w:val="0"/>
                <w:sz w:val="18"/>
              </w:rPr>
              <w:t>1A-AI/MEM/PLAY: gateway/BYOK, private context, playbooks, exports, catalog.</w:t>
            </w:r>
          </w:p>
        </w:tc>
        <w:tc>
          <w:tcPr>
            <w:tcW w:type="dxa" w:w="2376"/>
            <w:vAlign w:val="center"/>
            <w:tcMar>
              <w:top w:w="90" w:type="dxa"/>
              <w:bottom w:w="90" w:type="dxa"/>
              <w:left w:w="110" w:type="dxa"/>
              <w:right w:w="110" w:type="dxa"/>
            </w:tcMar>
          </w:tcPr>
          <w:p>
            <w:pPr>
              <w:spacing w:after="20" w:line="245" w:lineRule="auto"/>
            </w:pPr>
            <w:r>
              <w:rPr>
                <w:b w:val="0"/>
                <w:sz w:val="18"/>
              </w:rPr>
              <w:t>WP2 / data/provider policies</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WP4 Marketplace &amp; collaboration</w:t>
            </w:r>
          </w:p>
        </w:tc>
        <w:tc>
          <w:tcPr>
            <w:tcW w:type="dxa" w:w="6048"/>
            <w:vAlign w:val="center"/>
            <w:tcMar>
              <w:top w:w="90" w:type="dxa"/>
              <w:bottom w:w="90" w:type="dxa"/>
              <w:left w:w="110" w:type="dxa"/>
              <w:right w:w="110" w:type="dxa"/>
            </w:tcMar>
          </w:tcPr>
          <w:p>
            <w:pPr>
              <w:spacing w:after="20" w:line="245" w:lineRule="auto"/>
            </w:pPr>
            <w:r>
              <w:rPr>
                <w:b w:val="0"/>
                <w:sz w:val="18"/>
              </w:rPr>
              <w:t>1A-GIG/BOOK/CHAT/REP: readiness, matching, gigs/proposals, booking/chat, benches and reviews.</w:t>
            </w:r>
          </w:p>
        </w:tc>
        <w:tc>
          <w:tcPr>
            <w:tcW w:type="dxa" w:w="2376"/>
            <w:vAlign w:val="center"/>
            <w:tcMar>
              <w:top w:w="90" w:type="dxa"/>
              <w:bottom w:w="90" w:type="dxa"/>
              <w:left w:w="110" w:type="dxa"/>
              <w:right w:w="110" w:type="dxa"/>
            </w:tcMar>
          </w:tcPr>
          <w:p>
            <w:pPr>
              <w:spacing w:after="20" w:line="245" w:lineRule="auto"/>
            </w:pPr>
            <w:r>
              <w:rPr>
                <w:b w:val="0"/>
                <w:sz w:val="18"/>
              </w:rPr>
              <w:t>WP2 / scope-specific policies</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WP5 Transactions</w:t>
            </w:r>
          </w:p>
        </w:tc>
        <w:tc>
          <w:tcPr>
            <w:tcW w:type="dxa" w:w="6048"/>
            <w:vAlign w:val="center"/>
            <w:tcMar>
              <w:top w:w="90" w:type="dxa"/>
              <w:bottom w:w="90" w:type="dxa"/>
              <w:left w:w="110" w:type="dxa"/>
              <w:right w:w="110" w:type="dxa"/>
            </w:tcMar>
          </w:tcPr>
          <w:p>
            <w:pPr>
              <w:spacing w:after="20" w:line="245" w:lineRule="auto"/>
            </w:pPr>
            <w:r>
              <w:rPr>
                <w:b w:val="0"/>
                <w:sz w:val="18"/>
              </w:rPr>
              <w:t>1A-CONTRACT/PAY/REVIEW/RECUR/RISK: test-mode end-to-end money and exceptions.</w:t>
            </w:r>
          </w:p>
        </w:tc>
        <w:tc>
          <w:tcPr>
            <w:tcW w:type="dxa" w:w="2376"/>
            <w:vAlign w:val="center"/>
            <w:tcMar>
              <w:top w:w="90" w:type="dxa"/>
              <w:bottom w:w="90" w:type="dxa"/>
              <w:left w:w="110" w:type="dxa"/>
              <w:right w:w="110" w:type="dxa"/>
            </w:tcMar>
          </w:tcPr>
          <w:p>
            <w:pPr>
              <w:spacing w:after="20" w:line="245" w:lineRule="auto"/>
            </w:pPr>
            <w:r>
              <w:rPr>
                <w:b w:val="0"/>
                <w:sz w:val="18"/>
              </w:rPr>
              <w:t>WP2-4 / legal and financial design</w:t>
            </w:r>
          </w:p>
        </w:tc>
      </w:tr>
      <w:tr>
        <w:trPr>
          <w:cantSplit/>
        </w:trPr>
        <w:tc>
          <w:tcPr>
            <w:tcW w:type="dxa" w:w="1800"/>
            <w:vAlign w:val="center"/>
            <w:tcMar>
              <w:top w:w="90" w:type="dxa"/>
              <w:bottom w:w="90" w:type="dxa"/>
              <w:left w:w="110" w:type="dxa"/>
              <w:right w:w="110" w:type="dxa"/>
            </w:tcMar>
          </w:tcPr>
          <w:p>
            <w:pPr>
              <w:spacing w:after="20" w:line="245" w:lineRule="auto"/>
            </w:pPr>
            <w:r>
              <w:rPr>
                <w:b w:val="0"/>
                <w:sz w:val="18"/>
              </w:rPr>
              <w:t>WP6 Retention / release</w:t>
            </w:r>
          </w:p>
        </w:tc>
        <w:tc>
          <w:tcPr>
            <w:tcW w:type="dxa" w:w="6048"/>
            <w:vAlign w:val="center"/>
            <w:tcMar>
              <w:top w:w="90" w:type="dxa"/>
              <w:bottom w:w="90" w:type="dxa"/>
              <w:left w:w="110" w:type="dxa"/>
              <w:right w:w="110" w:type="dxa"/>
            </w:tcMar>
          </w:tcPr>
          <w:p>
            <w:pPr>
              <w:spacing w:after="20" w:line="245" w:lineRule="auto"/>
            </w:pPr>
            <w:r>
              <w:rPr>
                <w:b w:val="0"/>
                <w:sz w:val="18"/>
              </w:rPr>
              <w:t>1A-AUTO/WEB: constrained repeats, proactive bench, webhooks, full metrics and launch evidence.</w:t>
            </w:r>
          </w:p>
        </w:tc>
        <w:tc>
          <w:tcPr>
            <w:tcW w:type="dxa" w:w="2376"/>
            <w:vAlign w:val="center"/>
            <w:tcMar>
              <w:top w:w="90" w:type="dxa"/>
              <w:bottom w:w="90" w:type="dxa"/>
              <w:left w:w="110" w:type="dxa"/>
              <w:right w:w="110" w:type="dxa"/>
            </w:tcMar>
          </w:tcPr>
          <w:p>
            <w:pPr>
              <w:spacing w:after="20" w:line="245" w:lineRule="auto"/>
            </w:pPr>
            <w:r>
              <w:rPr>
                <w:b w:val="0"/>
                <w:sz w:val="18"/>
              </w:rPr>
              <w:t>Approved mandate / all hard gates</w:t>
            </w:r>
          </w:p>
        </w:tc>
      </w:tr>
    </w:tbl>
    <w:p>
      <w:pPr>
        <w:spacing w:after="20"/>
      </w:pPr>
    </w:p>
    <w:p>
      <w:pPr>
        <w:pStyle w:val="Heading2"/>
      </w:pPr>
      <w:r>
        <w:t>Phase 1 planning prompt</w:t>
      </w:r>
    </w:p>
    <w:p>
      <w:pPr>
        <w:spacing w:after="140" w:line="240" w:lineRule="auto"/>
        <w:shd w:fill="F3F3F3"/>
      </w:pPr>
      <w:r>
        <w:rPr>
          <w:rFonts w:ascii="Consolas" w:hAnsi="Consolas"/>
          <w:sz w:val="18"/>
        </w:rPr>
        <w:t>Read 00 guide and 01 Phase 1A v1.0 completely. Produce a</w:t>
        <w:br/>
        <w:t>requirement-to-module/test/event matrix for the selected WP.</w:t>
        <w:br/>
        <w:t>Reconcile C decisions and list all O/G dependencies. Audit</w:t>
        <w:br/>
        <w:t>existing BD integration points before proposing replacements.</w:t>
        <w:br/>
        <w:t>Propose data/API/event contracts and failure recovery.</w:t>
        <w:br/>
        <w:t>Do not implement or connect live services yet. Do not assume</w:t>
        <w:br/>
        <w:t>$250, 90 days, subscription prices or AI quotas are final.</w:t>
      </w:r>
    </w:p>
    <w:p>
      <w:pPr>
        <w:pStyle w:val="Heading2"/>
      </w:pPr>
      <w:r>
        <w:t>Prompt after explicit coding authorization</w:t>
      </w:r>
    </w:p>
    <w:p>
      <w:pPr>
        <w:spacing w:after="140" w:line="240" w:lineRule="auto"/>
        <w:shd w:fill="F3F3F3"/>
      </w:pPr>
      <w:r>
        <w:rPr>
          <w:rFonts w:ascii="Consolas" w:hAnsi="Consolas"/>
          <w:sz w:val="18"/>
        </w:rPr>
        <w:t>Implement only approved WP [ID] in isolated development.</w:t>
        <w:br/>
        <w:t>State the accepted baseline/ADR versions and changed files.</w:t>
        <w:br/>
        <w:t>Add positive, permission-denial, race, retry and failure tests.</w:t>
        <w:br/>
        <w:t>Keep all provider calls behind adapters and high-risk flags off.</w:t>
        <w:br/>
        <w:t>Return full changed files, migration/recovery plan, test evidence,</w:t>
        <w:br/>
        <w:t>remaining dependencies and staging steps. Do not deploy live,</w:t>
        <w:br/>
        <w:t>modify BD core, alter existing subscriptions or access real</w:t>
        <w:br/>
        <w:t>client records without separate written authorization.</w:t>
      </w:r>
    </w:p>
    <w:p>
      <w:r>
        <w:rPr>
          <w:b w:val="0"/>
        </w:rPr>
        <w:t>Completion evidence includes code review, source references for vendor methods, test results, accessibility check, cost estimates, rollback verification and a signed release checklist. The developer must report untested assumptions, not label them passed.</w:t>
      </w:r>
    </w:p>
    <w:p>
      <w:r>
        <w:br w:type="page"/>
      </w:r>
    </w:p>
    <w:p>
      <w:pPr>
        <w:pStyle w:val="Heading1"/>
      </w:pPr>
      <w:r>
        <w:t>33. Build now so future phases fit</w:t>
      </w:r>
    </w:p>
    <w:tbl>
      <w:tblPr>
        <w:tblW w:type="auto" w:w="0"/>
        <w:jc w:val="center"/>
        <w:tblLayout w:type="fixed"/>
        <w:tblLook w:firstColumn="1" w:firstRow="1" w:lastColumn="0" w:lastRow="0" w:noHBand="0" w:noVBand="1" w:val="04A0"/>
      </w:tblPr>
      <w:tblGrid>
        <w:gridCol w:w="2088"/>
        <w:gridCol w:w="5400"/>
        <w:gridCol w:w="2736"/>
      </w:tblGrid>
      <w:tr>
        <w:trPr>
          <w:tblHeader/>
          <w:cantSplit/>
        </w:trPr>
        <w:tc>
          <w:tcPr>
            <w:tcW w:type="dxa" w:w="2088"/>
            <w:vAlign w:val="center"/>
            <w:tcMar>
              <w:top w:w="90" w:type="dxa"/>
              <w:bottom w:w="90" w:type="dxa"/>
              <w:left w:w="110" w:type="dxa"/>
              <w:right w:w="110" w:type="dxa"/>
            </w:tcMar>
            <w:shd w:fill="8B1F3F"/>
          </w:tcPr>
          <w:p>
            <w:pPr>
              <w:spacing w:after="20" w:line="245" w:lineRule="auto"/>
            </w:pPr>
            <w:r>
              <w:rPr>
                <w:b/>
                <w:color w:val="FFFFFF"/>
                <w:sz w:val="18"/>
              </w:rPr>
              <w:t>Future need</w:t>
            </w:r>
          </w:p>
        </w:tc>
        <w:tc>
          <w:tcPr>
            <w:tcW w:type="dxa" w:w="5400"/>
            <w:vAlign w:val="center"/>
            <w:tcMar>
              <w:top w:w="90" w:type="dxa"/>
              <w:bottom w:w="90" w:type="dxa"/>
              <w:left w:w="110" w:type="dxa"/>
              <w:right w:w="110" w:type="dxa"/>
            </w:tcMar>
            <w:shd w:fill="8B1F3F"/>
          </w:tcPr>
          <w:p>
            <w:pPr>
              <w:spacing w:after="20" w:line="245" w:lineRule="auto"/>
            </w:pPr>
            <w:r>
              <w:rPr>
                <w:b/>
                <w:color w:val="FFFFFF"/>
                <w:sz w:val="18"/>
              </w:rPr>
              <w:t>Phase 1 foundation required</w:t>
            </w:r>
          </w:p>
        </w:tc>
        <w:tc>
          <w:tcPr>
            <w:tcW w:type="dxa" w:w="2736"/>
            <w:vAlign w:val="center"/>
            <w:tcMar>
              <w:top w:w="90" w:type="dxa"/>
              <w:bottom w:w="90" w:type="dxa"/>
              <w:left w:w="110" w:type="dxa"/>
              <w:right w:w="110" w:type="dxa"/>
            </w:tcMar>
            <w:shd w:fill="8B1F3F"/>
          </w:tcPr>
          <w:p>
            <w:pPr>
              <w:spacing w:after="20" w:line="245" w:lineRule="auto"/>
            </w:pPr>
            <w:r>
              <w:rPr>
                <w:b/>
                <w:color w:val="FFFFFF"/>
                <w:sz w:val="18"/>
              </w:rPr>
              <w:t>Do not build prematurely</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Capture / browser clients</w:t>
            </w:r>
          </w:p>
        </w:tc>
        <w:tc>
          <w:tcPr>
            <w:tcW w:type="dxa" w:w="5400"/>
            <w:vAlign w:val="center"/>
            <w:tcMar>
              <w:top w:w="90" w:type="dxa"/>
              <w:bottom w:w="90" w:type="dxa"/>
              <w:left w:w="110" w:type="dxa"/>
              <w:right w:w="110" w:type="dxa"/>
            </w:tcMar>
          </w:tcPr>
          <w:p>
            <w:pPr>
              <w:spacing w:after="20" w:line="245" w:lineRule="auto"/>
            </w:pPr>
            <w:r>
              <w:rPr>
                <w:b w:val="0"/>
                <w:sz w:val="18"/>
              </w:rPr>
              <w:t>Origin-tagged artifact schema, private upload jobs, redaction/publish states and user-scoped API.</w:t>
            </w:r>
          </w:p>
        </w:tc>
        <w:tc>
          <w:tcPr>
            <w:tcW w:type="dxa" w:w="2736"/>
            <w:vAlign w:val="center"/>
            <w:tcMar>
              <w:top w:w="90" w:type="dxa"/>
              <w:bottom w:w="90" w:type="dxa"/>
              <w:left w:w="110" w:type="dxa"/>
              <w:right w:w="110" w:type="dxa"/>
            </w:tcMar>
          </w:tcPr>
          <w:p>
            <w:pPr>
              <w:spacing w:after="20" w:line="245" w:lineRule="auto"/>
            </w:pPr>
            <w:r>
              <w:rPr>
                <w:b w:val="0"/>
                <w:sz w:val="18"/>
              </w:rPr>
              <w:t>Desktop recorder or unrestricted all-sites capture.</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Clio / email / calendars</w:t>
            </w:r>
          </w:p>
        </w:tc>
        <w:tc>
          <w:tcPr>
            <w:tcW w:type="dxa" w:w="5400"/>
            <w:vAlign w:val="center"/>
            <w:tcMar>
              <w:top w:w="90" w:type="dxa"/>
              <w:bottom w:w="90" w:type="dxa"/>
              <w:left w:w="110" w:type="dxa"/>
              <w:right w:w="110" w:type="dxa"/>
            </w:tcMar>
          </w:tcPr>
          <w:p>
            <w:pPr>
              <w:spacing w:after="20" w:line="245" w:lineRule="auto"/>
            </w:pPr>
            <w:r>
              <w:rPr>
                <w:b w:val="0"/>
                <w:sz w:val="18"/>
              </w:rPr>
              <w:t>Connection/capability records, encrypted secret refs, external ID map, versioned events and cursor/retry model.</w:t>
            </w:r>
          </w:p>
        </w:tc>
        <w:tc>
          <w:tcPr>
            <w:tcW w:type="dxa" w:w="2736"/>
            <w:vAlign w:val="center"/>
            <w:tcMar>
              <w:top w:w="90" w:type="dxa"/>
              <w:bottom w:w="90" w:type="dxa"/>
              <w:left w:w="110" w:type="dxa"/>
              <w:right w:w="110" w:type="dxa"/>
            </w:tcMar>
          </w:tcPr>
          <w:p>
            <w:pPr>
              <w:spacing w:after="20" w:line="245" w:lineRule="auto"/>
            </w:pPr>
            <w:r>
              <w:rPr>
                <w:b w:val="0"/>
                <w:sz w:val="18"/>
              </w:rPr>
              <w:t>Whole-mailbox imports or unsupported provider writes.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Paid playbooks</w:t>
            </w:r>
          </w:p>
        </w:tc>
        <w:tc>
          <w:tcPr>
            <w:tcW w:type="dxa" w:w="5400"/>
            <w:vAlign w:val="center"/>
            <w:tcMar>
              <w:top w:w="90" w:type="dxa"/>
              <w:bottom w:w="90" w:type="dxa"/>
              <w:left w:w="110" w:type="dxa"/>
              <w:right w:w="110" w:type="dxa"/>
            </w:tcMar>
          </w:tcPr>
          <w:p>
            <w:pPr>
              <w:spacing w:after="20" w:line="245" w:lineRule="auto"/>
            </w:pPr>
            <w:r>
              <w:rPr>
                <w:b w:val="0"/>
                <w:sz w:val="18"/>
              </w:rPr>
              <w:t>Immutable source version, owner/license fields, reusable template vs instance, entitlement source type.</w:t>
            </w:r>
          </w:p>
        </w:tc>
        <w:tc>
          <w:tcPr>
            <w:tcW w:type="dxa" w:w="2736"/>
            <w:vAlign w:val="center"/>
            <w:tcMar>
              <w:top w:w="90" w:type="dxa"/>
              <w:bottom w:w="90" w:type="dxa"/>
              <w:left w:w="110" w:type="dxa"/>
              <w:right w:w="110" w:type="dxa"/>
            </w:tcMar>
          </w:tcPr>
          <w:p>
            <w:pPr>
              <w:spacing w:after="20" w:line="245" w:lineRule="auto"/>
            </w:pPr>
            <w:r>
              <w:rPr>
                <w:b w:val="0"/>
                <w:sz w:val="18"/>
              </w:rPr>
              <w:t>Public listings or tax assumptions before marketplace gates.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AI Teams / MCP</w:t>
            </w:r>
          </w:p>
        </w:tc>
        <w:tc>
          <w:tcPr>
            <w:tcW w:type="dxa" w:w="5400"/>
            <w:vAlign w:val="center"/>
            <w:tcMar>
              <w:top w:w="90" w:type="dxa"/>
              <w:bottom w:w="90" w:type="dxa"/>
              <w:left w:w="110" w:type="dxa"/>
              <w:right w:w="110" w:type="dxa"/>
            </w:tcMar>
          </w:tcPr>
          <w:p>
            <w:pPr>
              <w:spacing w:after="20" w:line="245" w:lineRule="auto"/>
            </w:pPr>
            <w:r>
              <w:rPr>
                <w:b w:val="0"/>
                <w:sz w:val="18"/>
              </w:rPr>
              <w:t>Tool registry, action proposal/approval, scoped mandate, durable execution, idempotency and budgets.</w:t>
            </w:r>
          </w:p>
        </w:tc>
        <w:tc>
          <w:tcPr>
            <w:tcW w:type="dxa" w:w="2736"/>
            <w:vAlign w:val="center"/>
            <w:tcMar>
              <w:top w:w="90" w:type="dxa"/>
              <w:bottom w:w="90" w:type="dxa"/>
              <w:left w:w="110" w:type="dxa"/>
              <w:right w:w="110" w:type="dxa"/>
            </w:tcMar>
          </w:tcPr>
          <w:p>
            <w:pPr>
              <w:spacing w:after="20" w:line="245" w:lineRule="auto"/>
            </w:pPr>
            <w:r>
              <w:rPr>
                <w:b w:val="0"/>
                <w:sz w:val="18"/>
              </w:rPr>
              <w:t>Autonomous legal decisions or public third-party agents.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Second payment provider</w:t>
            </w:r>
          </w:p>
        </w:tc>
        <w:tc>
          <w:tcPr>
            <w:tcW w:type="dxa" w:w="5400"/>
            <w:vAlign w:val="center"/>
            <w:tcMar>
              <w:top w:w="90" w:type="dxa"/>
              <w:bottom w:w="90" w:type="dxa"/>
              <w:left w:w="110" w:type="dxa"/>
              <w:right w:w="110" w:type="dxa"/>
            </w:tcMar>
          </w:tcPr>
          <w:p>
            <w:pPr>
              <w:spacing w:after="20" w:line="245" w:lineRule="auto"/>
            </w:pPr>
            <w:r>
              <w:rPr>
                <w:b w:val="0"/>
                <w:sz w:val="18"/>
              </w:rPr>
              <w:t>Provider-neutral commands/status, per-engagement provider lock, complete financial ledger and raw references.</w:t>
            </w:r>
          </w:p>
        </w:tc>
        <w:tc>
          <w:tcPr>
            <w:tcW w:type="dxa" w:w="2736"/>
            <w:vAlign w:val="center"/>
            <w:tcMar>
              <w:top w:w="90" w:type="dxa"/>
              <w:bottom w:w="90" w:type="dxa"/>
              <w:left w:w="110" w:type="dxa"/>
              <w:right w:w="110" w:type="dxa"/>
            </w:tcMar>
          </w:tcPr>
          <w:p>
            <w:pPr>
              <w:spacing w:after="20" w:line="245" w:lineRule="auto"/>
            </w:pPr>
            <w:r>
              <w:rPr>
                <w:b w:val="0"/>
                <w:sz w:val="18"/>
              </w:rPr>
              <w:t>Refund/refund-and-recharge migrations without consent.</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Agency/team scale</w:t>
            </w:r>
          </w:p>
        </w:tc>
        <w:tc>
          <w:tcPr>
            <w:tcW w:type="dxa" w:w="5400"/>
            <w:vAlign w:val="center"/>
            <w:tcMar>
              <w:top w:w="90" w:type="dxa"/>
              <w:bottom w:w="90" w:type="dxa"/>
              <w:left w:w="110" w:type="dxa"/>
              <w:right w:w="110" w:type="dxa"/>
            </w:tcMar>
          </w:tcPr>
          <w:p>
            <w:pPr>
              <w:spacing w:after="20" w:line="245" w:lineRule="auto"/>
            </w:pPr>
            <w:r>
              <w:rPr>
                <w:b w:val="0"/>
                <w:sz w:val="18"/>
              </w:rPr>
              <w:t>Person vs organization separation, seat membership, capacity and engagement ACL.</w:t>
            </w:r>
          </w:p>
        </w:tc>
        <w:tc>
          <w:tcPr>
            <w:tcW w:type="dxa" w:w="2736"/>
            <w:vAlign w:val="center"/>
            <w:tcMar>
              <w:top w:w="90" w:type="dxa"/>
              <w:bottom w:w="90" w:type="dxa"/>
              <w:left w:w="110" w:type="dxa"/>
              <w:right w:w="110" w:type="dxa"/>
            </w:tcMar>
          </w:tcPr>
          <w:p>
            <w:pPr>
              <w:spacing w:after="20" w:line="245" w:lineRule="auto"/>
            </w:pPr>
            <w:r>
              <w:rPr>
                <w:b w:val="0"/>
                <w:sz w:val="18"/>
              </w:rPr>
              <w:t>Automatic confidential access for all agency members.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International</w:t>
            </w:r>
          </w:p>
        </w:tc>
        <w:tc>
          <w:tcPr>
            <w:tcW w:type="dxa" w:w="5400"/>
            <w:vAlign w:val="center"/>
            <w:tcMar>
              <w:top w:w="90" w:type="dxa"/>
              <w:bottom w:w="90" w:type="dxa"/>
              <w:left w:w="110" w:type="dxa"/>
              <w:right w:w="110" w:type="dxa"/>
            </w:tcMar>
          </w:tcPr>
          <w:p>
            <w:pPr>
              <w:spacing w:after="20" w:line="245" w:lineRule="auto"/>
            </w:pPr>
            <w:r>
              <w:rPr>
                <w:b w:val="0"/>
                <w:sz w:val="18"/>
              </w:rPr>
              <w:t>Country/jurisdiction/currency/language fields; multiple credentials and versioned policy selection.</w:t>
            </w:r>
          </w:p>
        </w:tc>
        <w:tc>
          <w:tcPr>
            <w:tcW w:type="dxa" w:w="2736"/>
            <w:vAlign w:val="center"/>
            <w:tcMar>
              <w:top w:w="90" w:type="dxa"/>
              <w:bottom w:w="90" w:type="dxa"/>
              <w:left w:w="110" w:type="dxa"/>
              <w:right w:w="110" w:type="dxa"/>
            </w:tcMar>
          </w:tcPr>
          <w:p>
            <w:pPr>
              <w:spacing w:after="20" w:line="245" w:lineRule="auto"/>
            </w:pPr>
            <w:r>
              <w:rPr>
                <w:b w:val="0"/>
                <w:sz w:val="18"/>
              </w:rPr>
              <w:t>Foreign verification/payments or legal workflow promises.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Alternative billing</w:t>
            </w:r>
          </w:p>
        </w:tc>
        <w:tc>
          <w:tcPr>
            <w:tcW w:type="dxa" w:w="5400"/>
            <w:vAlign w:val="center"/>
            <w:tcMar>
              <w:top w:w="90" w:type="dxa"/>
              <w:bottom w:w="90" w:type="dxa"/>
              <w:left w:w="110" w:type="dxa"/>
              <w:right w:w="110" w:type="dxa"/>
            </w:tcMar>
          </w:tcPr>
          <w:p>
            <w:pPr>
              <w:spacing w:after="20" w:line="245" w:lineRule="auto"/>
            </w:pPr>
            <w:r>
              <w:rPr>
                <w:b w:val="0"/>
                <w:sz w:val="18"/>
              </w:rPr>
              <w:t>Engagement type and acceptance-unit model; recurring periods distinct from tasks.</w:t>
            </w:r>
          </w:p>
        </w:tc>
        <w:tc>
          <w:tcPr>
            <w:tcW w:type="dxa" w:w="2736"/>
            <w:vAlign w:val="center"/>
            <w:tcMar>
              <w:top w:w="90" w:type="dxa"/>
              <w:bottom w:w="90" w:type="dxa"/>
              <w:left w:w="110" w:type="dxa"/>
              <w:right w:w="110" w:type="dxa"/>
            </w:tcMar>
          </w:tcPr>
          <w:p>
            <w:pPr>
              <w:spacing w:after="20" w:line="245" w:lineRule="auto"/>
            </w:pPr>
            <w:r>
              <w:rPr>
                <w:b w:val="0"/>
                <w:sz w:val="18"/>
              </w:rPr>
              <w:t>Hourly time tracking and mixed currency settlement.</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Outcome learning</w:t>
            </w:r>
          </w:p>
        </w:tc>
        <w:tc>
          <w:tcPr>
            <w:tcW w:type="dxa" w:w="5400"/>
            <w:vAlign w:val="center"/>
            <w:tcMar>
              <w:top w:w="90" w:type="dxa"/>
              <w:bottom w:w="90" w:type="dxa"/>
              <w:left w:w="110" w:type="dxa"/>
              <w:right w:w="110" w:type="dxa"/>
            </w:tcMar>
          </w:tcPr>
          <w:p>
            <w:pPr>
              <w:spacing w:after="20" w:line="245" w:lineRule="auto"/>
            </w:pPr>
            <w:r>
              <w:rPr>
                <w:b w:val="0"/>
                <w:sz w:val="18"/>
              </w:rPr>
              <w:t>Operational metrics, consent, provenance, private reusable method separation and held-out evaluations.</w:t>
            </w:r>
          </w:p>
        </w:tc>
        <w:tc>
          <w:tcPr>
            <w:tcW w:type="dxa" w:w="2736"/>
            <w:vAlign w:val="center"/>
            <w:tcMar>
              <w:top w:w="90" w:type="dxa"/>
              <w:bottom w:w="90" w:type="dxa"/>
              <w:left w:w="110" w:type="dxa"/>
              <w:right w:w="110" w:type="dxa"/>
            </w:tcMar>
          </w:tcPr>
          <w:p>
            <w:pPr>
              <w:spacing w:after="20" w:line="245" w:lineRule="auto"/>
            </w:pPr>
            <w:r>
              <w:rPr>
                <w:b w:val="0"/>
                <w:sz w:val="18"/>
              </w:rPr>
              <w:t>Shared training on client documents or feedback by default.</w:t>
            </w:r>
          </w:p>
        </w:tc>
      </w:tr>
    </w:tbl>
    <w:p>
      <w:pPr>
        <w:spacing w:after="20"/>
      </w:pPr>
    </w:p>
    <w:p>
      <w:r>
        <w:rPr>
          <w:b w:val="0"/>
        </w:rPr>
        <w:t>Future compatibility is achieved through clear contracts and identifiers, not an oversized plugin ecosystem or many microservices. Test schema evolution and exported artifact compatibility before rollout. Do not make later phases depend on a specific speculative AI SDK or interview vendor.</w:t>
      </w:r>
    </w:p>
    <w:p>
      <w:r>
        <w:rPr>
          <w:b w:val="0"/>
        </w:rPr>
        <w:t>Keep an integration registry with feature availability separate from commercial entitlement. A paid member can use the supported catalog within their cap; paying does not make an unbuilt connector available. Keep published membership marketing synchronized with actual rollout flags.</w:t>
      </w:r>
    </w:p>
    <w:p>
      <w:r>
        <w:br w:type="page"/>
      </w:r>
    </w:p>
    <w:p>
      <w:pPr>
        <w:pStyle w:val="Heading1"/>
      </w:pPr>
      <w:r>
        <w:t>34. Readiness checklist and decisions to close</w:t>
      </w:r>
    </w:p>
    <w:tbl>
      <w:tblPr>
        <w:tblW w:type="auto" w:w="0"/>
        <w:jc w:val="center"/>
        <w:tblLayout w:type="fixed"/>
        <w:tblLook w:firstColumn="1" w:firstRow="1" w:lastColumn="0" w:lastRow="0" w:noHBand="0" w:noVBand="1" w:val="04A0"/>
      </w:tblPr>
      <w:tblGrid>
        <w:gridCol w:w="2088"/>
        <w:gridCol w:w="8136"/>
      </w:tblGrid>
      <w:tr>
        <w:trPr>
          <w:tblHeader/>
          <w:cantSplit/>
        </w:trPr>
        <w:tc>
          <w:tcPr>
            <w:tcW w:type="dxa" w:w="2088"/>
            <w:vAlign w:val="center"/>
            <w:tcMar>
              <w:top w:w="90" w:type="dxa"/>
              <w:bottom w:w="90" w:type="dxa"/>
              <w:left w:w="110" w:type="dxa"/>
              <w:right w:w="110" w:type="dxa"/>
            </w:tcMar>
            <w:shd w:fill="8B1F3F"/>
          </w:tcPr>
          <w:p>
            <w:pPr>
              <w:spacing w:after="20" w:line="245" w:lineRule="auto"/>
            </w:pPr>
            <w:r>
              <w:rPr>
                <w:b/>
                <w:color w:val="FFFFFF"/>
                <w:sz w:val="18"/>
              </w:rPr>
              <w:t>Release gate</w:t>
            </w:r>
          </w:p>
        </w:tc>
        <w:tc>
          <w:tcPr>
            <w:tcW w:type="dxa" w:w="8136"/>
            <w:vAlign w:val="center"/>
            <w:tcMar>
              <w:top w:w="90" w:type="dxa"/>
              <w:bottom w:w="90" w:type="dxa"/>
              <w:left w:w="110" w:type="dxa"/>
              <w:right w:w="110" w:type="dxa"/>
            </w:tcMar>
            <w:shd w:fill="8B1F3F"/>
          </w:tcPr>
          <w:p>
            <w:pPr>
              <w:spacing w:after="20" w:line="245" w:lineRule="auto"/>
            </w:pPr>
            <w:r>
              <w:rPr>
                <w:b/>
                <w:color w:val="FFFFFF"/>
                <w:sz w:val="18"/>
              </w:rPr>
              <w:t>Evidence / owner</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G-IDENTITY</w:t>
            </w:r>
          </w:p>
        </w:tc>
        <w:tc>
          <w:tcPr>
            <w:tcW w:type="dxa" w:w="8136"/>
            <w:vAlign w:val="center"/>
            <w:tcMar>
              <w:top w:w="90" w:type="dxa"/>
              <w:bottom w:w="90" w:type="dxa"/>
              <w:left w:w="110" w:type="dxa"/>
              <w:right w:w="110" w:type="dxa"/>
            </w:tcMar>
          </w:tcPr>
          <w:p>
            <w:pPr>
              <w:spacing w:after="20" w:line="245" w:lineRule="auto"/>
            </w:pPr>
            <w:r>
              <w:rPr>
                <w:b w:val="0"/>
                <w:sz w:val="18"/>
              </w:rPr>
              <w:t>Technical lead verifies BD session exchange, user/org mapping and no client-controlled identity trust.</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G-COMMERCIAL</w:t>
            </w:r>
          </w:p>
        </w:tc>
        <w:tc>
          <w:tcPr>
            <w:tcW w:type="dxa" w:w="8136"/>
            <w:vAlign w:val="center"/>
            <w:tcMar>
              <w:top w:w="90" w:type="dxa"/>
              <w:bottom w:w="90" w:type="dxa"/>
              <w:left w:w="110" w:type="dxa"/>
              <w:right w:w="110" w:type="dxa"/>
            </w:tcMar>
          </w:tcPr>
          <w:p>
            <w:pPr>
              <w:spacing w:after="20" w:line="245" w:lineRule="auto"/>
            </w:pPr>
            <w:r>
              <w:rPr>
                <w:b w:val="0"/>
                <w:sz w:val="18"/>
              </w:rPr>
              <w:t>Product/finance sign off pricing, fee floor allocation, membership/trial/AI/export limits, minimums and refund rules.</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G-CONTRACT</w:t>
            </w:r>
          </w:p>
        </w:tc>
        <w:tc>
          <w:tcPr>
            <w:tcW w:type="dxa" w:w="8136"/>
            <w:vAlign w:val="center"/>
            <w:tcMar>
              <w:top w:w="90" w:type="dxa"/>
              <w:bottom w:w="90" w:type="dxa"/>
              <w:left w:w="110" w:type="dxa"/>
              <w:right w:w="110" w:type="dxa"/>
            </w:tcMar>
          </w:tcPr>
          <w:p>
            <w:pPr>
              <w:spacing w:after="20" w:line="245" w:lineRule="auto"/>
            </w:pPr>
            <w:r>
              <w:rPr>
                <w:b w:val="0"/>
                <w:sz w:val="18"/>
              </w:rPr>
              <w:t>Counsel approves contracting entities, dual signature, recurring mandate, small-claims/arbitration framework, notices, automated administrative acceptance and lawful data disclosure.</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G-PAYMENT</w:t>
            </w:r>
          </w:p>
        </w:tc>
        <w:tc>
          <w:tcPr>
            <w:tcW w:type="dxa" w:w="8136"/>
            <w:vAlign w:val="center"/>
            <w:tcMar>
              <w:top w:w="90" w:type="dxa"/>
              <w:bottom w:w="90" w:type="dxa"/>
              <w:left w:w="110" w:type="dxa"/>
              <w:right w:w="110" w:type="dxa"/>
            </w:tcMar>
          </w:tcPr>
          <w:p>
            <w:pPr>
              <w:spacing w:after="20" w:line="245" w:lineRule="auto"/>
            </w:pPr>
            <w:r>
              <w:rPr>
                <w:b w:val="0"/>
                <w:sz w:val="18"/>
              </w:rPr>
              <w:t>Payments lead/counsel verify charge type, liability, conditional retention legality, duration, payout/risk controls and actual processor configuration. Ordinary Connect signup is not a legal opinion.</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G-REVIEW</w:t>
            </w:r>
          </w:p>
        </w:tc>
        <w:tc>
          <w:tcPr>
            <w:tcW w:type="dxa" w:w="8136"/>
            <w:vAlign w:val="center"/>
            <w:tcMar>
              <w:top w:w="90" w:type="dxa"/>
              <w:bottom w:w="90" w:type="dxa"/>
              <w:left w:w="110" w:type="dxa"/>
              <w:right w:w="110" w:type="dxa"/>
            </w:tcMar>
          </w:tcPr>
          <w:p>
            <w:pPr>
              <w:spacing w:after="20" w:line="245" w:lineRule="auto"/>
            </w:pPr>
            <w:r>
              <w:rPr>
                <w:b w:val="0"/>
                <w:sz w:val="18"/>
              </w:rPr>
              <w:t>Product/operations define objective vs qualified-review criteria, clock rules, human capacity and rights of objection.</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G-SECURITY</w:t>
            </w:r>
          </w:p>
        </w:tc>
        <w:tc>
          <w:tcPr>
            <w:tcW w:type="dxa" w:w="8136"/>
            <w:vAlign w:val="center"/>
            <w:tcMar>
              <w:top w:w="90" w:type="dxa"/>
              <w:bottom w:w="90" w:type="dxa"/>
              <w:left w:w="110" w:type="dxa"/>
              <w:right w:w="110" w:type="dxa"/>
            </w:tcMar>
          </w:tcPr>
          <w:p>
            <w:pPr>
              <w:spacing w:after="20" w:line="245" w:lineRule="auto"/>
            </w:pPr>
            <w:r>
              <w:rPr>
                <w:b w:val="0"/>
                <w:sz w:val="18"/>
              </w:rPr>
              <w:t>Security owner approves threat model, isolation tests, secrets, capture/upload boundaries, incident owner/backup, backups and independent assessment appropriate to data risk.</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G-OPERATIONS</w:t>
            </w:r>
          </w:p>
        </w:tc>
        <w:tc>
          <w:tcPr>
            <w:tcW w:type="dxa" w:w="8136"/>
            <w:vAlign w:val="center"/>
            <w:tcMar>
              <w:top w:w="90" w:type="dxa"/>
              <w:bottom w:w="90" w:type="dxa"/>
              <w:left w:w="110" w:type="dxa"/>
              <w:right w:w="110" w:type="dxa"/>
            </w:tcMar>
          </w:tcPr>
          <w:p>
            <w:pPr>
              <w:spacing w:after="20" w:line="245" w:lineRule="auto"/>
            </w:pPr>
            <w:r>
              <w:rPr>
                <w:b w:val="0"/>
                <w:sz w:val="18"/>
              </w:rPr>
              <w:t>Finance/support can reconcile, respond before provider deadlines, restore after outage and handle appeals. Alerts reach a staffed destination.</w:t>
            </w:r>
          </w:p>
        </w:tc>
      </w:tr>
      <w:tr>
        <w:trPr>
          <w:cantSplit/>
        </w:trPr>
        <w:tc>
          <w:tcPr>
            <w:tcW w:type="dxa" w:w="2088"/>
            <w:vAlign w:val="center"/>
            <w:tcMar>
              <w:top w:w="90" w:type="dxa"/>
              <w:bottom w:w="90" w:type="dxa"/>
              <w:left w:w="110" w:type="dxa"/>
              <w:right w:w="110" w:type="dxa"/>
            </w:tcMar>
          </w:tcPr>
          <w:p>
            <w:pPr>
              <w:spacing w:after="20" w:line="245" w:lineRule="auto"/>
            </w:pPr>
            <w:r>
              <w:rPr>
                <w:b w:val="0"/>
                <w:sz w:val="18"/>
              </w:rPr>
              <w:t>G-RELEASE</w:t>
            </w:r>
          </w:p>
        </w:tc>
        <w:tc>
          <w:tcPr>
            <w:tcW w:type="dxa" w:w="8136"/>
            <w:vAlign w:val="center"/>
            <w:tcMar>
              <w:top w:w="90" w:type="dxa"/>
              <w:bottom w:w="90" w:type="dxa"/>
              <w:left w:w="110" w:type="dxa"/>
              <w:right w:w="110" w:type="dxa"/>
            </w:tcMar>
          </w:tcPr>
          <w:p>
            <w:pPr>
              <w:spacing w:after="20" w:line="245" w:lineRule="auto"/>
            </w:pPr>
            <w:r>
              <w:rPr>
                <w:b w:val="0"/>
                <w:sz w:val="18"/>
              </w:rPr>
              <w:t>Product accepts full journey and documented limitations; all required regression tests pass; gated features remain off where evidence is incomplete.</w:t>
            </w:r>
          </w:p>
        </w:tc>
      </w:tr>
    </w:tbl>
    <w:p>
      <w:pPr>
        <w:spacing w:after="20"/>
      </w:pPr>
    </w:p>
    <w:p>
      <w:r>
        <w:rPr>
          <w:b w:val="0"/>
        </w:rPr>
      </w:r>
      <w:r>
        <w:rPr>
          <w:b/>
        </w:rPr>
        <w:t>Specific unanswered choices:</w:t>
      </w:r>
      <w:r>
        <w:rPr>
          <w:b w:val="0"/>
        </w:rPr>
        <w:t xml:space="preserve"> paid-calendar launch timing; renewal retry spacing and terminal pause limit; recurring payout units; subscription/AI/export/seat quantities; attended-meeting evidence; trial trigger and length; review editing; invited proposal quota handling; security retention periods; qualified reviewer funding; loss allocation after chargeback; maximum retention of unaccepted money; signature/booking vendors.</w:t>
      </w:r>
    </w:p>
    <w:p>
      <w:pPr>
        <w:spacing w:before="80" w:after="180"/>
        <w:shd w:fill="F7ECE7"/>
      </w:pPr>
      <w:r>
        <w:rPr>
          <w:b w:val="0"/>
        </w:rPr>
      </w:r>
      <w:r>
        <w:rPr>
          <w:b/>
        </w:rPr>
        <w:t>Go / no-go rule</w:t>
      </w:r>
      <w:r>
        <w:rPr>
          <w:b w:val="0"/>
        </w:rPr>
        <w:t xml:space="preserve">  Approval to build a bounded staging module is separate from approval to operate it with real members, confidential data or money. These documents authorize neither. Existing Lawfecta operations must not be disrupted by the new system.</w:t>
      </w:r>
    </w:p>
    <w:p>
      <w:r>
        <w:rPr>
          <w:b w:val="0"/>
        </w:rPr>
      </w:r>
      <w:r>
        <w:rPr>
          <w:b/>
        </w:rPr>
        <w:t>Phase 1A exit artifact:</w:t>
      </w:r>
      <w:r>
        <w:rPr>
          <w:b w:val="0"/>
        </w:rPr>
        <w:t xml:space="preserve"> A signed release report with requirement/test traceability, cohort outcomes, costs by tier and operation, unresolved nonblocking issues, operational owners and a specific investment recommendation for 1B and/or 1C. Both expansions may proceed independently once their dependencies and business evidence are satisfied.</w:t>
      </w:r>
    </w:p>
    <w:p>
      <w:r>
        <w:br w:type="page"/>
      </w:r>
    </w:p>
    <w:p>
      <w:pPr>
        <w:pStyle w:val="Heading1"/>
      </w:pPr>
      <w:r>
        <w:t>Reference notes</w:t>
      </w:r>
    </w:p>
    <w:p>
      <w:r>
        <w:t>Primary technical and regulatory sources checked on 25 October 2026. Revalidate provider behavior, pricing and applicable law before implementation. [Sxx] labels identify sources; unlabelled requirement language is a Lawfecta product decision or proposed engineering design, not a vendor guarantee.</w:t>
      </w:r>
    </w:p>
    <w:p>
      <w:pPr>
        <w:keepLines/>
        <w:spacing w:line="240" w:lineRule="auto" w:after="120"/>
      </w:pPr>
      <w:r>
        <w:rPr>
          <w:b w:val="0"/>
          <w:sz w:val="18"/>
        </w:rPr>
      </w:r>
      <w:r>
        <w:rPr>
          <w:b/>
          <w:sz w:val="18"/>
        </w:rPr>
        <w:t>[S01] Brilliant Directories, API Reference - Getting Started</w:t>
      </w:r>
      <w:r>
        <w:rPr>
          <w:b w:val="0"/>
          <w:sz w:val="18"/>
        </w:rPr>
      </w:r>
      <w:r>
        <w:rPr>
          <w:sz w:val="18"/>
        </w:rPr>
        <w:br/>
      </w:r>
      <w:hyperlink r:id="rId11">
        <w:r>
          <w:rPr>
            <w:color w:val="8B1F3F"/>
            <w:sz w:val="18"/>
          </w:rPr>
          <w:t>https://support.brilliantdirectories.com/support/solutions/articles/12000108046-api-reference-getting-started</w:t>
        </w:r>
      </w:hyperlink>
    </w:p>
    <w:p>
      <w:pPr>
        <w:keepLines/>
        <w:spacing w:line="240" w:lineRule="auto" w:after="120"/>
      </w:pPr>
      <w:r>
        <w:rPr>
          <w:b w:val="0"/>
          <w:sz w:val="18"/>
        </w:rPr>
      </w:r>
      <w:r>
        <w:rPr>
          <w:b/>
          <w:sz w:val="18"/>
        </w:rPr>
        <w:t>[S02] Brilliant Directories, Member API - Editing Member Data</w:t>
      </w:r>
      <w:r>
        <w:rPr>
          <w:b w:val="0"/>
          <w:sz w:val="18"/>
        </w:rPr>
      </w:r>
      <w:r>
        <w:rPr>
          <w:sz w:val="18"/>
        </w:rPr>
        <w:br/>
      </w:r>
      <w:hyperlink r:id="rId12">
        <w:r>
          <w:rPr>
            <w:color w:val="8B1F3F"/>
            <w:sz w:val="18"/>
          </w:rPr>
          <w:t>https://support.brilliantdirectories.com/support/solutions/articles/12000091105-member-api-how-to-edit-member-data-with-api-calls</w:t>
        </w:r>
      </w:hyperlink>
    </w:p>
    <w:p>
      <w:pPr>
        <w:keepLines/>
        <w:spacing w:line="240" w:lineRule="auto" w:after="120"/>
      </w:pPr>
      <w:r>
        <w:rPr>
          <w:b w:val="0"/>
          <w:sz w:val="18"/>
        </w:rPr>
      </w:r>
      <w:r>
        <w:rPr>
          <w:b/>
          <w:sz w:val="18"/>
        </w:rPr>
        <w:t>[S03] Supabase, Row Level Security</w:t>
      </w:r>
      <w:r>
        <w:rPr>
          <w:b w:val="0"/>
          <w:sz w:val="18"/>
        </w:rPr>
      </w:r>
      <w:r>
        <w:rPr>
          <w:sz w:val="18"/>
        </w:rPr>
        <w:br/>
      </w:r>
      <w:hyperlink r:id="rId13">
        <w:r>
          <w:rPr>
            <w:color w:val="8B1F3F"/>
            <w:sz w:val="18"/>
          </w:rPr>
          <w:t>https://supabase.com/docs/guides/database/postgres/row-level-security</w:t>
        </w:r>
      </w:hyperlink>
    </w:p>
    <w:p>
      <w:pPr>
        <w:keepLines/>
        <w:spacing w:line="240" w:lineRule="auto" w:after="120"/>
      </w:pPr>
      <w:r>
        <w:rPr>
          <w:b w:val="0"/>
          <w:sz w:val="18"/>
        </w:rPr>
      </w:r>
      <w:r>
        <w:rPr>
          <w:b/>
          <w:sz w:val="18"/>
        </w:rPr>
        <w:t>[S04] Supabase, Database Backups</w:t>
      </w:r>
      <w:r>
        <w:rPr>
          <w:b w:val="0"/>
          <w:sz w:val="18"/>
        </w:rPr>
      </w:r>
      <w:r>
        <w:rPr>
          <w:sz w:val="18"/>
        </w:rPr>
        <w:br/>
      </w:r>
      <w:hyperlink r:id="rId14">
        <w:r>
          <w:rPr>
            <w:color w:val="8B1F3F"/>
            <w:sz w:val="18"/>
          </w:rPr>
          <w:t>https://supabase.com/docs/guides/platform/backups</w:t>
        </w:r>
      </w:hyperlink>
    </w:p>
    <w:p>
      <w:pPr>
        <w:keepLines/>
        <w:spacing w:line="240" w:lineRule="auto" w:after="120"/>
      </w:pPr>
      <w:r>
        <w:rPr>
          <w:b w:val="0"/>
          <w:sz w:val="18"/>
        </w:rPr>
      </w:r>
      <w:r>
        <w:rPr>
          <w:b/>
          <w:sz w:val="18"/>
        </w:rPr>
        <w:t>[S05] Supabase, Edge Function Limits and Background Tasks</w:t>
      </w:r>
      <w:r>
        <w:rPr>
          <w:b w:val="0"/>
          <w:sz w:val="18"/>
        </w:rPr>
      </w:r>
      <w:r>
        <w:rPr>
          <w:sz w:val="18"/>
        </w:rPr>
        <w:br/>
      </w:r>
      <w:hyperlink r:id="rId15">
        <w:r>
          <w:rPr>
            <w:color w:val="8B1F3F"/>
            <w:sz w:val="18"/>
          </w:rPr>
          <w:t>https://supabase.com/docs/guides/functions/limits</w:t>
        </w:r>
      </w:hyperlink>
    </w:p>
    <w:p>
      <w:pPr>
        <w:keepLines/>
        <w:spacing w:line="240" w:lineRule="auto" w:after="120"/>
      </w:pPr>
      <w:r>
        <w:rPr>
          <w:b w:val="0"/>
          <w:sz w:val="18"/>
        </w:rPr>
      </w:r>
      <w:r>
        <w:rPr>
          <w:b/>
          <w:sz w:val="18"/>
        </w:rPr>
        <w:t>[S06] Stripe, Separate Charges and Transfers</w:t>
      </w:r>
      <w:r>
        <w:rPr>
          <w:b w:val="0"/>
          <w:sz w:val="18"/>
        </w:rPr>
      </w:r>
      <w:r>
        <w:rPr>
          <w:sz w:val="18"/>
        </w:rPr>
        <w:br/>
      </w:r>
      <w:hyperlink r:id="rId16">
        <w:r>
          <w:rPr>
            <w:color w:val="8B1F3F"/>
            <w:sz w:val="18"/>
          </w:rPr>
          <w:t>https://docs.stripe.com/connect/separate-charges-and-transfers</w:t>
        </w:r>
      </w:hyperlink>
    </w:p>
    <w:p>
      <w:pPr>
        <w:keepLines/>
        <w:spacing w:line="240" w:lineRule="auto" w:after="120"/>
      </w:pPr>
      <w:r>
        <w:rPr>
          <w:b w:val="0"/>
          <w:sz w:val="18"/>
        </w:rPr>
      </w:r>
      <w:r>
        <w:rPr>
          <w:b/>
          <w:sz w:val="18"/>
        </w:rPr>
        <w:t>[S07] Stripe, Setup Intents and Future Payment Consent</w:t>
      </w:r>
      <w:r>
        <w:rPr>
          <w:b w:val="0"/>
          <w:sz w:val="18"/>
        </w:rPr>
      </w:r>
      <w:r>
        <w:rPr>
          <w:sz w:val="18"/>
        </w:rPr>
        <w:br/>
      </w:r>
      <w:hyperlink r:id="rId17">
        <w:r>
          <w:rPr>
            <w:color w:val="8B1F3F"/>
            <w:sz w:val="18"/>
          </w:rPr>
          <w:t>https://docs.stripe.com/payments/setup-intents</w:t>
        </w:r>
      </w:hyperlink>
    </w:p>
    <w:p>
      <w:pPr>
        <w:keepLines/>
        <w:spacing w:line="240" w:lineRule="auto" w:after="120"/>
      </w:pPr>
      <w:r>
        <w:rPr>
          <w:b w:val="0"/>
          <w:sz w:val="18"/>
        </w:rPr>
      </w:r>
      <w:r>
        <w:rPr>
          <w:b/>
          <w:sz w:val="18"/>
        </w:rPr>
        <w:t>[S08] Stripe, Disputes on Connect Platforms</w:t>
      </w:r>
      <w:r>
        <w:rPr>
          <w:b w:val="0"/>
          <w:sz w:val="18"/>
        </w:rPr>
      </w:r>
      <w:r>
        <w:rPr>
          <w:sz w:val="18"/>
        </w:rPr>
        <w:br/>
      </w:r>
      <w:hyperlink r:id="rId18">
        <w:r>
          <w:rPr>
            <w:color w:val="8B1F3F"/>
            <w:sz w:val="18"/>
          </w:rPr>
          <w:t>https://docs.stripe.com/connect/disputes</w:t>
        </w:r>
      </w:hyperlink>
    </w:p>
    <w:p>
      <w:pPr>
        <w:keepLines/>
        <w:spacing w:line="240" w:lineRule="auto" w:after="120"/>
      </w:pPr>
      <w:r>
        <w:rPr>
          <w:b w:val="0"/>
          <w:sz w:val="18"/>
        </w:rPr>
      </w:r>
      <w:r>
        <w:rPr>
          <w:b/>
          <w:sz w:val="18"/>
        </w:rPr>
        <w:t>[S09] Stripe, Using Manual Payouts</w:t>
      </w:r>
      <w:r>
        <w:rPr>
          <w:b w:val="0"/>
          <w:sz w:val="18"/>
        </w:rPr>
      </w:r>
      <w:r>
        <w:rPr>
          <w:sz w:val="18"/>
        </w:rPr>
        <w:br/>
      </w:r>
      <w:hyperlink r:id="rId19">
        <w:r>
          <w:rPr>
            <w:color w:val="8B1F3F"/>
            <w:sz w:val="18"/>
          </w:rPr>
          <w:t>https://docs.stripe.com/connect/manual-payouts</w:t>
        </w:r>
      </w:hyperlink>
    </w:p>
    <w:p>
      <w:pPr>
        <w:keepLines/>
        <w:spacing w:line="240" w:lineRule="auto" w:after="120"/>
      </w:pPr>
      <w:r>
        <w:rPr>
          <w:b w:val="0"/>
          <w:sz w:val="18"/>
        </w:rPr>
      </w:r>
      <w:r>
        <w:rPr>
          <w:b/>
          <w:sz w:val="18"/>
        </w:rPr>
        <w:t>[S10] Stripe, Managing Webhook Endpoints</w:t>
      </w:r>
      <w:r>
        <w:rPr>
          <w:b w:val="0"/>
          <w:sz w:val="18"/>
        </w:rPr>
      </w:r>
      <w:r>
        <w:rPr>
          <w:sz w:val="18"/>
        </w:rPr>
        <w:br/>
      </w:r>
      <w:hyperlink r:id="rId20">
        <w:r>
          <w:rPr>
            <w:color w:val="8B1F3F"/>
            <w:sz w:val="18"/>
          </w:rPr>
          <w:t>https://docs.stripe.com/events/manage-webhook-endpoints</w:t>
        </w:r>
      </w:hyperlink>
    </w:p>
    <w:p>
      <w:pPr>
        <w:keepLines/>
        <w:spacing w:line="240" w:lineRule="auto" w:after="120"/>
      </w:pPr>
      <w:r>
        <w:rPr>
          <w:b w:val="0"/>
          <w:sz w:val="18"/>
        </w:rPr>
      </w:r>
      <w:r>
        <w:rPr>
          <w:b/>
          <w:sz w:val="18"/>
        </w:rPr>
        <w:t>[S11] Stripe, Payments Pricing</w:t>
      </w:r>
      <w:r>
        <w:rPr>
          <w:b w:val="0"/>
          <w:sz w:val="18"/>
        </w:rPr>
      </w:r>
      <w:r>
        <w:rPr>
          <w:sz w:val="18"/>
        </w:rPr>
        <w:br/>
      </w:r>
      <w:hyperlink r:id="rId21">
        <w:r>
          <w:rPr>
            <w:color w:val="8B1F3F"/>
            <w:sz w:val="18"/>
          </w:rPr>
          <w:t>https://stripe.com/pricing</w:t>
        </w:r>
      </w:hyperlink>
    </w:p>
    <w:p>
      <w:pPr>
        <w:keepLines/>
        <w:spacing w:line="240" w:lineRule="auto" w:after="120"/>
      </w:pPr>
      <w:r>
        <w:rPr>
          <w:b w:val="0"/>
          <w:sz w:val="18"/>
        </w:rPr>
      </w:r>
      <w:r>
        <w:rPr>
          <w:b/>
          <w:sz w:val="18"/>
        </w:rPr>
        <w:t>[S12] Stripe, Connect Pricing</w:t>
      </w:r>
      <w:r>
        <w:rPr>
          <w:b w:val="0"/>
          <w:sz w:val="18"/>
        </w:rPr>
      </w:r>
      <w:r>
        <w:rPr>
          <w:sz w:val="18"/>
        </w:rPr>
        <w:br/>
      </w:r>
      <w:hyperlink r:id="rId22">
        <w:r>
          <w:rPr>
            <w:color w:val="8B1F3F"/>
            <w:sz w:val="18"/>
          </w:rPr>
          <w:t>https://stripe.com/connect/pricing</w:t>
        </w:r>
      </w:hyperlink>
    </w:p>
    <w:p>
      <w:pPr>
        <w:keepLines/>
        <w:spacing w:line="240" w:lineRule="auto" w:after="120"/>
      </w:pPr>
      <w:r>
        <w:rPr>
          <w:b w:val="0"/>
          <w:sz w:val="18"/>
        </w:rPr>
      </w:r>
      <w:r>
        <w:rPr>
          <w:b/>
          <w:sz w:val="18"/>
        </w:rPr>
        <w:t>[S13] Stripe, Billing Pricing</w:t>
      </w:r>
      <w:r>
        <w:rPr>
          <w:b w:val="0"/>
          <w:sz w:val="18"/>
        </w:rPr>
      </w:r>
      <w:r>
        <w:rPr>
          <w:sz w:val="18"/>
        </w:rPr>
        <w:br/>
      </w:r>
      <w:hyperlink r:id="rId23">
        <w:r>
          <w:rPr>
            <w:color w:val="8B1F3F"/>
            <w:sz w:val="18"/>
          </w:rPr>
          <w:t>https://stripe.com/billing/pricing</w:t>
        </w:r>
      </w:hyperlink>
    </w:p>
    <w:p>
      <w:pPr>
        <w:keepLines/>
        <w:spacing w:line="240" w:lineRule="auto" w:after="120"/>
      </w:pPr>
      <w:r>
        <w:rPr>
          <w:b w:val="0"/>
          <w:sz w:val="18"/>
        </w:rPr>
      </w:r>
      <w:r>
        <w:rPr>
          <w:b/>
          <w:sz w:val="18"/>
        </w:rPr>
        <w:t>[S14] OpenAI, API Data Controls</w:t>
      </w:r>
      <w:r>
        <w:rPr>
          <w:b w:val="0"/>
          <w:sz w:val="18"/>
        </w:rPr>
      </w:r>
      <w:r>
        <w:rPr>
          <w:sz w:val="18"/>
        </w:rPr>
        <w:br/>
      </w:r>
      <w:hyperlink r:id="rId24">
        <w:r>
          <w:rPr>
            <w:color w:val="8B1F3F"/>
            <w:sz w:val="18"/>
          </w:rPr>
          <w:t>https://developers.openai.com/api/docs/guides/your-data</w:t>
        </w:r>
      </w:hyperlink>
    </w:p>
    <w:p>
      <w:pPr>
        <w:keepLines/>
        <w:spacing w:line="240" w:lineRule="auto" w:after="120"/>
      </w:pPr>
      <w:r>
        <w:rPr>
          <w:b w:val="0"/>
          <w:sz w:val="18"/>
        </w:rPr>
      </w:r>
      <w:r>
        <w:rPr>
          <w:b/>
          <w:sz w:val="18"/>
        </w:rPr>
        <w:t>[S15] OWASP, LLM06:2025 Excessive Agency</w:t>
      </w:r>
      <w:r>
        <w:rPr>
          <w:b w:val="0"/>
          <w:sz w:val="18"/>
        </w:rPr>
      </w:r>
      <w:r>
        <w:rPr>
          <w:sz w:val="18"/>
        </w:rPr>
        <w:br/>
      </w:r>
      <w:hyperlink r:id="rId25">
        <w:r>
          <w:rPr>
            <w:color w:val="8B1F3F"/>
            <w:sz w:val="18"/>
          </w:rPr>
          <w:t>https://genai.owasp.org/llmrisk/llm062025-excessive-agency/</w:t>
        </w:r>
      </w:hyperlink>
    </w:p>
    <w:p>
      <w:pPr>
        <w:keepLines/>
        <w:spacing w:line="240" w:lineRule="auto" w:after="120"/>
      </w:pPr>
      <w:r>
        <w:rPr>
          <w:b w:val="0"/>
          <w:sz w:val="18"/>
        </w:rPr>
      </w:r>
      <w:r>
        <w:rPr>
          <w:b/>
          <w:sz w:val="18"/>
        </w:rPr>
        <w:t>[S16] OWASP, LLM01:2025 Prompt Injection</w:t>
      </w:r>
      <w:r>
        <w:rPr>
          <w:b w:val="0"/>
          <w:sz w:val="18"/>
        </w:rPr>
      </w:r>
      <w:r>
        <w:rPr>
          <w:sz w:val="18"/>
        </w:rPr>
        <w:br/>
      </w:r>
      <w:hyperlink r:id="rId26">
        <w:r>
          <w:rPr>
            <w:color w:val="8B1F3F"/>
            <w:sz w:val="18"/>
          </w:rPr>
          <w:t>https://genai.owasp.org/llmrisk/llm01-prompt-injection/</w:t>
        </w:r>
      </w:hyperlink>
    </w:p>
    <w:p>
      <w:pPr>
        <w:keepLines/>
        <w:spacing w:line="240" w:lineRule="auto" w:after="120"/>
      </w:pPr>
      <w:r>
        <w:rPr>
          <w:b w:val="0"/>
          <w:sz w:val="18"/>
        </w:rPr>
      </w:r>
      <w:r>
        <w:rPr>
          <w:b/>
          <w:sz w:val="18"/>
        </w:rPr>
        <w:t>[S17] Claude Code, Permission Controls</w:t>
      </w:r>
      <w:r>
        <w:rPr>
          <w:b w:val="0"/>
          <w:sz w:val="18"/>
        </w:rPr>
      </w:r>
      <w:r>
        <w:rPr>
          <w:sz w:val="18"/>
        </w:rPr>
        <w:br/>
      </w:r>
      <w:hyperlink r:id="rId27">
        <w:r>
          <w:rPr>
            <w:color w:val="8B1F3F"/>
            <w:sz w:val="18"/>
          </w:rPr>
          <w:t>https://code.claude.com/docs/en/permissions</w:t>
        </w:r>
      </w:hyperlink>
    </w:p>
    <w:p>
      <w:pPr>
        <w:keepLines/>
        <w:spacing w:line="240" w:lineRule="auto" w:after="120"/>
      </w:pPr>
      <w:r>
        <w:rPr>
          <w:b w:val="0"/>
          <w:sz w:val="18"/>
        </w:rPr>
      </w:r>
      <w:r>
        <w:rPr>
          <w:b/>
          <w:sz w:val="18"/>
        </w:rPr>
        <w:t>[S24] California DFPI, About the Escrow Law</w:t>
      </w:r>
      <w:r>
        <w:rPr>
          <w:b w:val="0"/>
          <w:sz w:val="18"/>
        </w:rPr>
      </w:r>
      <w:r>
        <w:rPr>
          <w:sz w:val="18"/>
        </w:rPr>
        <w:br/>
      </w:r>
      <w:hyperlink r:id="rId28">
        <w:r>
          <w:rPr>
            <w:color w:val="8B1F3F"/>
            <w:sz w:val="18"/>
          </w:rPr>
          <w:t>https://dfpi.ca.gov/regulated-industries/escrow-law/about-the-escrow-law/</w:t>
        </w:r>
      </w:hyperlink>
    </w:p>
    <w:p>
      <w:pPr>
        <w:keepLines/>
        <w:spacing w:line="240" w:lineRule="auto" w:after="120"/>
      </w:pPr>
      <w:r>
        <w:rPr>
          <w:b w:val="0"/>
          <w:sz w:val="18"/>
        </w:rPr>
      </w:r>
      <w:r>
        <w:rPr>
          <w:b/>
          <w:sz w:val="18"/>
        </w:rPr>
        <w:t>[S25] United States Code, 9 USC 5 - Arbitrator Appointment</w:t>
      </w:r>
      <w:r>
        <w:rPr>
          <w:b w:val="0"/>
          <w:sz w:val="18"/>
        </w:rPr>
      </w:r>
      <w:r>
        <w:rPr>
          <w:sz w:val="18"/>
        </w:rPr>
        <w:br/>
      </w:r>
      <w:hyperlink r:id="rId29">
        <w:r>
          <w:rPr>
            <w:color w:val="8B1F3F"/>
            <w:sz w:val="18"/>
          </w:rPr>
          <w:t>https://uscode.house.gov/view.xhtml?req=(title:9%20section:5%20edition:prelim)</w:t>
        </w:r>
      </w:hyperlink>
    </w:p>
    <w:p>
      <w:pPr>
        <w:keepLines/>
        <w:spacing w:line="240" w:lineRule="auto" w:after="120"/>
      </w:pPr>
      <w:r>
        <w:rPr>
          <w:b w:val="0"/>
          <w:sz w:val="18"/>
        </w:rPr>
      </w:r>
      <w:r>
        <w:rPr>
          <w:b/>
          <w:sz w:val="18"/>
        </w:rPr>
        <w:t>[S26] ABA, Formal Opinion 512 Overview</w:t>
      </w:r>
      <w:r>
        <w:rPr>
          <w:b w:val="0"/>
          <w:sz w:val="18"/>
        </w:rPr>
      </w:r>
      <w:r>
        <w:rPr>
          <w:sz w:val="18"/>
        </w:rPr>
        <w:br/>
      </w:r>
      <w:hyperlink r:id="rId30">
        <w:r>
          <w:rPr>
            <w:color w:val="8B1F3F"/>
            <w:sz w:val="18"/>
          </w:rPr>
          <w:t>https://www.americanbar.org/news/abanews/aba-news-archives/2024/07/aba-issues-first-ethics-guidance-ai-tools/</w:t>
        </w:r>
      </w:hyperlink>
    </w:p>
    <w:p>
      <w:pPr>
        <w:keepLines/>
        <w:spacing w:line="240" w:lineRule="auto" w:after="120"/>
      </w:pPr>
      <w:r>
        <w:rPr>
          <w:b w:val="0"/>
          <w:sz w:val="18"/>
        </w:rPr>
      </w:r>
      <w:r>
        <w:rPr>
          <w:b/>
          <w:sz w:val="18"/>
        </w:rPr>
        <w:t>[S27] FTC, Consumer Reviews and Testimonials Rule Q&amp;A</w:t>
      </w:r>
      <w:r>
        <w:rPr>
          <w:b w:val="0"/>
          <w:sz w:val="18"/>
        </w:rPr>
      </w:r>
      <w:r>
        <w:rPr>
          <w:sz w:val="18"/>
        </w:rPr>
        <w:br/>
      </w:r>
      <w:hyperlink r:id="rId31">
        <w:r>
          <w:rPr>
            <w:color w:val="8B1F3F"/>
            <w:sz w:val="18"/>
          </w:rPr>
          <w:t>https://www.ftc.gov/business-guidance/resources/consumer-reviews-testimonials-rule-questions-answers</w:t>
        </w:r>
      </w:hyperlink>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color w:val="666666"/>
        <w:sz w:val="16"/>
      </w:rPr>
      <w:t>v1.0  |  25 October 2026  |  Requirements &amp; architecture</w:t>
    </w:r>
    <w:r>
      <w:rPr>
        <w:sz w:val="16"/>
      </w:rP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LAWFECTA  |  DELA  /  PHASE 1A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8B1F3F"/>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8B1F3F"/>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8B1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8B1F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200"/>
    </w:pPr>
    <w:rPr>
      <w:rFonts w:asciiTheme="majorHAnsi" w:eastAsiaTheme="majorEastAsia" w:hAnsiTheme="majorHAnsi" w:cstheme="majorBidi" w:ascii="Calibri" w:hAnsi="Calibri"/>
      <w:i/>
      <w:iCs/>
      <w:color w:val="8B1F3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libri" w:hAnsi="Calibri"/>
      <w:color w:val="2222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color w:val="22222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color w:val="22222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6666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brilliantdirectories.com/support/solutions/articles/12000108046-api-reference-getting-started" TargetMode="External"/><Relationship Id="rId12" Type="http://schemas.openxmlformats.org/officeDocument/2006/relationships/hyperlink" Target="https://support.brilliantdirectories.com/support/solutions/articles/12000091105-member-api-how-to-edit-member-data-with-api-calls" TargetMode="External"/><Relationship Id="rId13" Type="http://schemas.openxmlformats.org/officeDocument/2006/relationships/hyperlink" Target="https://supabase.com/docs/guides/database/postgres/row-level-security" TargetMode="External"/><Relationship Id="rId14" Type="http://schemas.openxmlformats.org/officeDocument/2006/relationships/hyperlink" Target="https://supabase.com/docs/guides/platform/backups" TargetMode="External"/><Relationship Id="rId15" Type="http://schemas.openxmlformats.org/officeDocument/2006/relationships/hyperlink" Target="https://supabase.com/docs/guides/functions/limits" TargetMode="External"/><Relationship Id="rId16" Type="http://schemas.openxmlformats.org/officeDocument/2006/relationships/hyperlink" Target="https://docs.stripe.com/connect/separate-charges-and-transfers" TargetMode="External"/><Relationship Id="rId17" Type="http://schemas.openxmlformats.org/officeDocument/2006/relationships/hyperlink" Target="https://docs.stripe.com/payments/setup-intents" TargetMode="External"/><Relationship Id="rId18" Type="http://schemas.openxmlformats.org/officeDocument/2006/relationships/hyperlink" Target="https://docs.stripe.com/connect/disputes" TargetMode="External"/><Relationship Id="rId19" Type="http://schemas.openxmlformats.org/officeDocument/2006/relationships/hyperlink" Target="https://docs.stripe.com/connect/manual-payouts" TargetMode="External"/><Relationship Id="rId20" Type="http://schemas.openxmlformats.org/officeDocument/2006/relationships/hyperlink" Target="https://docs.stripe.com/events/manage-webhook-endpoints" TargetMode="External"/><Relationship Id="rId21" Type="http://schemas.openxmlformats.org/officeDocument/2006/relationships/hyperlink" Target="https://stripe.com/pricing" TargetMode="External"/><Relationship Id="rId22" Type="http://schemas.openxmlformats.org/officeDocument/2006/relationships/hyperlink" Target="https://stripe.com/connect/pricing" TargetMode="External"/><Relationship Id="rId23" Type="http://schemas.openxmlformats.org/officeDocument/2006/relationships/hyperlink" Target="https://stripe.com/billing/pricing" TargetMode="External"/><Relationship Id="rId24" Type="http://schemas.openxmlformats.org/officeDocument/2006/relationships/hyperlink" Target="https://developers.openai.com/api/docs/guides/your-data" TargetMode="External"/><Relationship Id="rId25" Type="http://schemas.openxmlformats.org/officeDocument/2006/relationships/hyperlink" Target="https://genai.owasp.org/llmrisk/llm062025-excessive-agency/" TargetMode="External"/><Relationship Id="rId26" Type="http://schemas.openxmlformats.org/officeDocument/2006/relationships/hyperlink" Target="https://genai.owasp.org/llmrisk/llm01-prompt-injection/" TargetMode="External"/><Relationship Id="rId27" Type="http://schemas.openxmlformats.org/officeDocument/2006/relationships/hyperlink" Target="https://code.claude.com/docs/en/permissions" TargetMode="External"/><Relationship Id="rId28" Type="http://schemas.openxmlformats.org/officeDocument/2006/relationships/hyperlink" Target="https://dfpi.ca.gov/regulated-industries/escrow-law/about-the-escrow-law/" TargetMode="External"/><Relationship Id="rId29" Type="http://schemas.openxmlformats.org/officeDocument/2006/relationships/hyperlink" Target="https://uscode.house.gov/view.xhtml?req=(title:9%20section:5%20edition:prelim)" TargetMode="External"/><Relationship Id="rId30" Type="http://schemas.openxmlformats.org/officeDocument/2006/relationships/hyperlink" Target="https://www.americanbar.org/news/abanews/aba-news-archives/2024/07/aba-issues-first-ethics-guidance-ai-tools/" TargetMode="External"/><Relationship Id="rId31" Type="http://schemas.openxmlformats.org/officeDocument/2006/relationships/hyperlink" Target="https://www.ftc.gov/business-guidance/resources/consumer-reviews-testimonials-rule-questions-answ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1A | Core MVP
Build Specification</dc:title>
  <dc:subject>DELA pre-development architecture and phased requirements</dc:subject>
  <dc:creator>Lawfecta</dc:creator>
  <cp:keywords>DELA, Lawfecta, requirements, architecture, pre-development</cp:keywords>
  <dc:description>generated by python-docx</dc:description>
  <cp:lastModifiedBy/>
  <cp:revision>1</cp:revision>
  <dcterms:created xsi:type="dcterms:W3CDTF">2013-12-23T23:15:00Z</dcterms:created>
  <dcterms:modified xsi:type="dcterms:W3CDTF">2013-12-23T23:15:00Z</dcterms:modified>
  <cp:category/>
</cp:coreProperties>
</file>