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LAWFECTA  /  DELA DEVELOPMENT SERIES</w:t>
      </w:r>
    </w:p>
    <w:p>
      <w:pPr>
        <w:pStyle w:val="Title"/>
      </w:pPr>
      <w:r>
        <w:t>Phase 1B | Workflow Capture</w:t>
        <w:br/>
        <w:t>&amp; Connected Work</w:t>
      </w:r>
    </w:p>
    <w:p>
      <w:pPr>
        <w:pStyle w:val="Subtitle"/>
      </w:pPr>
      <w:r>
        <w:t>Browser clients, calendar and legal-software adapters, meeting intelligence and permissions</w:t>
      </w:r>
    </w:p>
    <w:p>
      <w:pPr>
        <w:spacing w:before="80" w:after="180"/>
        <w:shd w:fill="F7ECE7"/>
      </w:pPr>
      <w:r>
        <w:rPr>
          <w:b w:val="0"/>
        </w:rPr>
      </w:r>
      <w:r>
        <w:rPr>
          <w:b/>
        </w:rPr>
        <w:t>Control status</w:t>
      </w:r>
      <w:r>
        <w:rPr>
          <w:b w:val="0"/>
        </w:rPr>
        <w:t xml:space="preserve">  Specification v1.0. Product decisions are preserved; new engineering defaults and numeric gates are proposals. Documentation does not authorize code, configuration changes, production data access, charges or deployment.</w:t>
      </w:r>
    </w:p>
    <w:p>
      <w:pPr>
        <w:pStyle w:val="Heading1"/>
      </w:pPr>
      <w:r>
        <w:t>1. Objective, scope and dependencies</w:t>
      </w:r>
    </w:p>
    <w:p>
      <w:r>
        <w:rPr>
          <w:b w:val="0"/>
        </w:rPr>
        <w:t>Turn demonstrations and authorized business context into useful playbooks and repeat delegation. Attorneys can document a real process without describing every click; freelancers can organize approved methods and follow project-specific instructions. Integrations should reduce duplicate work rather than create another database to maintain.</w:t>
      </w:r>
    </w:p>
    <w:p>
      <w:pPr>
        <w:pStyle w:val="ListBullet"/>
      </w:pPr>
      <w:r>
        <w:rPr>
          <w:b w:val="0"/>
        </w:rPr>
        <w:t>C: Click/step capture and selected screenshots; Chrome and Firefox at capture launch, with Dia compatibility testing. Continuous video/desktop recording is later and optional.</w:t>
      </w:r>
    </w:p>
    <w:p>
      <w:pPr>
        <w:pStyle w:val="ListBullet"/>
      </w:pPr>
      <w:r>
        <w:rPr>
          <w:b w:val="0"/>
        </w:rPr>
        <w:t>C: All paid plans may access the same supported connector catalog within their connection/action allowance. BYOK remains available to all tiers but does not bypass paid capture/integration entitlements.</w:t>
      </w:r>
    </w:p>
    <w:p>
      <w:pPr>
        <w:pStyle w:val="ListBullet"/>
      </w:pPr>
      <w:r>
        <w:rPr>
          <w:b w:val="0"/>
        </w:rPr>
        <w:t>C: Read-only integrations first; external writes require explicit approved authority. Priorities include Clio, calendars, email and other practice-management systems. Exact release order is R.</w:t>
      </w:r>
    </w:p>
    <w:p>
      <w:pPr>
        <w:pStyle w:val="ListBullet"/>
      </w:pPr>
      <w:r>
        <w:rPr>
          <w:b w:val="0"/>
        </w:rPr>
        <w:t>C: Private by default; firm owner controls internal sharing. No anonymous off-platform share links. Public publishing uses the separate Phase 1C process.</w:t>
      </w:r>
    </w:p>
    <w:p>
      <w:pPr>
        <w:pStyle w:val="ListBullet"/>
      </w:pPr>
      <w:r>
        <w:rPr>
          <w:b w:val="0"/>
        </w:rPr>
        <w:t>Dependency: Phase 1A identity, ACLs, artifact versions, AI gateway, BYOK vault, entitlements, jobs, events, notifications and audit must pass their gates.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Increment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Recommended sequence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1B.1 Capture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Chrome and Firefox authenticated step capture, local review/redaction, private upload and playbook conversion; Dia test matrix.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1B.2 Connected calendar/context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Google/Outlook calendar and selected files; Clio Manage read-only selected records. Confirm member demand before broadening.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1B.3 Controlled actions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Explicitly approved task/calendar/document writes, write-preview diff and recovery. Email ingestion only after permission/verification gates.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Later candidate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Video narration, desktop capture, additional products and bulk migration only when evidence supports them.</w:t>
            </w:r>
          </w:p>
        </w:tc>
      </w:tr>
    </w:tbl>
    <w:p>
      <w:pPr>
        <w:spacing w:after="20"/>
      </w:pPr>
    </w:p>
    <w:p>
      <w:pPr>
        <w:spacing w:before="80" w:after="180"/>
        <w:shd w:fill="F7ECE7"/>
      </w:pPr>
      <w:r>
        <w:rPr>
          <w:b w:val="0"/>
        </w:rPr>
      </w:r>
      <w:r>
        <w:rPr>
          <w:b/>
        </w:rPr>
        <w:t>No hidden scope move</w:t>
      </w:r>
      <w:r>
        <w:rPr>
          <w:b w:val="0"/>
        </w:rPr>
        <w:t xml:space="preserve">  This document treats Chrome/Firefox launch as the capture-feature launch, following the later post-1A sequencing. If external calendar sync is required on the first public commercial launch, move the narrowly bounded 1B.2 calendar package into that release explicitly. Do not advertise a connector before it exists.</w:t>
      </w:r>
    </w:p>
    <w:p>
      <w:r>
        <w:br w:type="page"/>
      </w:r>
    </w:p>
    <w:p>
      <w:pPr>
        <w:pStyle w:val="Heading1"/>
      </w:pPr>
      <w:r>
        <w:t>2. Workflow capture: member experience</w:t>
      </w:r>
    </w:p>
    <w:p>
      <w:r>
        <w:rPr>
          <w:b w:val="0"/>
        </w:rPr>
        <w:t>Member opens the extension, signs into Lawfecta, selects the correct private/firm workspace and sees an explicit allowed-data notice. They choose a task objective and permitted site/tab, start recording and receive a persistent indicator. Pause/stop remains available throughout.</w:t>
      </w:r>
    </w:p>
    <w:p>
      <w:pPr>
        <w:pStyle w:val="ListBullet"/>
      </w:pPr>
      <w:r>
        <w:rPr>
          <w:b w:val="0"/>
        </w:rPr>
        <w:t>Record a bounded sequence of intentional clicks/navigation events, selected screenshots, target labels and user annotations. Do not record arbitrary keystrokes, form values, passwords, tokens or background browsing.</w:t>
      </w:r>
    </w:p>
    <w:p>
      <w:pPr>
        <w:pStyle w:val="ListBullet"/>
      </w:pPr>
      <w:r>
        <w:rPr>
          <w:b w:val="0"/>
        </w:rPr>
        <w:t>Default to one tab/origin. On cross-origin navigation, stop or require fresh permission; explain gaps rather than manufacturing missing steps.</w:t>
      </w:r>
    </w:p>
    <w:p>
      <w:pPr>
        <w:pStyle w:val="ListBullet"/>
      </w:pPr>
      <w:r>
        <w:rPr>
          <w:b w:val="0"/>
        </w:rPr>
        <w:t>After stop: show ordered steps, screenshot thumbnails, excluded frames/areas and possible sensitive material. Member can delete/reorder/edit, replace screenshots and add why/decision explanations.</w:t>
      </w:r>
    </w:p>
    <w:p>
      <w:pPr>
        <w:pStyle w:val="ListBullet"/>
      </w:pPr>
      <w:r>
        <w:rPr>
          <w:b w:val="0"/>
        </w:rPr>
        <w:t>Require a local review/redaction confirmation before server upload. Local detection is a helper, not proof. Redaction removes pixels/text from exported content, not just a removable CSS overlay.</w:t>
      </w:r>
    </w:p>
    <w:p>
      <w:pPr>
        <w:pStyle w:val="ListBullet"/>
      </w:pPr>
      <w:r>
        <w:rPr>
          <w:b w:val="0"/>
        </w:rPr>
        <w:t>Send only approved sanitized artifacts to the private capture service. Generate a draft SOP with trigger, inputs, roles, checks and exceptions; screenshot sequence alone does not establish the business rule.</w:t>
      </w:r>
    </w:p>
    <w:p>
      <w:pPr>
        <w:pStyle w:val="ListBullet"/>
      </w:pPr>
      <w:r>
        <w:rPr>
          <w:b w:val="0"/>
        </w:rPr>
        <w:t>Attorney reviews and approves; convert to delegation blueprint or implementation project. Freelancer can save a generalized method only after ownership/client confidentiality review.</w:t>
      </w:r>
    </w:p>
    <w:p>
      <w:pPr>
        <w:pStyle w:val="Heading2"/>
      </w:pPr>
      <w:r>
        <w:t>Capture schema</w:t>
      </w:r>
    </w:p>
    <w:p>
      <w:r>
        <w:rPr>
          <w:b w:val="0"/>
        </w:rPr>
        <w:t>capture_session: owner/context, allowed origins, start/stop, extension/browser/version, consent, status. capture_step: ordinal, action type, sanitized locator/label, relative timestamp, screenshot asset ID, redaction state and annotation. Source-of-truth is the approved artifact version, not a permanent raw screen recording.</w:t>
      </w:r>
    </w:p>
    <w:p>
      <w:r>
        <w:rPr>
          <w:b w:val="0"/>
        </w:rPr>
      </w:r>
      <w:r>
        <w:rPr>
          <w:b/>
        </w:rPr>
        <w:t>State:</w:t>
      </w:r>
      <w:r>
        <w:rPr>
          <w:b w:val="0"/>
        </w:rPr>
        <w:t xml:space="preserve"> local_draft -&gt; reviewed -&gt; upload_pending -&gt; quarantined_or_processing -&gt; draft_playbook -&gt; approved. Partial upload preserves local progress under a bounded retention policy and never publishes automatically.</w:t>
      </w:r>
    </w:p>
    <w:p>
      <w:r>
        <w:rPr>
          <w:b w:val="0"/>
        </w:rPr>
      </w:r>
      <w:r>
        <w:rPr>
          <w:b/>
        </w:rPr>
        <w:t>Tests:</w:t>
      </w:r>
      <w:r>
        <w:rPr>
          <w:b w:val="0"/>
        </w:rPr>
        <w:t xml:space="preserve"> Pause actually stops listeners/screenshots; sensitive field values never enter messages; navigation does not misattribute steps; multiple tabs do not mix matters; user deleting a screenshot removes it from derivative draft; revoked access blocks processing after upload.</w:t>
      </w:r>
    </w:p>
    <w:p>
      <w:r>
        <w:br w:type="page"/>
      </w:r>
    </w:p>
    <w:p>
      <w:pPr>
        <w:pStyle w:val="Heading1"/>
      </w:pPr>
      <w:r>
        <w:t>3. Browser architecture and permission model</w:t>
      </w:r>
    </w:p>
    <w:p>
      <w:r>
        <w:rPr>
          <w:b w:val="0"/>
        </w:rPr>
        <w:t>Use a shared capture/schema/auth core and separate browser manifests/adapters. Chrome Manifest V3 and Firefox WebExtensions must be tested individually; Mozilla documents meaningful differences rather than guaranteed drop-in compatibility. [S18, S19]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Extension UI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Explicit capture start/stop, workspace selection, review/redaction, upload status and budget disclosure.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Content script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Minimal event observation on approved origin; no general network/session interception; untrusted page cannot call privileged APIs directly.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Extension background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Session lifecycle, permission checks, bounded capture messages and authenticated upload requests. Durable local state only as needed.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Capture API / worker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Verify owner/entitlement, issue scoped upload authorization, quarantine/scan, transform selected steps, log provenance and enforce retention.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Playbook service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Own resulting structured template/version; other clients use the same API rather than extension-specific business rules.</w:t>
            </w:r>
          </w:p>
        </w:tc>
      </w:tr>
    </w:tbl>
    <w:p>
      <w:pPr>
        <w:spacing w:after="20"/>
      </w:pPr>
    </w:p>
    <w:p>
      <w:r>
        <w:rPr>
          <w:b w:val="0"/>
        </w:rPr>
        <w:t>Chrome activeTab grants temporary access after a user gesture and can lose access on navigation to another origin. Broad persistent host permission must not be the default simply to avoid reauthorization. [S18] Capture across complex apps/iframes requires an explicit capability matrix and a safe unsupported state.</w:t>
      </w:r>
    </w:p>
    <w:p>
      <w:r>
        <w:rPr>
          <w:b w:val="0"/>
        </w:rPr>
        <w:t>Dia publicly documents Chromium side-panel support; that is evidence for compatibility testing, not proof that DELA recording, downloads, storage, authentication or every extension API works. Verify current OS/browser versions and publish only tested support. [S20]</w:t>
      </w:r>
    </w:p>
    <w:p>
      <w:pPr>
        <w:pStyle w:val="ListBullet"/>
      </w:pPr>
      <w:r>
        <w:rPr>
          <w:b w:val="0"/>
        </w:rPr>
        <w:t>No BYOK, Stripe or BD secrets in extension storage, bundled code or page messages. Use short-lived scoped tokens and secure session exchange.</w:t>
      </w:r>
    </w:p>
    <w:p>
      <w:pPr>
        <w:pStyle w:val="ListBullet"/>
      </w:pPr>
      <w:r>
        <w:rPr>
          <w:b w:val="0"/>
        </w:rPr>
        <w:t>Validate message origin/type/schema, object ownership and payload size; restrict externally connectable interfaces. Reject arbitrary code/HTML injection requests.</w:t>
      </w:r>
    </w:p>
    <w:p>
      <w:pPr>
        <w:pStyle w:val="ListBullet"/>
      </w:pPr>
      <w:r>
        <w:rPr>
          <w:b w:val="0"/>
        </w:rPr>
        <w:t>Strip URL queries/fragments and sensitive titles unless explicitly needed and approved. Deny credentials, billing portals, protected browser pages and unsupported sensitive origins.</w:t>
      </w:r>
    </w:p>
    <w:p>
      <w:pPr>
        <w:pStyle w:val="ListBullet"/>
      </w:pPr>
      <w:r>
        <w:rPr>
          <w:b w:val="0"/>
        </w:rPr>
        <w:t>Build store submissions, permissions explanations, privacy disclosures, signed releases, dependency scanning and rollback/version-block policy. Chrome/Firefox review readiness is an external dependency.</w:t>
      </w:r>
    </w:p>
    <w:p>
      <w:r>
        <w:br w:type="page"/>
      </w:r>
    </w:p>
    <w:p>
      <w:pPr>
        <w:pStyle w:val="Heading1"/>
      </w:pPr>
      <w:r>
        <w:t>4. Integration Gateway and data synchronization</w:t>
      </w:r>
    </w:p>
    <w:p>
      <w:r>
        <w:rPr>
          <w:b w:val="0"/>
        </w:rPr>
        <w:t>Each connector declares capabilities, data categories, authentication mode, scopes, supported operations, rate limits, webhook/cursor behavior, costs and failure recovery. A commercial connection allowance is not authorization to read everything available in the provider account.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Required fields / behavior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connection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owner workspace, authenticating user, provider tenant/region, scopes, approved resource filters, status, credential reference, consent version, last sync.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external_record_link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connection + provider resource ID -&gt; internal object/version; unique mapping prevents duplicates and cross-tenant collision.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sync_checkpoint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cursor/token, watermark, provider sequence, last successful reconciliation, refresh lease; invalid cursor triggers bounded resync.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action proposal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operation, exact target, before/after diff, source version, requested actor, approval, expiry and idempotency key.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sync error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classification, retry count, next attempt, affected resource, safe user message and remediation owner.</w:t>
            </w:r>
          </w:p>
        </w:tc>
      </w:tr>
    </w:tbl>
    <w:p>
      <w:pPr>
        <w:spacing w:after="20"/>
      </w:pPr>
    </w:p>
    <w:p>
      <w:r>
        <w:rPr>
          <w:b w:val="0"/>
        </w:rPr>
        <w:t>Use OAuth state, PKCE where applicable, redirect allowlist and secure token lifecycle. Validate provider tenant identity, minimum scopes and reconsent when scopes change. Token refresh is lock-protected so concurrent workers do not invalidate one another.</w:t>
      </w:r>
    </w:p>
    <w:p>
      <w:r>
        <w:rPr>
          <w:b w:val="0"/>
        </w:rPr>
        <w:t>Define field-level authority: provider owns its source matters/calendars/files; DELA owns playbook design, Lawfecta agreements and its task instances. Do not claim exactly-once across vendors. Store idempotency/external identifiers, requery before retrying unknown outcomes and route conflicts rather than overwriting user edits.</w:t>
      </w:r>
    </w:p>
    <w:p>
      <w:r>
        <w:rPr>
          <w:b w:val="0"/>
        </w:rPr>
      </w:r>
      <w:r>
        <w:rPr>
          <w:b/>
        </w:rPr>
        <w:t>Disconnect:</w:t>
      </w:r>
      <w:r>
        <w:rPr>
          <w:b w:val="0"/>
        </w:rPr>
        <w:t xml:space="preserve"> revoke upstream where supported, stop polling/webhooks, cancel pending jobs, restrict cached context and apply retention/deletion policy. Display last sync and degraded mode. A stale provider task cannot trigger financial acceptance.</w:t>
      </w:r>
    </w:p>
    <w:p>
      <w:r>
        <w:rPr>
          <w:b w:val="0"/>
        </w:rPr>
      </w:r>
      <w:r>
        <w:rPr>
          <w:b/>
        </w:rPr>
        <w:t>Future readiness:</w:t>
      </w:r>
      <w:r>
        <w:rPr>
          <w:b w:val="0"/>
        </w:rPr>
        <w:t xml:space="preserve"> Capability names remain provider-neutral, raw response/status retained only under minimization rules. Provider replacement must not change ownership or resurrect revoked grants. Do not forward one provider's token into another or through an MCP client.</w:t>
      </w:r>
    </w:p>
    <w:p>
      <w:r>
        <w:br w:type="page"/>
      </w:r>
    </w:p>
    <w:p>
      <w:pPr>
        <w:pStyle w:val="Heading1"/>
      </w:pPr>
      <w:r>
        <w:t>5. Initial connector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672"/>
        <w:gridCol w:w="4392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Connector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First useful capability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Permission and 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Google / Outlook Calendar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Meetings, selected availability and follow-up preparation; conflict-check booking.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Selected calendars and least-required read/free-busy; event creation is a separate consented write. Meeting metadata does not prove attendance.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Clio Manage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Selected task/matter context for delegation and status reading.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Application scopes AND connected user permissions constrain access. Read/write scopes may include deletion; DELA must prohibit unneeded delete actions. [S21]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Google Drive / OneDrive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Selected documents and approved playbook delivery.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Use narrow selected-file permissions where supported; resource selection UI is not necessarily a provider-enforced scope. Verify exact endpoint/token privileges.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Gmail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User-selected correspondence supporting defined workflow.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Broad read/compose scopes can be restricted and require verification/security assessment when server data is stored or transmitted. No broad mailbox launch before gates. [S22]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Outlook email / tasks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Selected messages, task lists and reviewed drafts.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Delegated Graph permissions appropriate to operation; sending is separate authority. Organization consent can be required. [S23]</w:t>
            </w:r>
          </w:p>
        </w:tc>
      </w:tr>
    </w:tbl>
    <w:p>
      <w:pPr>
        <w:spacing w:after="20"/>
      </w:pPr>
    </w:p>
    <w:p>
      <w:r>
        <w:rPr>
          <w:b w:val="0"/>
        </w:rPr>
        <w:t>Proposed sequencing favors calendars and selected context before broad email intelligence. Actual member adoption should determine Clio versus calendar order; do not assume all solo attorneys use the same system. Clio Grow is a separate product/API authorization investigation, not implied by Manage access.</w:t>
      </w:r>
    </w:p>
    <w:p>
      <w:r>
        <w:rPr>
          <w:b w:val="0"/>
        </w:rPr>
        <w:t>Other practice-management systems, Fidu, QuickBooks, Canva and external CRM products remain optional later adapters. Before any is promised, verify API/partner eligibility, sandbox, scopes, available endpoints, fees, deletion and data terms. No commercial partner agreement is assumed.</w:t>
      </w:r>
    </w:p>
    <w:p>
      <w:r>
        <w:rPr>
          <w:b w:val="0"/>
        </w:rPr>
      </w:r>
      <w:r>
        <w:rPr>
          <w:b/>
        </w:rPr>
        <w:t>Member allowance:</w:t>
      </w:r>
      <w:r>
        <w:rPr>
          <w:b w:val="0"/>
        </w:rPr>
        <w:t xml:space="preserve"> One connected external account/tenant is the recommended count unit; define whether multiple calendars under it count separately. Action and sync volume budgets are separate. Include grace/reconnection and downgrade behavior that preserves previously created Lawfecta work.</w:t>
      </w:r>
    </w:p>
    <w:p>
      <w:r>
        <w:br w:type="page"/>
      </w:r>
    </w:p>
    <w:p>
      <w:pPr>
        <w:pStyle w:val="Heading1"/>
      </w:pPr>
      <w:r>
        <w:t>6. Meeting Companion and cross-system execution</w:t>
      </w:r>
    </w:p>
    <w:p>
      <w:r>
        <w:rPr>
          <w:b w:val="0"/>
        </w:rPr>
        <w:t>A meeting appears from an authorized source. DELA offers preparation from selected prior tasks/playbook and user-approved notes. After the scheduled end it offers follow-up; it never asserts the meeting occurred or invents decisions based on calendar title.</w:t>
      </w:r>
    </w:p>
    <w:p>
      <w:pPr>
        <w:pStyle w:val="ListBullet"/>
      </w:pPr>
      <w:r>
        <w:rPr>
          <w:b w:val="0"/>
        </w:rPr>
        <w:t>Before: purpose, agenda, outstanding approved tasks and questions. Source each factual statement; show stale or missing source state.</w:t>
      </w:r>
    </w:p>
    <w:p>
      <w:pPr>
        <w:pStyle w:val="ListBullet"/>
      </w:pPr>
      <w:r>
        <w:rPr>
          <w:b w:val="0"/>
        </w:rPr>
        <w:t>After: user supplies notes or authorizes a transcript provider. Recording/transcription consent and terms require review; no covert recording.</w:t>
      </w:r>
    </w:p>
    <w:p>
      <w:pPr>
        <w:pStyle w:val="ListBullet"/>
      </w:pPr>
      <w:r>
        <w:rPr>
          <w:b w:val="0"/>
        </w:rPr>
        <w:t>Extract proposed action items with owner, date evidence, source excerpt and unresolved ambiguity. Distinguish asserted deadline from suggested follow-up date.</w:t>
      </w:r>
    </w:p>
    <w:p>
      <w:pPr>
        <w:pStyle w:val="ListBullet"/>
      </w:pPr>
      <w:r>
        <w:rPr>
          <w:b w:val="0"/>
        </w:rPr>
        <w:t>Attorney confirms which actions require legal judgment, existing staff, bench talent or a new gig. Create drafts before commitments.</w:t>
      </w:r>
    </w:p>
    <w:p>
      <w:pPr>
        <w:pStyle w:val="ListBullet"/>
      </w:pPr>
      <w:r>
        <w:rPr>
          <w:b w:val="0"/>
        </w:rPr>
        <w:t>On explicit write approval, show destination and exact changes. Recheck target permission/current version; create/update with duplicate prevention.</w:t>
      </w:r>
    </w:p>
    <w:p>
      <w:pPr>
        <w:pStyle w:val="ListBullet"/>
      </w:pPr>
      <w:r>
        <w:rPr>
          <w:b w:val="0"/>
        </w:rPr>
        <w:t>Freelancers see only assigned engagement material, not the attorney's mailbox or whole Clio matter. Their independent business context cannot be combined with another client's work.</w:t>
      </w:r>
    </w:p>
    <w:p>
      <w:r>
        <w:rPr>
          <w:b w:val="0"/>
        </w:rPr>
      </w:r>
      <w:r>
        <w:rPr>
          <w:b/>
        </w:rPr>
        <w:t>Workflow example:</w:t>
      </w:r>
      <w:r>
        <w:rPr>
          <w:b w:val="0"/>
        </w:rPr>
        <w:t xml:space="preserve"> selected consultation notes -&gt; three proposed administrative tasks -&gt; approved intake playbook -&gt; suitable existing bench candidate -&gt; offer under current mandate or fresh approval -&gt; funded start. Calendar connection alone never authorizes hiring or payment.</w:t>
      </w:r>
    </w:p>
    <w:p>
      <w:r>
        <w:rPr>
          <w:b w:val="0"/>
        </w:rPr>
      </w:r>
      <w:r>
        <w:rPr>
          <w:b/>
        </w:rPr>
        <w:t>Human+technology recommendation:</w:t>
      </w:r>
      <w:r>
        <w:rPr>
          <w:b w:val="0"/>
        </w:rPr>
        <w:t xml:space="preserve"> A captured repetitive process may lead to optimizing existing tools, an approved software recommendation, or human delegation. It must not become arbitrary web browsing/vendor endorsements. Keep standard and firm-specific scoring and evidence versions from 1A.</w:t>
      </w:r>
    </w:p>
    <w:p>
      <w:r>
        <w:rPr>
          <w:b w:val="0"/>
        </w:rPr>
      </w:r>
      <w:r>
        <w:rPr>
          <w:b/>
        </w:rPr>
        <w:t>Tests:</w:t>
      </w:r>
      <w:r>
        <w:rPr>
          <w:b w:val="0"/>
        </w:rPr>
        <w:t xml:space="preserve"> Provider token expires halfway through task creation; retry does not duplicate. A source document changes while approval is pending; require refresh. Meeting no-show has no attendance export. Transcript injection cannot send email. Revoked freelancer permission blocks a queued follow-up even when the integration token remains valid.</w:t>
      </w:r>
    </w:p>
    <w:p>
      <w:r>
        <w:br w:type="page"/>
      </w:r>
    </w:p>
    <w:p>
      <w:pPr>
        <w:pStyle w:val="Heading1"/>
      </w:pPr>
      <w:r>
        <w:t>7. Privacy, safety and operating cost</w:t>
      </w:r>
    </w:p>
    <w:p>
      <w:r>
        <w:rPr>
          <w:b w:val="0"/>
        </w:rPr>
        <w:t>The security gate applies before real matter context or captures are processed. Browser content often contains privileged/client information even when the user is only demonstrating a workflow. A TOS warning, automatic redactor or BYOK connection is not proof of safe disclosure.</w:t>
      </w:r>
    </w:p>
    <w:p>
      <w:pPr>
        <w:pStyle w:val="ListBullet"/>
      </w:pPr>
      <w:r>
        <w:rPr>
          <w:b w:val="0"/>
        </w:rPr>
        <w:t>Capture raw data stays local until review where feasible. Backend upload is private and quarantined; display the exact destination/workspace. No background recording or silent resume after browser restart.</w:t>
      </w:r>
    </w:p>
    <w:p>
      <w:pPr>
        <w:pStyle w:val="ListBullet"/>
      </w:pPr>
      <w:r>
        <w:rPr>
          <w:b w:val="0"/>
        </w:rPr>
        <w:t>Use explicit deny rules for password/auth/payment pages; protect against cross-origin iframe leakage and URLs containing secrets. Prefer synthetic training accounts.</w:t>
      </w:r>
    </w:p>
    <w:p>
      <w:pPr>
        <w:pStyle w:val="ListBullet"/>
      </w:pPr>
      <w:r>
        <w:rPr>
          <w:b w:val="0"/>
        </w:rPr>
        <w:t>Store provenance and derivation links so deleting/revoking a source invalidates screenshots, text chunks, embeddings, summaries and cached outputs under retention rules.</w:t>
      </w:r>
    </w:p>
    <w:p>
      <w:pPr>
        <w:pStyle w:val="ListBullet"/>
      </w:pPr>
      <w:r>
        <w:rPr>
          <w:b w:val="0"/>
        </w:rPr>
        <w:t>Detect injection in pages/transcripts as untrusted content; downstream authorization remains the real defense. Never let page text enable a connector or a capture permission.</w:t>
      </w:r>
    </w:p>
    <w:p>
      <w:pPr>
        <w:pStyle w:val="ListBullet"/>
      </w:pPr>
      <w:r>
        <w:rPr>
          <w:b w:val="0"/>
        </w:rPr>
        <w:t>Local redaction must remove source pixels from published/exported images; retain raw originals only if explicitly authorized under a separate retention class.</w:t>
      </w:r>
    </w:p>
    <w:p>
      <w:pPr>
        <w:pStyle w:val="ListBullet"/>
      </w:pPr>
      <w:r>
        <w:rPr>
          <w:b w:val="0"/>
        </w:rPr>
        <w:t>Limit screenshots, pixels, sessions, upload bandwidth, AI tokens, concurrency, sync frequency, retry volume and total storage. Changed-section processing avoids repeatedly analyzing the same playbook.</w:t>
      </w:r>
    </w:p>
    <w:p>
      <w:r>
        <w:rPr>
          <w:b w:val="0"/>
        </w:rPr>
      </w:r>
      <w:r>
        <w:rPr>
          <w:b/>
        </w:rPr>
        <w:t>Cost accounting:</w:t>
      </w:r>
      <w:r>
        <w:rPr>
          <w:b w:val="0"/>
        </w:rPr>
        <w:t xml:space="preserve"> Per-capture cost = image/vision processing + text generation + orchestration + storage/egress + redaction/moderation + support. BYOK covers only routed provider operations. Per-connection cost includes sync jobs, failed refreshes, webhook renewal, support and third-party subscription obligations.</w:t>
      </w:r>
    </w:p>
    <w:p>
      <w:r>
        <w:rPr>
          <w:b w:val="0"/>
        </w:rPr>
      </w:r>
      <w:r>
        <w:rPr>
          <w:b/>
        </w:rPr>
        <w:t>Proposed limits for testing:</w:t>
      </w:r>
      <w:r>
        <w:rPr>
          <w:b w:val="0"/>
        </w:rPr>
        <w:t xml:space="preserve"> One short supported workflow before broader capture; bounded screenshot count and upload bytes entered as feature-policy configuration. Do not publish earlier illustrative 5/20/50 capture quotas or $0.25-$2 cost ranges as measured facts.</w:t>
      </w:r>
    </w:p>
    <w:p>
      <w:r>
        <w:rPr>
          <w:b w:val="0"/>
        </w:rPr>
      </w:r>
      <w:r>
        <w:rPr>
          <w:b/>
        </w:rPr>
        <w:t>Emergency controls:</w:t>
      </w:r>
      <w:r>
        <w:rPr>
          <w:b w:val="0"/>
        </w:rPr>
        <w:t xml:space="preserve"> stop new captures, reject a vulnerable extension version, pause a connector/provider, disable all external writes and revoke a compromised key. Preserve lawful view/evidence access.</w:t>
      </w:r>
    </w:p>
    <w:p>
      <w:r>
        <w:br w:type="page"/>
      </w:r>
    </w:p>
    <w:p>
      <w:pPr>
        <w:pStyle w:val="Heading1"/>
      </w:pPr>
      <w:r>
        <w:t>8. Build packages, tests and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92"/>
        <w:gridCol w:w="3744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Required tests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B1 Capture contracts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capture/session/step/artifact schemas; allowed-data and permission policy; extension auth.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Cross-tenant uploads, stale tokens, private URL denial, large payloads.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B2 Browser clients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Chrome + Firefox recorder/review UI; Dia test report.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Stop/pause, cross-origin, iframe, SPA navigation, inaccessible steps, browser restart, redaction and keyboard access.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B3 Processing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Private upload, scan, image/text extraction, SOP drafts and budget tracking.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Partial uploads, duplicate events, deleted source, retry cost and malformed assets.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B4 Connectors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OAuth gateway, calendars, selected files/Clio, sync dashboard.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Refresh races, revoked scopes, missing events, quotas, conflict and disconnect.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B5 Approved writes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Diff/approval, task/calendar creation and safe retry.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Expired approval, changed source, duplicate job, unauthorized recipient and partial failure.</w:t>
            </w:r>
          </w:p>
        </w:tc>
      </w:tr>
    </w:tbl>
    <w:p>
      <w:pPr>
        <w:spacing w:after="20"/>
      </w:pPr>
    </w:p>
    <w:p>
      <w:r>
        <w:rPr>
          <w:b w:val="0"/>
        </w:rPr>
      </w:r>
      <w:r>
        <w:rPr>
          <w:b/>
        </w:rPr>
        <w:t>Acceptance output:</w:t>
      </w:r>
      <w:r>
        <w:rPr>
          <w:b w:val="0"/>
        </w:rPr>
        <w:t xml:space="preserve"> exact tested browser/OS and provider versions, supported page types, unavailable capabilities, privacy review, sample captures, sanitized output review, restore/deletion evidence, performance and cost report. No automatic certification of an unsupported browser.</w:t>
      </w:r>
    </w:p>
    <w:p>
      <w:pPr>
        <w:pStyle w:val="Heading2"/>
      </w:pPr>
      <w:r>
        <w:t>Phase 1B build prompt</w:t>
      </w:r>
    </w:p>
    <w:p>
      <w:pPr>
        <w:spacing w:after="140" w:line="240" w:lineRule="auto"/>
        <w:shd w:fill="F3F3F3"/>
      </w:pPr>
      <w:r>
        <w:rPr>
          <w:rFonts w:ascii="Consolas" w:hAnsi="Consolas"/>
          <w:sz w:val="18"/>
        </w:rPr>
        <w:t>Read guide, Phase 1A invariants and this specification.</w:t>
        <w:br/>
        <w:t>Select B1-B5 explicitly; inventory current schema and adapters.</w:t>
        <w:br/>
        <w:t>Produce permission/data-flow diagrams and synthetic test cases.</w:t>
        <w:br/>
        <w:t>Confirm vendor scopes and approval requirements in current docs.</w:t>
        <w:br/>
        <w:t>Implement only after explicit authorization in isolated staging.</w:t>
        <w:br/>
        <w:t>Never collect passwords, hidden values or broad browsing history.</w:t>
        <w:br/>
        <w:t>No live client capture, production OAuth changes or external</w:t>
        <w:br/>
        <w:t>writes without separate approved release gates.</w:t>
      </w:r>
    </w:p>
    <w:p>
      <w:r>
        <w:rPr>
          <w:b w:val="0"/>
        </w:rPr>
      </w:r>
      <w:r>
        <w:rPr>
          <w:b/>
        </w:rPr>
        <w:t>Dependency planning:</w:t>
      </w:r>
      <w:r>
        <w:rPr>
          <w:b w:val="0"/>
        </w:rPr>
        <w:t xml:space="preserve"> Capture and connectors can be delivered independently. Keep their UI availability honest; a paid allowance is not a promise that every named integration is shipped. If privacy review fails for email, launch approved calendars/capture only rather than weaken the gate.</w:t>
      </w:r>
    </w:p>
    <w:p>
      <w:r>
        <w:br w:type="page"/>
      </w:r>
    </w:p>
    <w:p>
      <w:pPr>
        <w:pStyle w:val="Heading1"/>
      </w:pPr>
      <w:r>
        <w:t>9. Validation, rollout and future hooks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8B1F3F"/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Proposed test / interpretation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Capture usefulness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At least 20 completed capture attempts from varied real users using sanitized tasks; &gt;=60% become approved usable playbooks. Report unsupported-page abandonment.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Time saved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Compare equivalent manual documentation vs capture+correction; proposed median &gt;=20% reduction without missed critical steps.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Connector retention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Connection success, successful first sync, active use by mature 30-day cohort, revocation rate and support burden; target depends on eligible demand, not all registered users.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Commercial contribution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Compare capture/integration users' completed paid work, exports and membership contribution against all variable costs; account for self-selection.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Reliability / security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Required isolation, revoke, delete, retry and conflict tests pass; no blocking leakage/write finding. Measure both all deliveries and endpoint-specific failures.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Expansion decision</w:t>
            </w:r>
          </w:p>
        </w:tc>
        <w:tc>
          <w:tcPr>
            <w:tcW w:type="dxa" w:w="79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Add a connector only with repeated supported demand, verified API/rights and a credible maintenance budget; not merely because a vendor is popular.</w:t>
            </w:r>
          </w:p>
        </w:tc>
      </w:tr>
    </w:tbl>
    <w:p>
      <w:pPr>
        <w:spacing w:after="20"/>
      </w:pPr>
    </w:p>
    <w:p>
      <w:r>
        <w:rPr>
          <w:b w:val="0"/>
        </w:rPr>
      </w:r>
      <w:r>
        <w:rPr>
          <w:b/>
        </w:rPr>
        <w:t>Rollout:</w:t>
      </w:r>
      <w:r>
        <w:rPr>
          <w:b w:val="0"/>
        </w:rPr>
        <w:t xml:space="preserve"> internal synthetic tests -&gt; supported browser/version availability to eligible broad membership under flags -&gt; approved nonconfidential connected workflows -&gt; confidential-data capability only after separate signoff. Paid-plan access is uniform by catalog; caps vary by plan.</w:t>
      </w:r>
    </w:p>
    <w:p>
      <w:r>
        <w:rPr>
          <w:b w:val="0"/>
        </w:rPr>
      </w:r>
      <w:r>
        <w:rPr>
          <w:b/>
        </w:rPr>
        <w:t>Build for Phase 1C:</w:t>
      </w:r>
      <w:r>
        <w:rPr>
          <w:b w:val="0"/>
        </w:rPr>
        <w:t xml:space="preserve"> licensing/ownership attestations, captured-source rights, irreversible publish redaction and artifact versioning. </w:t>
      </w:r>
      <w:r>
        <w:rPr>
          <w:b/>
        </w:rPr>
        <w:t>Build for Phase 2:</w:t>
      </w:r>
      <w:r>
        <w:rPr>
          <w:b w:val="0"/>
        </w:rPr>
        <w:t xml:space="preserve"> provider-neutral capabilities, explicit action proposals, event triggers and reversible write history. </w:t>
      </w:r>
      <w:r>
        <w:rPr>
          <w:b/>
        </w:rPr>
        <w:t>Build for Phase 3:</w:t>
      </w:r>
      <w:r>
        <w:rPr>
          <w:b w:val="0"/>
        </w:rPr>
        <w:t xml:space="preserve"> connector cost/reliability instrumentation, regional/country fields and migration/version policy.</w:t>
      </w:r>
    </w:p>
    <w:p>
      <w:pPr>
        <w:spacing w:before="80" w:after="180"/>
        <w:shd w:fill="F7ECE7"/>
      </w:pPr>
      <w:r>
        <w:rPr>
          <w:b w:val="0"/>
        </w:rPr>
      </w:r>
      <w:r>
        <w:rPr>
          <w:b/>
        </w:rPr>
        <w:t>Do not advance on activity alone</w:t>
      </w:r>
      <w:r>
        <w:rPr>
          <w:b w:val="0"/>
        </w:rPr>
        <w:t xml:space="preserve">  Many screenshots or synchronized records are not success. Advance when members create usable processes with less effort and convert that value into retained paid use or better on-platform delegation. Pause any channel producing confidential-data exposure or unauthorized actions.</w:t>
      </w:r>
    </w:p>
    <w:p>
      <w:r>
        <w:br w:type="page"/>
      </w:r>
    </w:p>
    <w:p>
      <w:pPr>
        <w:pStyle w:val="Heading1"/>
      </w:pPr>
      <w:r>
        <w:t>Reference notes</w:t>
      </w:r>
    </w:p>
    <w:p>
      <w:r>
        <w:t>Primary technical and regulatory sources checked on 25 October 2026. Revalidate provider behavior, pricing and applicable law before implementation. [Sxx] labels identify sources; unlabelled requirement language is a Lawfecta product decision or proposed engineering design, not a vendor guarantee.</w:t>
      </w:r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[S03] Supabase, Row Level Security</w:t>
      </w:r>
      <w:r>
        <w:rPr>
          <w:b w:val="0"/>
          <w:sz w:val="18"/>
        </w:rPr>
      </w:r>
      <w:r>
        <w:rPr>
          <w:sz w:val="18"/>
        </w:rPr>
        <w:br/>
      </w:r>
      <w:hyperlink r:id="rId11">
        <w:r>
          <w:rPr>
            <w:color w:val="8B1F3F"/>
            <w:sz w:val="18"/>
          </w:rPr>
          <w:t>https://supabase.com/docs/guides/database/postgres/row-level-security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[S04] Supabase, Database Backups</w:t>
      </w:r>
      <w:r>
        <w:rPr>
          <w:b w:val="0"/>
          <w:sz w:val="18"/>
        </w:rPr>
      </w:r>
      <w:r>
        <w:rPr>
          <w:sz w:val="18"/>
        </w:rPr>
        <w:br/>
      </w:r>
      <w:hyperlink r:id="rId12">
        <w:r>
          <w:rPr>
            <w:color w:val="8B1F3F"/>
            <w:sz w:val="18"/>
          </w:rPr>
          <w:t>https://supabase.com/docs/guides/platform/backups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[S05] Supabase, Edge Function Limits and Background Tasks</w:t>
      </w:r>
      <w:r>
        <w:rPr>
          <w:b w:val="0"/>
          <w:sz w:val="18"/>
        </w:rPr>
      </w:r>
      <w:r>
        <w:rPr>
          <w:sz w:val="18"/>
        </w:rPr>
        <w:br/>
      </w:r>
      <w:hyperlink r:id="rId13">
        <w:r>
          <w:rPr>
            <w:color w:val="8B1F3F"/>
            <w:sz w:val="18"/>
          </w:rPr>
          <w:t>https://supabase.com/docs/guides/functions/limits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[S14] OpenAI, API Data Controls</w:t>
      </w:r>
      <w:r>
        <w:rPr>
          <w:b w:val="0"/>
          <w:sz w:val="18"/>
        </w:rPr>
      </w:r>
      <w:r>
        <w:rPr>
          <w:sz w:val="18"/>
        </w:rPr>
        <w:br/>
      </w:r>
      <w:hyperlink r:id="rId14">
        <w:r>
          <w:rPr>
            <w:color w:val="8B1F3F"/>
            <w:sz w:val="18"/>
          </w:rPr>
          <w:t>https://developers.openai.com/api/docs/guides/your-data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[S15] OWASP, LLM06:2025 Excessive Agency</w:t>
      </w:r>
      <w:r>
        <w:rPr>
          <w:b w:val="0"/>
          <w:sz w:val="18"/>
        </w:rPr>
      </w:r>
      <w:r>
        <w:rPr>
          <w:sz w:val="18"/>
        </w:rPr>
        <w:br/>
      </w:r>
      <w:hyperlink r:id="rId15">
        <w:r>
          <w:rPr>
            <w:color w:val="8B1F3F"/>
            <w:sz w:val="18"/>
          </w:rPr>
          <w:t>https://genai.owasp.org/llmrisk/llm062025-excessive-agency/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[S16] OWASP, LLM01:2025 Prompt Injection</w:t>
      </w:r>
      <w:r>
        <w:rPr>
          <w:b w:val="0"/>
          <w:sz w:val="18"/>
        </w:rPr>
      </w:r>
      <w:r>
        <w:rPr>
          <w:sz w:val="18"/>
        </w:rPr>
        <w:br/>
      </w:r>
      <w:hyperlink r:id="rId16">
        <w:r>
          <w:rPr>
            <w:color w:val="8B1F3F"/>
            <w:sz w:val="18"/>
          </w:rPr>
          <w:t>https://genai.owasp.org/llmrisk/llm01-prompt-injection/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[S18] Chrome Extensions, activeTab Permission</w:t>
      </w:r>
      <w:r>
        <w:rPr>
          <w:b w:val="0"/>
          <w:sz w:val="18"/>
        </w:rPr>
      </w:r>
      <w:r>
        <w:rPr>
          <w:sz w:val="18"/>
        </w:rPr>
        <w:br/>
      </w:r>
      <w:hyperlink r:id="rId17">
        <w:r>
          <w:rPr>
            <w:color w:val="8B1F3F"/>
            <w:sz w:val="18"/>
          </w:rPr>
          <w:t>https://developer.chrome.com/docs/extensions/develop/concepts/activeTab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[S19] MDN, Chrome / Firefox WebExtension Differences</w:t>
      </w:r>
      <w:r>
        <w:rPr>
          <w:b w:val="0"/>
          <w:sz w:val="18"/>
        </w:rPr>
      </w:r>
      <w:r>
        <w:rPr>
          <w:sz w:val="18"/>
        </w:rPr>
        <w:br/>
      </w:r>
      <w:hyperlink r:id="rId18">
        <w:r>
          <w:rPr>
            <w:color w:val="8B1F3F"/>
            <w:sz w:val="18"/>
          </w:rPr>
          <w:t>https://developer.mozilla.org/en-US/docs/Mozilla/Add-ons/WebExtensions/Chrome_incompatibilities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[S20] Dia, Chromium Extension Side-Panel Support</w:t>
      </w:r>
      <w:r>
        <w:rPr>
          <w:b w:val="0"/>
          <w:sz w:val="18"/>
        </w:rPr>
      </w:r>
      <w:r>
        <w:rPr>
          <w:sz w:val="18"/>
        </w:rPr>
        <w:br/>
      </w:r>
      <w:hyperlink r:id="rId19">
        <w:r>
          <w:rPr>
            <w:color w:val="8B1F3F"/>
            <w:sz w:val="18"/>
          </w:rPr>
          <w:t>https://www.diabrowser.com/release-notes/1-10-1-year-end-release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[S21] Clio Manage, API Permissions</w:t>
      </w:r>
      <w:r>
        <w:rPr>
          <w:b w:val="0"/>
          <w:sz w:val="18"/>
        </w:rPr>
      </w:r>
      <w:r>
        <w:rPr>
          <w:sz w:val="18"/>
        </w:rPr>
        <w:br/>
      </w:r>
      <w:hyperlink r:id="rId20">
        <w:r>
          <w:rPr>
            <w:color w:val="8B1F3F"/>
            <w:sz w:val="18"/>
          </w:rPr>
          <w:t>https://docs.developers.clio.com/api-docs/clio-manage/permissions/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[S22] Google, Gmail API Scopes and Verification</w:t>
      </w:r>
      <w:r>
        <w:rPr>
          <w:b w:val="0"/>
          <w:sz w:val="18"/>
        </w:rPr>
      </w:r>
      <w:r>
        <w:rPr>
          <w:sz w:val="18"/>
        </w:rPr>
        <w:br/>
      </w:r>
      <w:hyperlink r:id="rId21">
        <w:r>
          <w:rPr>
            <w:color w:val="8B1F3F"/>
            <w:sz w:val="18"/>
          </w:rPr>
          <w:t>https://developers.google.com/workspace/gmail/api/auth/scopes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[S23] Microsoft, Graph Permissions Reference</w:t>
      </w:r>
      <w:r>
        <w:rPr>
          <w:b w:val="0"/>
          <w:sz w:val="18"/>
        </w:rPr>
      </w:r>
      <w:r>
        <w:rPr>
          <w:sz w:val="18"/>
        </w:rPr>
        <w:br/>
      </w:r>
      <w:hyperlink r:id="rId22">
        <w:r>
          <w:rPr>
            <w:color w:val="8B1F3F"/>
            <w:sz w:val="18"/>
          </w:rPr>
          <w:t>https://learn.microsoft.com/en-us/graph/permissions-reference</w:t>
        </w:r>
      </w:hyperlink>
    </w:p>
    <w:p>
      <w:pPr>
        <w:keepLines/>
        <w:spacing w:line="240" w:lineRule="auto" w:after="120"/>
      </w:pPr>
      <w:r>
        <w:rPr>
          <w:b w:val="0"/>
          <w:sz w:val="18"/>
        </w:rPr>
      </w:r>
      <w:r>
        <w:rPr>
          <w:b/>
          <w:sz w:val="18"/>
        </w:rPr>
        <w:t>[S26] ABA, Formal Opinion 512 Overview</w:t>
      </w:r>
      <w:r>
        <w:rPr>
          <w:b w:val="0"/>
          <w:sz w:val="18"/>
        </w:rPr>
      </w:r>
      <w:r>
        <w:rPr>
          <w:sz w:val="18"/>
        </w:rPr>
        <w:br/>
      </w:r>
      <w:hyperlink r:id="rId23">
        <w:r>
          <w:rPr>
            <w:color w:val="8B1F3F"/>
            <w:sz w:val="18"/>
          </w:rPr>
          <w:t>https://www.americanbar.org/news/abanews/aba-news-archives/2024/07/aba-issues-first-ethics-guidance-ai-tools/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color w:val="666666"/>
        <w:sz w:val="16"/>
      </w:rPr>
      <w:t>v1.0  |  25 October 2026  |  Requirements &amp; architecture</w:t>
    </w:r>
    <w:r>
      <w:rPr>
        <w:sz w:val="16"/>
      </w:rPr>
      <w:t xml:space="preserve">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LAWFECTA  |  DELA  /  PHASE 1B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8B1F3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8B1F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8B1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8B1F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before="200"/>
    </w:pPr>
    <w:rPr>
      <w:rFonts w:asciiTheme="majorHAnsi" w:eastAsiaTheme="majorEastAsia" w:hAnsiTheme="majorHAnsi" w:cstheme="majorBidi" w:ascii="Calibri" w:hAnsi="Calibri"/>
      <w:i/>
      <w:iCs/>
      <w:color w:val="8B1F3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Calibri" w:hAnsi="Calibri"/>
      <w:color w:val="2222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Calibri" w:hAnsi="Calibri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Calibri" w:hAnsi="Calibri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abase.com/docs/guides/database/postgres/row-level-security" TargetMode="External"/><Relationship Id="rId12" Type="http://schemas.openxmlformats.org/officeDocument/2006/relationships/hyperlink" Target="https://supabase.com/docs/guides/platform/backups" TargetMode="External"/><Relationship Id="rId13" Type="http://schemas.openxmlformats.org/officeDocument/2006/relationships/hyperlink" Target="https://supabase.com/docs/guides/functions/limits" TargetMode="External"/><Relationship Id="rId14" Type="http://schemas.openxmlformats.org/officeDocument/2006/relationships/hyperlink" Target="https://developers.openai.com/api/docs/guides/your-data" TargetMode="External"/><Relationship Id="rId15" Type="http://schemas.openxmlformats.org/officeDocument/2006/relationships/hyperlink" Target="https://genai.owasp.org/llmrisk/llm062025-excessive-agency/" TargetMode="External"/><Relationship Id="rId16" Type="http://schemas.openxmlformats.org/officeDocument/2006/relationships/hyperlink" Target="https://genai.owasp.org/llmrisk/llm01-prompt-injection/" TargetMode="External"/><Relationship Id="rId17" Type="http://schemas.openxmlformats.org/officeDocument/2006/relationships/hyperlink" Target="https://developer.chrome.com/docs/extensions/develop/concepts/activeTab" TargetMode="External"/><Relationship Id="rId18" Type="http://schemas.openxmlformats.org/officeDocument/2006/relationships/hyperlink" Target="https://developer.mozilla.org/en-US/docs/Mozilla/Add-ons/WebExtensions/Chrome_incompatibilities" TargetMode="External"/><Relationship Id="rId19" Type="http://schemas.openxmlformats.org/officeDocument/2006/relationships/hyperlink" Target="https://www.diabrowser.com/release-notes/1-10-1-year-end-release" TargetMode="External"/><Relationship Id="rId20" Type="http://schemas.openxmlformats.org/officeDocument/2006/relationships/hyperlink" Target="https://docs.developers.clio.com/api-docs/clio-manage/permissions/" TargetMode="External"/><Relationship Id="rId21" Type="http://schemas.openxmlformats.org/officeDocument/2006/relationships/hyperlink" Target="https://developers.google.com/workspace/gmail/api/auth/scopes" TargetMode="External"/><Relationship Id="rId22" Type="http://schemas.openxmlformats.org/officeDocument/2006/relationships/hyperlink" Target="https://learn.microsoft.com/en-us/graph/permissions-reference" TargetMode="External"/><Relationship Id="rId23" Type="http://schemas.openxmlformats.org/officeDocument/2006/relationships/hyperlink" Target="https://www.americanbar.org/news/abanews/aba-news-archives/2024/07/aba-issues-first-ethics-guidance-ai-t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1B | Workflow Capture
&amp; Connected Work</dc:title>
  <dc:subject>DELA pre-development architecture and phased requirements</dc:subject>
  <dc:creator>Lawfecta</dc:creator>
  <cp:keywords>DELA, Lawfecta, requirements, architecture, pre-development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