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widowControl/>
        <w:jc w:val="right"/>
        <w:rPr>
          <w:rFonts w:ascii="Times New Roman" w:hAnsi="Times New Roman" w:cs="Times New Roman"/>
          <w:sz w:val="24"/>
          <w:szCs w:val="24"/>
          <w:b/>
        </w:rPr>
      </w:pPr>
      <w:r>
        <w:rPr>
          <w:rFonts w:ascii="Times New Roman" w:hAnsi="Times New Roman" w:cs="Times New Roman"/>
          <w:sz w:val="24"/>
          <w:szCs w:val="24"/>
          <w:b/>
        </w:rPr>
        <w:t xml:space="preserve">DOC-0152</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DOC-0152</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DIRECT ANSWER — EXECUTION OF DOC-1820 AMENDED AND RESTATED APPCRLT — WHETHER ALL REQUIREMENTS ARE MET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answer is no, not all requirements are met by execution of DOC-1820 alone. Execution of DOC-1820 is necessary but not sufficient. The following analysis explains precisely what execution of DOC-1820 accomplishes, what it does not accomplish, and what additional steps remain.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WHAT EXECUTION OF DOC-1820 ACCOMPLISHES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Execution of DOC-1820 supersedes the original executed APPCRLT, which was recorded in Pima County, Arizona on January 22, 2026, under instrument number 20260220007. The Amendment and Restatement Recital in DOC-1820 expressly states that this Amended and Restated Declaration supersedes and replaces the original Declaration in its entirety. The Trust's identity, EIN, and continuity are preserved without interruption. No retransfer of assets held under the original is required. All Schedule A entries validly recorded under the original continue in effect under the amended and restated instrument.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Execution of DOC-1820 establishes the pour-over coordination with the IFT as the receiving trust, which the original instrument did not contain in the form required by the estate package.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Execution of DOC-1820 establishes the Trust Protector provisions, the dual physician incapacity standard, the spendthrift and no-contest provisions, the insurance policy corpus election, the service agreement re-titling protocol, the grantor trust tax provisions, and the common law equity governing framework, none of which appeared in adequate form in the original instrument.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Execution of DOC-1820 with its schedules establishes the beneficiary class in Schedule E, the Trust Protector designation in Schedule F, the successor trustee designations in Schedules B and C, and the corpus schedule in Schedule A.</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WHAT EXECUTION OF DOC-1820 DOES NOT ACCOMPLISH ALONE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First, the res requirement is not fully met by execution of DOC-1820 alone. The original executed APPCRLT contains a Schedule A that conveys the Grantor's name and intellectual property in UCC secured party framework language. DOC-1820 Schedule A, designated DOC-1820-A, is listed as to be populated. If Schedule A is left blank or contains only the original general conveyance language, the administrative compliance requirement of Section 2.1 is not met. Section 2.1 requires a dated, signed, described, and valued entry for each asset. The original conveyance is legally sufficient to avoid nullity as established in DOC-0151, but it does not satisfy Section 2.1's documentation protocol. A proper Schedule A amendment identifying each asset with description, date, value, and transfer document reference must be executed simultaneously with or promptly after DOC-1820.</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Second, Schedule F must be populated with the Trust Protector identity before execution. Section 7.1 states that population of Schedule F is a condition of the operational effectiveness of this instrument. Execution of DOC-1820 without a populated Schedule F means the Trust Protector powers do not take effect and the instrument is not operationally effective as drafted.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Third, Schedule B must be populated with the First Successor Trustee identity before execution. Section 3.2 requires Schedule B to be executed by the Settlor before or simultaneously with the execution of this instrument. The no-gap requirement in Section 3.5 cannot be satisfied without a named successor.</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Fourth, Schedule E must be populated with the expanded family beneficiary class before execution. Section 5.2 states that Schedule E shall be populated before or simultaneously with execution to reflect the current known members of each tier. The beneficiary class is partially identified in the IFT Schedule F, DOC-1819-F, from prior sessions. That data must be transferred into APPCRLT Schedule 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Fifth, the IFT must be executed at the same time or before the APPCRLT amended and restated instrument is executed. The APPCRLT Article VIII pour-over provision names the IFT as the receiving trust. Under North Carolina law and the Uniform Testamentary Additions to Trusts Act as codified in N.C.G.S. Section 31-47, a pour-over direction to a trust requires that the receiving trust exist and be identified at the time of the pour-over direction. The pour-over Will under DOC-1833 pours to the APPCRLT, and the APPCRLT pours to the IFT. Both trusts must exist for the chain to be operative. The IFT must be executed before or simultaneously with the APPCRLT amended and restated instrument.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Sixth, the Trustee Resolution DOC-1834 must be executed simultaneously with or immediately after the APPCRLT amended and restated instrument to document the coordinated execution of the estate plan.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PRECISE SEQUENCE REQUIRED TO MEET ALL REQUIREMENTS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following is the minimum sequence that must be completed.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one. Populate all required APPCRLT schedules. Schedule A must list at minimum the dollar bill and any other assets being conveyed, with date, description, value, and transfer document reference. Schedule B must name the First Successor Trustee. Schedule E must name the beneficiary class members. Schedule F must name the Trust Protector.</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two. Execute the IFT, DOC-1818, with its schedules A, B, F, G, and H populated and the Settlor, Initial Trustee, and Trust Protector all signing and having their signatures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three. Execute the APPCRLT amended and restated DOC-1820 with the Trust Protector signing the acceptance block and two witnesses signing the attestation and the Settlor and initial Trustee signing and having signatures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four. Execute the APPCRLT Trustee Resolution DOC-1834 documenting the coordinated execution.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five. Execute the personal-capacity instruments in the following order: Trustee Resolution DOC-1834, Durable POA DOC-1831, Healthcare POA DOC-1832, Living Will DOC-1835, Pour-Over Will DOC-1833. The Will must be executed last because it references all other instruments as then existing.</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six. Execute sub-trust resolutions DOC-0137-A and DOC-0137-B after the IFT is executed.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Step seven. Execute proper Schedule A amendment for the APPCRLT identifying all assets in Schedule A documentation protocol format.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CONCLUSION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Execution of DOC-1820 alone meets the amendment and restatement requirement and supersedes the original. It does not by itself meet the res documentation requirement, the Trust Protector designation requirement, the successor trustee designation requirement, the beneficiary class designation requirement, the IFT coordination requirement, or the personal-capacity instrument coordination requirement. All five of those requirements must be satisfied as part of the coordinated execution sequence described above for the estate to be fully operative.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Document Format Firm</Application>
  <Pages>1</Pages>
  <Words>0</Words>
  <Characters>0</Characters>
  <Lines>0</Lines>
  <Paragraphs>0</Paragraphs>
</Properties>
</file>

<file path=docProps/core.xml><?xml version="1.0" encoding="utf-8"?>
<cp:coreProperties xmlns:cp="http://schemas.openxmlformats.org/package/2006/metadata/core-properties" xmlns:dc="http://purl.org/dc/elements/1.1/">
  <dc:creator>A Provident Private Creditor Revocable Living Trust</dc:creator>
  <cp:lastModifiedBy>A Provident Private Creditor Revocable Living Trust</cp:lastModifiedBy>
  <cp:revision>1</cp:revision>
  <dc:title>review/revise this template to be integr…</dc:title>
</cp:coreProperties>
</file>