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C6B44">
        <w:t>1</w:t>
      </w:r>
      <w:r w:rsidR="00EC6B44" w:rsidRPr="00EC6B44">
        <w:rPr>
          <w:vertAlign w:val="superscript"/>
        </w:rPr>
        <w:t>er</w:t>
      </w:r>
      <w:r w:rsidR="00EC6B44">
        <w:t xml:space="preserve"> Juillet </w:t>
      </w:r>
      <w:r w:rsidR="00EA7043">
        <w:t>&amp; Phillipe Roose</w:t>
      </w:r>
      <w:r w:rsidR="00EC6B44">
        <w:t>: 25</w:t>
      </w:r>
      <w:r w:rsidR="00392DA4">
        <w:t xml:space="preserve"> Juin</w:t>
      </w:r>
      <w:r w:rsidR="00EA7043">
        <w:t xml:space="preserve"> 2022 </w:t>
      </w:r>
    </w:p>
    <w:p w:rsidR="00AC6236" w:rsidRDefault="0018707E">
      <w:hyperlink r:id="rId8" w:history="1">
        <w:r w:rsidR="00AC6236" w:rsidRPr="00026A3F">
          <w:rPr>
            <w:rStyle w:val="Hyperlink"/>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806454" w:rsidRPr="00F21EEB" w:rsidRDefault="00A820F0" w:rsidP="00F21EEB">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18707E" w:rsidP="00806454">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18707E"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18707E"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18707E"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18707E" w:rsidP="003A787A">
      <w:pPr>
        <w:spacing w:after="0"/>
      </w:pPr>
      <w:hyperlink r:id="rId13"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lastRenderedPageBreak/>
        <w:t>https://geekyhumans.com/fr/surveiller-les-scripts-python-a-laide-de-prometheus/</w:t>
      </w:r>
    </w:p>
    <w:p w:rsidR="00982B66" w:rsidRDefault="0018707E" w:rsidP="003A787A">
      <w:pPr>
        <w:spacing w:after="0"/>
      </w:pPr>
      <w:hyperlink r:id="rId14"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Heading2"/>
        <w:rPr>
          <w:b w:val="0"/>
          <w:sz w:val="22"/>
          <w:szCs w:val="22"/>
        </w:rPr>
      </w:pPr>
      <w:r w:rsidRPr="00BC556F">
        <w:rPr>
          <w:b w:val="0"/>
          <w:sz w:val="22"/>
          <w:szCs w:val="22"/>
        </w:rPr>
        <w:t>Le sommaire du rapport de stage (ou table des matières) (1 page)</w:t>
      </w:r>
    </w:p>
    <w:p w:rsidR="00BC556F" w:rsidRPr="00BC556F" w:rsidRDefault="00BC556F" w:rsidP="00BC556F">
      <w:pPr>
        <w:pStyle w:val="Heading2"/>
        <w:rPr>
          <w:b w:val="0"/>
          <w:sz w:val="22"/>
          <w:szCs w:val="22"/>
        </w:rPr>
      </w:pPr>
      <w:r w:rsidRPr="00BC556F">
        <w:rPr>
          <w:b w:val="0"/>
          <w:sz w:val="22"/>
          <w:szCs w:val="22"/>
        </w:rPr>
        <w:t>Les remerciements du rapport de stage (1 page)</w:t>
      </w:r>
    </w:p>
    <w:p w:rsidR="00BC556F" w:rsidRDefault="00BC556F" w:rsidP="00BC556F">
      <w:pPr>
        <w:pStyle w:val="Heading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Heading2"/>
        <w:rPr>
          <w:b w:val="0"/>
          <w:sz w:val="22"/>
          <w:szCs w:val="22"/>
        </w:rPr>
      </w:pPr>
      <w:r>
        <w:rPr>
          <w:b w:val="0"/>
          <w:sz w:val="22"/>
          <w:szCs w:val="22"/>
        </w:rPr>
        <w:t xml:space="preserve">Développement </w:t>
      </w:r>
    </w:p>
    <w:p w:rsidR="00BC556F" w:rsidRPr="00BC556F" w:rsidRDefault="00BC556F" w:rsidP="00BC556F">
      <w:pPr>
        <w:pStyle w:val="ListParagraph"/>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5" w:history="1">
        <w:r w:rsidR="00965730" w:rsidRPr="00026A3F">
          <w:rPr>
            <w:rStyle w:val="Hyperlink"/>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6" w:history="1">
        <w:r w:rsidRPr="00183B6A">
          <w:rPr>
            <w:rStyle w:val="Hyperlink"/>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ListParagraph"/>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lastRenderedPageBreak/>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ListParagraph"/>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Heading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val="en-US"/>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7" cstate="print"/>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val="en-US"/>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8"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TableGrid"/>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B93EEF" w:rsidRDefault="000A59B5">
            <w:pPr>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B93EEF" w:rsidTr="005A5DF6">
        <w:tc>
          <w:tcPr>
            <w:tcW w:w="4606" w:type="dxa"/>
          </w:tcPr>
          <w:p w:rsidR="00B93EEF" w:rsidRPr="00B93EEF" w:rsidRDefault="00B93EEF">
            <w:pPr>
              <w:rPr>
                <w:rFonts w:ascii="Times New Roman" w:eastAsia="Times New Roman" w:hAnsi="Times New Roman" w:cs="Times New Roman"/>
                <w:bCs/>
                <w:lang w:eastAsia="fr-FR"/>
              </w:rPr>
            </w:pPr>
            <w:r>
              <w:rPr>
                <w:rFonts w:ascii="Times New Roman" w:eastAsia="Times New Roman" w:hAnsi="Times New Roman" w:cs="Times New Roman"/>
                <w:bCs/>
                <w:lang w:eastAsia="fr-FR"/>
              </w:rPr>
              <w:t>HTTP</w:t>
            </w:r>
          </w:p>
        </w:tc>
        <w:tc>
          <w:tcPr>
            <w:tcW w:w="4606" w:type="dxa"/>
          </w:tcPr>
          <w:p w:rsidR="00B93EEF" w:rsidRDefault="00B93EEF" w:rsidP="00B93EEF">
            <w:pPr>
              <w:spacing w:before="100" w:beforeAutospacing="1" w:after="100" w:afterAutospacing="1"/>
              <w:outlineLvl w:val="1"/>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863D17" w:rsidTr="005A5DF6">
        <w:tc>
          <w:tcPr>
            <w:tcW w:w="4606" w:type="dxa"/>
          </w:tcPr>
          <w:p w:rsidR="00863D17" w:rsidRDefault="00863D17">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w:t>
            </w:r>
          </w:p>
        </w:tc>
        <w:tc>
          <w:tcPr>
            <w:tcW w:w="4606" w:type="dxa"/>
          </w:tcPr>
          <w:p w:rsidR="00863D17" w:rsidRPr="00B93EEF" w:rsidRDefault="00863D17" w:rsidP="00B93EEF">
            <w:pPr>
              <w:spacing w:before="100" w:beforeAutospacing="1" w:after="100" w:afterAutospacing="1"/>
              <w:outlineLvl w:val="1"/>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bl>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Heading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Heading2"/>
        <w:spacing w:before="0" w:beforeAutospacing="0" w:after="0" w:afterAutospacing="0"/>
        <w:rPr>
          <w:b w:val="0"/>
          <w:bCs w:val="0"/>
          <w:sz w:val="22"/>
          <w:szCs w:val="22"/>
        </w:rPr>
      </w:pPr>
    </w:p>
    <w:p w:rsidR="00C72A82" w:rsidRPr="00C31EFF" w:rsidRDefault="00C72A82" w:rsidP="00C72A82">
      <w:pPr>
        <w:pStyle w:val="Heading2"/>
        <w:spacing w:before="0" w:beforeAutospacing="0" w:after="0" w:afterAutospacing="0"/>
        <w:rPr>
          <w:b w:val="0"/>
          <w:sz w:val="22"/>
          <w:szCs w:val="22"/>
        </w:rPr>
      </w:pPr>
    </w:p>
    <w:p w:rsidR="00C72A82" w:rsidRPr="00C31EFF" w:rsidRDefault="00C72A82" w:rsidP="00693858">
      <w:pPr>
        <w:pStyle w:val="Heading2"/>
        <w:spacing w:before="0" w:beforeAutospacing="0" w:after="0" w:afterAutospacing="0"/>
        <w:rPr>
          <w:b w:val="0"/>
          <w:sz w:val="22"/>
          <w:szCs w:val="22"/>
        </w:rPr>
      </w:pPr>
    </w:p>
    <w:p w:rsidR="00CC5E40" w:rsidRPr="00693858" w:rsidRDefault="00CC5E40" w:rsidP="00693858">
      <w:pPr>
        <w:pStyle w:val="Heading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val="en-US"/>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9" cstate="print"/>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HTMLPreformatted"/>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TableGrid"/>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HTMLPreformatted"/>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HTMLPreformatted"/>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4448DB" w:rsidRDefault="00676D69" w:rsidP="00474AB0">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5538FE">
        <w:rPr>
          <w:rFonts w:ascii="Times New Roman" w:eastAsia="Times New Roman" w:hAnsi="Times New Roman" w:cs="Times New Roman"/>
          <w:szCs w:val="24"/>
          <w:lang w:eastAsia="fr-FR"/>
        </w:rPr>
        <w:t xml:space="preserve">de stocker les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HTMLPreformatted"/>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HTMLPreformatted"/>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nous 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xml:space="preserve">. </w:t>
      </w:r>
      <w:r w:rsidR="000E488F" w:rsidRPr="004448DB">
        <w:rPr>
          <w:rFonts w:ascii="Times New Roman" w:hAnsi="Times New Roman" w:cs="Times New Roman"/>
          <w:szCs w:val="24"/>
        </w:rPr>
        <w:lastRenderedPageBreak/>
        <w:t>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HTMLPreformatted"/>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HTMLPreformatted"/>
        <w:rPr>
          <w:rFonts w:ascii="Times New Roman" w:eastAsiaTheme="minorHAnsi" w:hAnsi="Times New Roman" w:cs="Times New Roman"/>
          <w:sz w:val="22"/>
          <w:szCs w:val="24"/>
          <w:lang w:eastAsia="en-US"/>
        </w:rPr>
      </w:pPr>
    </w:p>
    <w:p w:rsidR="003C5163" w:rsidRDefault="005538FE" w:rsidP="003C5163">
      <w:pPr>
        <w:pStyle w:val="HTMLPreformatted"/>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HTMLPreformatted"/>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HTMLPreformatted"/>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B93EEF" w:rsidRDefault="007549B2" w:rsidP="00B93EEF">
      <w:pPr>
        <w:pStyle w:val="HTMLPreformatted"/>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863D17">
      <w:pPr>
        <w:pStyle w:val="HTMLPreformatted"/>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noProof/>
          <w:sz w:val="22"/>
          <w:szCs w:val="24"/>
          <w:lang w:val="en-US" w:eastAsia="en-US"/>
        </w:rPr>
        <w:drawing>
          <wp:inline distT="0" distB="0" distL="0" distR="0">
            <wp:extent cx="4718201" cy="2693515"/>
            <wp:effectExtent l="19050" t="0" r="619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20" cstate="print"/>
                    <a:stretch>
                      <a:fillRect/>
                    </a:stretch>
                  </pic:blipFill>
                  <pic:spPr>
                    <a:xfrm>
                      <a:off x="0" y="0"/>
                      <a:ext cx="4720188" cy="2694649"/>
                    </a:xfrm>
                    <a:prstGeom prst="rect">
                      <a:avLst/>
                    </a:prstGeom>
                  </pic:spPr>
                </pic:pic>
              </a:graphicData>
            </a:graphic>
          </wp:inline>
        </w:drawing>
      </w:r>
    </w:p>
    <w:p w:rsidR="00355F3B" w:rsidRPr="00355F3B" w:rsidRDefault="00355F3B" w:rsidP="00B93EEF">
      <w:pPr>
        <w:pStyle w:val="HTMLPreformatted"/>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en-US"/>
        </w:rPr>
        <w:drawing>
          <wp:inline distT="0" distB="0" distL="0" distR="0">
            <wp:extent cx="4687923" cy="4465122"/>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21" cstate="print"/>
                    <a:stretch>
                      <a:fillRect/>
                    </a:stretch>
                  </pic:blipFill>
                  <pic:spPr>
                    <a:xfrm>
                      <a:off x="0" y="0"/>
                      <a:ext cx="4690653" cy="4467722"/>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CC54CF" w:rsidRPr="0089746C" w:rsidRDefault="00D75F9C" w:rsidP="00863D17">
      <w:pPr>
        <w:pStyle w:val="HTMLPreformatted"/>
        <w:rPr>
          <w:rFonts w:eastAsiaTheme="minorHAnsi"/>
          <w:sz w:val="22"/>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D75F9C" w:rsidRPr="0089746C" w:rsidRDefault="00D75F9C" w:rsidP="00D75F9C">
      <w:pPr>
        <w:pStyle w:val="HTMLPreformatted"/>
        <w:rPr>
          <w:rFonts w:ascii="Times New Roman" w:eastAsiaTheme="minorHAnsi" w:hAnsi="Times New Roman" w:cs="Times New Roman"/>
          <w:sz w:val="22"/>
          <w:szCs w:val="24"/>
          <w:lang w:eastAsia="en-US"/>
        </w:rPr>
      </w:pPr>
    </w:p>
    <w:p w:rsidR="0089746C" w:rsidRDefault="00CC54CF" w:rsidP="0089746C">
      <w:pPr>
        <w:pStyle w:val="HTMLPreformatted"/>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89746C">
        <w:rPr>
          <w:rFonts w:ascii="Times New Roman" w:eastAsiaTheme="minorHAnsi" w:hAnsi="Times New Roman" w:cs="Times New Roman"/>
          <w:sz w:val="22"/>
          <w:szCs w:val="24"/>
          <w:vertAlign w:val="superscript"/>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89746C" w:rsidRDefault="0089746C" w:rsidP="0089746C">
      <w:pPr>
        <w:pStyle w:val="HTMLPreformatted"/>
        <w:rPr>
          <w:rFonts w:ascii="Times New Roman" w:eastAsiaTheme="minorHAnsi" w:hAnsi="Times New Roman" w:cs="Times New Roman"/>
          <w:sz w:val="22"/>
          <w:szCs w:val="24"/>
          <w:lang w:eastAsia="en-US"/>
        </w:rPr>
      </w:pPr>
    </w:p>
    <w:p w:rsidR="0048376B" w:rsidRDefault="0048376B" w:rsidP="001A752D">
      <w:pPr>
        <w:pStyle w:val="HTMLPreformatted"/>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p>
    <w:p w:rsidR="001A752D" w:rsidRPr="001A752D" w:rsidRDefault="001A752D" w:rsidP="001A752D">
      <w:pPr>
        <w:pStyle w:val="HTMLPreformatted"/>
        <w:rPr>
          <w:rFonts w:ascii="Times New Roman" w:eastAsiaTheme="minorHAnsi" w:hAnsi="Times New Roman" w:cs="Times New Roman"/>
          <w:sz w:val="22"/>
          <w:szCs w:val="24"/>
          <w:lang w:eastAsia="en-US"/>
        </w:rPr>
      </w:pPr>
    </w:p>
    <w:p w:rsidR="001A752D" w:rsidRPr="001A752D" w:rsidRDefault="00F21EEB" w:rsidP="00F21EEB">
      <w:pPr>
        <w:rPr>
          <w:rFonts w:ascii="Times New Roman" w:hAnsi="Times New Roman" w:cs="Times New Roman"/>
          <w:szCs w:val="24"/>
        </w:rPr>
      </w:pPr>
      <w:r>
        <w:t xml:space="preserve">Le troisième </w:t>
      </w:r>
      <w:r w:rsidRPr="001A752D">
        <w:rPr>
          <w:rFonts w:ascii="Times New Roman" w:hAnsi="Times New Roman" w:cs="Times New Roman"/>
          <w:szCs w:val="24"/>
        </w:rPr>
        <w:t xml:space="preserve">composant est le pushgateway. </w:t>
      </w:r>
      <w:r w:rsidR="001A752D">
        <w:rPr>
          <w:rFonts w:ascii="Times New Roman" w:hAnsi="Times New Roman" w:cs="Times New Roman"/>
          <w:szCs w:val="24"/>
        </w:rPr>
        <w:t xml:space="preserve"> Ce composant permet de récupérer les métriques des serv</w:t>
      </w:r>
      <w:r w:rsidR="00A94BBE">
        <w:rPr>
          <w:rFonts w:ascii="Times New Roman" w:hAnsi="Times New Roman" w:cs="Times New Roman"/>
          <w:szCs w:val="24"/>
        </w:rPr>
        <w:t>ices externes à durée courte.</w:t>
      </w:r>
    </w:p>
    <w:p w:rsidR="00F21EEB" w:rsidRPr="001A752D" w:rsidRDefault="00F21EEB" w:rsidP="00F21EEB">
      <w:pPr>
        <w:rPr>
          <w:rFonts w:ascii="Times New Roman" w:hAnsi="Times New Roman" w:cs="Times New Roman"/>
          <w:szCs w:val="24"/>
        </w:rPr>
      </w:pPr>
      <w:r w:rsidRPr="001A752D">
        <w:rPr>
          <w:rFonts w:ascii="Times New Roman" w:hAnsi="Times New Roman" w:cs="Times New Roman"/>
          <w:szCs w:val="24"/>
        </w:rPr>
        <w:t>Le quatrième composant est les librairies clients</w:t>
      </w:r>
      <w:r w:rsidR="00A94BBE">
        <w:rPr>
          <w:rFonts w:ascii="Times New Roman" w:hAnsi="Times New Roman" w:cs="Times New Roman"/>
          <w:szCs w:val="24"/>
        </w:rPr>
        <w:t xml:space="preserve">. Ce composant est utilisé </w:t>
      </w:r>
    </w:p>
    <w:p w:rsidR="00F21EEB" w:rsidRPr="001A752D" w:rsidRDefault="00F21EEB" w:rsidP="00F21EEB">
      <w:pPr>
        <w:rPr>
          <w:rFonts w:ascii="Times New Roman" w:hAnsi="Times New Roman" w:cs="Times New Roman"/>
          <w:szCs w:val="24"/>
        </w:rPr>
      </w:pPr>
      <w:r w:rsidRPr="001A752D">
        <w:rPr>
          <w:rFonts w:ascii="Times New Roman" w:hAnsi="Times New Roman" w:cs="Times New Roman"/>
          <w:szCs w:val="24"/>
        </w:rPr>
        <w:t>Le cinquième composant est Alertmanager.</w:t>
      </w:r>
    </w:p>
    <w:p w:rsidR="00F21EEB" w:rsidRPr="00F21EEB" w:rsidRDefault="00F21EEB" w:rsidP="00F21EEB">
      <w:r w:rsidRPr="001A752D">
        <w:rPr>
          <w:rFonts w:ascii="Times New Roman" w:hAnsi="Times New Roman" w:cs="Times New Roman"/>
          <w:szCs w:val="24"/>
        </w:rPr>
        <w:t xml:space="preserve">Le sixième composant est le Web </w:t>
      </w:r>
      <w:r>
        <w:t>UI.</w:t>
      </w:r>
    </w:p>
    <w:p w:rsidR="0048376B" w:rsidRDefault="0048376B" w:rsidP="0048376B">
      <w:pPr>
        <w:pStyle w:val="HTMLPreformatted"/>
        <w:rPr>
          <w:rStyle w:val="y2iqfc"/>
        </w:rPr>
      </w:pPr>
    </w:p>
    <w:p w:rsidR="0048376B" w:rsidRDefault="0048376B" w:rsidP="0089746C">
      <w:pPr>
        <w:pStyle w:val="HTMLPreformatted"/>
        <w:rPr>
          <w:rFonts w:ascii="Times New Roman" w:eastAsiaTheme="minorHAnsi" w:hAnsi="Times New Roman" w:cs="Times New Roman"/>
          <w:sz w:val="22"/>
          <w:szCs w:val="24"/>
          <w:lang w:eastAsia="en-US"/>
        </w:rPr>
      </w:pPr>
    </w:p>
    <w:p w:rsidR="0089746C" w:rsidRDefault="00F21EEB" w:rsidP="0089746C">
      <w:pPr>
        <w:pStyle w:val="HTMLPreformatted"/>
        <w:rPr>
          <w:rFonts w:ascii="Times New Roman" w:eastAsiaTheme="minorHAnsi" w:hAnsi="Times New Roman" w:cs="Times New Roman"/>
          <w:sz w:val="22"/>
          <w:szCs w:val="24"/>
          <w:lang w:eastAsia="en-US"/>
        </w:rPr>
      </w:pPr>
      <w:r w:rsidRPr="00F21EEB">
        <w:rPr>
          <w:rFonts w:ascii="Times New Roman" w:eastAsiaTheme="minorHAnsi" w:hAnsi="Times New Roman" w:cs="Times New Roman"/>
          <w:sz w:val="22"/>
          <w:szCs w:val="24"/>
          <w:lang w:eastAsia="en-US"/>
        </w:rPr>
        <w:t>https://sensu.io/blog/introduction-to-prometheus-monitoring</w:t>
      </w:r>
    </w:p>
    <w:p w:rsidR="0089746C" w:rsidRPr="00674276" w:rsidRDefault="0089746C" w:rsidP="0089746C">
      <w:pPr>
        <w:pStyle w:val="HTMLPreformatted"/>
        <w:rPr>
          <w:rFonts w:ascii="Times New Roman" w:hAnsi="Times New Roman" w:cs="Times New Roman"/>
          <w:sz w:val="24"/>
          <w:szCs w:val="24"/>
        </w:rPr>
      </w:pPr>
    </w:p>
    <w:p w:rsidR="007549B2" w:rsidRDefault="007549B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Default="00DA3EC3"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D75F9C" w:rsidRPr="00DA3EC3" w:rsidRDefault="00D75F9C"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18707E" w:rsidP="009722B2">
      <w:pPr>
        <w:pStyle w:val="Heading2"/>
        <w:spacing w:before="0" w:beforeAutospacing="0" w:after="0" w:afterAutospacing="0"/>
      </w:pPr>
      <w:hyperlink r:id="rId22" w:history="1">
        <w:r w:rsidR="00B96ABB" w:rsidRPr="00F209FD">
          <w:rPr>
            <w:rStyle w:val="Hyperlink"/>
            <w:b w:val="0"/>
            <w:sz w:val="22"/>
            <w:szCs w:val="22"/>
          </w:rPr>
          <w:t>https://liuppa.univ-pau.fr/fr/index.html</w:t>
        </w:r>
      </w:hyperlink>
    </w:p>
    <w:p w:rsidR="00355F3B" w:rsidRDefault="00355F3B" w:rsidP="009722B2">
      <w:pPr>
        <w:pStyle w:val="Heading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Heading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EA3" w:rsidRDefault="00ED0EA3" w:rsidP="00CC5E40">
      <w:pPr>
        <w:spacing w:after="0" w:line="240" w:lineRule="auto"/>
      </w:pPr>
      <w:r>
        <w:separator/>
      </w:r>
    </w:p>
  </w:endnote>
  <w:endnote w:type="continuationSeparator" w:id="0">
    <w:p w:rsidR="00ED0EA3" w:rsidRDefault="00ED0EA3"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EA3" w:rsidRDefault="00ED0EA3" w:rsidP="00CC5E40">
      <w:pPr>
        <w:spacing w:after="0" w:line="240" w:lineRule="auto"/>
      </w:pPr>
      <w:r>
        <w:separator/>
      </w:r>
    </w:p>
  </w:footnote>
  <w:footnote w:type="continuationSeparator" w:id="0">
    <w:p w:rsidR="00ED0EA3" w:rsidRDefault="00ED0EA3"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BC556F"/>
    <w:rsid w:val="000054AD"/>
    <w:rsid w:val="000113C2"/>
    <w:rsid w:val="00011D9B"/>
    <w:rsid w:val="000135A0"/>
    <w:rsid w:val="00030857"/>
    <w:rsid w:val="00044012"/>
    <w:rsid w:val="00047D04"/>
    <w:rsid w:val="00064662"/>
    <w:rsid w:val="0006697C"/>
    <w:rsid w:val="000738B4"/>
    <w:rsid w:val="00084600"/>
    <w:rsid w:val="000849C0"/>
    <w:rsid w:val="00086006"/>
    <w:rsid w:val="000A1608"/>
    <w:rsid w:val="000A59B5"/>
    <w:rsid w:val="000B13ED"/>
    <w:rsid w:val="000E488F"/>
    <w:rsid w:val="000F2DBA"/>
    <w:rsid w:val="00141D5F"/>
    <w:rsid w:val="00153840"/>
    <w:rsid w:val="001600C8"/>
    <w:rsid w:val="00161F60"/>
    <w:rsid w:val="0016590F"/>
    <w:rsid w:val="00182F92"/>
    <w:rsid w:val="0018707E"/>
    <w:rsid w:val="00197A6F"/>
    <w:rsid w:val="001A47BE"/>
    <w:rsid w:val="001A491A"/>
    <w:rsid w:val="001A752D"/>
    <w:rsid w:val="001C0E13"/>
    <w:rsid w:val="001E6EC6"/>
    <w:rsid w:val="00207AE2"/>
    <w:rsid w:val="00216163"/>
    <w:rsid w:val="0024449B"/>
    <w:rsid w:val="00247494"/>
    <w:rsid w:val="00254D86"/>
    <w:rsid w:val="002705EC"/>
    <w:rsid w:val="00274797"/>
    <w:rsid w:val="00277370"/>
    <w:rsid w:val="002960F4"/>
    <w:rsid w:val="002A7B45"/>
    <w:rsid w:val="002B1EFC"/>
    <w:rsid w:val="002C5766"/>
    <w:rsid w:val="002E796D"/>
    <w:rsid w:val="003007D5"/>
    <w:rsid w:val="00305284"/>
    <w:rsid w:val="00311B88"/>
    <w:rsid w:val="0031338E"/>
    <w:rsid w:val="003357A4"/>
    <w:rsid w:val="00355F3B"/>
    <w:rsid w:val="0036755B"/>
    <w:rsid w:val="00374883"/>
    <w:rsid w:val="00390CED"/>
    <w:rsid w:val="00392DA4"/>
    <w:rsid w:val="003A787A"/>
    <w:rsid w:val="003C5163"/>
    <w:rsid w:val="003E0AEE"/>
    <w:rsid w:val="003E4E58"/>
    <w:rsid w:val="003E58BD"/>
    <w:rsid w:val="003F2690"/>
    <w:rsid w:val="00400658"/>
    <w:rsid w:val="00424714"/>
    <w:rsid w:val="00436A38"/>
    <w:rsid w:val="00437C93"/>
    <w:rsid w:val="00441F5C"/>
    <w:rsid w:val="004448DB"/>
    <w:rsid w:val="00452F42"/>
    <w:rsid w:val="00474AB0"/>
    <w:rsid w:val="0048376B"/>
    <w:rsid w:val="004D0323"/>
    <w:rsid w:val="004E0B9A"/>
    <w:rsid w:val="004E355E"/>
    <w:rsid w:val="00504FA9"/>
    <w:rsid w:val="00530A6F"/>
    <w:rsid w:val="005538FE"/>
    <w:rsid w:val="00555391"/>
    <w:rsid w:val="005620CB"/>
    <w:rsid w:val="005A3C3C"/>
    <w:rsid w:val="005A5DF6"/>
    <w:rsid w:val="005A694D"/>
    <w:rsid w:val="005F3E46"/>
    <w:rsid w:val="00603E59"/>
    <w:rsid w:val="00615163"/>
    <w:rsid w:val="00634E29"/>
    <w:rsid w:val="00635ECD"/>
    <w:rsid w:val="00643B42"/>
    <w:rsid w:val="006635D1"/>
    <w:rsid w:val="006704C0"/>
    <w:rsid w:val="00674276"/>
    <w:rsid w:val="00676D69"/>
    <w:rsid w:val="00693858"/>
    <w:rsid w:val="0069719D"/>
    <w:rsid w:val="006A02B1"/>
    <w:rsid w:val="006A1994"/>
    <w:rsid w:val="006C28FD"/>
    <w:rsid w:val="006C7037"/>
    <w:rsid w:val="006C7828"/>
    <w:rsid w:val="006C7ED1"/>
    <w:rsid w:val="006D5B0F"/>
    <w:rsid w:val="006E559B"/>
    <w:rsid w:val="006F10D5"/>
    <w:rsid w:val="0071322A"/>
    <w:rsid w:val="00742599"/>
    <w:rsid w:val="00752C8B"/>
    <w:rsid w:val="007549B2"/>
    <w:rsid w:val="007662C7"/>
    <w:rsid w:val="007756E8"/>
    <w:rsid w:val="007839A0"/>
    <w:rsid w:val="007B011E"/>
    <w:rsid w:val="007C6CBD"/>
    <w:rsid w:val="007D66D5"/>
    <w:rsid w:val="007F4420"/>
    <w:rsid w:val="007F7700"/>
    <w:rsid w:val="00800C6D"/>
    <w:rsid w:val="00800E7B"/>
    <w:rsid w:val="00801459"/>
    <w:rsid w:val="00801F59"/>
    <w:rsid w:val="00806454"/>
    <w:rsid w:val="00826D02"/>
    <w:rsid w:val="00841D11"/>
    <w:rsid w:val="00863D17"/>
    <w:rsid w:val="00874FD1"/>
    <w:rsid w:val="00880EC6"/>
    <w:rsid w:val="008834E4"/>
    <w:rsid w:val="0089746C"/>
    <w:rsid w:val="008D389C"/>
    <w:rsid w:val="008F7151"/>
    <w:rsid w:val="00905942"/>
    <w:rsid w:val="00916DBE"/>
    <w:rsid w:val="00920ADB"/>
    <w:rsid w:val="0093001E"/>
    <w:rsid w:val="00963F25"/>
    <w:rsid w:val="00965730"/>
    <w:rsid w:val="009722B2"/>
    <w:rsid w:val="00974E21"/>
    <w:rsid w:val="00982B66"/>
    <w:rsid w:val="009C06F2"/>
    <w:rsid w:val="009C0C73"/>
    <w:rsid w:val="009E0538"/>
    <w:rsid w:val="009E2B96"/>
    <w:rsid w:val="00A05AF1"/>
    <w:rsid w:val="00A163C4"/>
    <w:rsid w:val="00A23EAE"/>
    <w:rsid w:val="00A338AA"/>
    <w:rsid w:val="00A3440A"/>
    <w:rsid w:val="00A42B68"/>
    <w:rsid w:val="00A51C88"/>
    <w:rsid w:val="00A55C46"/>
    <w:rsid w:val="00A72C5C"/>
    <w:rsid w:val="00A7685A"/>
    <w:rsid w:val="00A820F0"/>
    <w:rsid w:val="00A94AB2"/>
    <w:rsid w:val="00A94BBE"/>
    <w:rsid w:val="00AB4651"/>
    <w:rsid w:val="00AC6236"/>
    <w:rsid w:val="00AC72AE"/>
    <w:rsid w:val="00AD0C7B"/>
    <w:rsid w:val="00B129DB"/>
    <w:rsid w:val="00B15442"/>
    <w:rsid w:val="00B26368"/>
    <w:rsid w:val="00B61F55"/>
    <w:rsid w:val="00B82E12"/>
    <w:rsid w:val="00B85246"/>
    <w:rsid w:val="00B93EEF"/>
    <w:rsid w:val="00B963C6"/>
    <w:rsid w:val="00B96ABB"/>
    <w:rsid w:val="00BA3364"/>
    <w:rsid w:val="00BC074B"/>
    <w:rsid w:val="00BC556F"/>
    <w:rsid w:val="00C03085"/>
    <w:rsid w:val="00C062BC"/>
    <w:rsid w:val="00C279D7"/>
    <w:rsid w:val="00C31EFF"/>
    <w:rsid w:val="00C32B79"/>
    <w:rsid w:val="00C50E84"/>
    <w:rsid w:val="00C55E9A"/>
    <w:rsid w:val="00C57A29"/>
    <w:rsid w:val="00C64419"/>
    <w:rsid w:val="00C72A82"/>
    <w:rsid w:val="00C87532"/>
    <w:rsid w:val="00CA4C69"/>
    <w:rsid w:val="00CB3437"/>
    <w:rsid w:val="00CC54CF"/>
    <w:rsid w:val="00CC5E40"/>
    <w:rsid w:val="00CF3CB9"/>
    <w:rsid w:val="00D051AE"/>
    <w:rsid w:val="00D15BCC"/>
    <w:rsid w:val="00D16E5B"/>
    <w:rsid w:val="00D2490B"/>
    <w:rsid w:val="00D33565"/>
    <w:rsid w:val="00D55146"/>
    <w:rsid w:val="00D575FA"/>
    <w:rsid w:val="00D75F9C"/>
    <w:rsid w:val="00D87B1E"/>
    <w:rsid w:val="00D91178"/>
    <w:rsid w:val="00DA01A1"/>
    <w:rsid w:val="00DA36A3"/>
    <w:rsid w:val="00DA3EC3"/>
    <w:rsid w:val="00DB416A"/>
    <w:rsid w:val="00DC5C65"/>
    <w:rsid w:val="00DD4464"/>
    <w:rsid w:val="00DE00B5"/>
    <w:rsid w:val="00DE1E05"/>
    <w:rsid w:val="00E07F93"/>
    <w:rsid w:val="00E224E3"/>
    <w:rsid w:val="00E37EFA"/>
    <w:rsid w:val="00E4108F"/>
    <w:rsid w:val="00E46753"/>
    <w:rsid w:val="00E86179"/>
    <w:rsid w:val="00EA40E3"/>
    <w:rsid w:val="00EA6294"/>
    <w:rsid w:val="00EA7043"/>
    <w:rsid w:val="00EC5CE3"/>
    <w:rsid w:val="00EC6B44"/>
    <w:rsid w:val="00ED0EA3"/>
    <w:rsid w:val="00ED5993"/>
    <w:rsid w:val="00ED6CF5"/>
    <w:rsid w:val="00ED7396"/>
    <w:rsid w:val="00F02BCE"/>
    <w:rsid w:val="00F05C45"/>
    <w:rsid w:val="00F21EEB"/>
    <w:rsid w:val="00F4038D"/>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Heading2">
    <w:name w:val="heading 2"/>
    <w:basedOn w:val="Normal"/>
    <w:link w:val="Heading2Ch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56F"/>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BC556F"/>
    <w:pPr>
      <w:ind w:left="720"/>
      <w:contextualSpacing/>
    </w:pPr>
  </w:style>
  <w:style w:type="character" w:styleId="Hyperlink">
    <w:name w:val="Hyperlink"/>
    <w:basedOn w:val="DefaultParagraphFon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25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86"/>
    <w:rPr>
      <w:rFonts w:ascii="Tahoma" w:hAnsi="Tahoma" w:cs="Tahoma"/>
      <w:sz w:val="16"/>
      <w:szCs w:val="16"/>
    </w:rPr>
  </w:style>
  <w:style w:type="paragraph" w:styleId="Header">
    <w:name w:val="header"/>
    <w:basedOn w:val="Normal"/>
    <w:link w:val="HeaderChar"/>
    <w:uiPriority w:val="99"/>
    <w:semiHidden/>
    <w:unhideWhenUsed/>
    <w:rsid w:val="00CC5E4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C5E40"/>
  </w:style>
  <w:style w:type="paragraph" w:styleId="Footer">
    <w:name w:val="footer"/>
    <w:basedOn w:val="Normal"/>
    <w:link w:val="FooterChar"/>
    <w:uiPriority w:val="99"/>
    <w:semiHidden/>
    <w:unhideWhenUsed/>
    <w:rsid w:val="00CC5E4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C5E40"/>
  </w:style>
  <w:style w:type="character" w:customStyle="1" w:styleId="hgkelc">
    <w:name w:val="hgkelc"/>
    <w:basedOn w:val="DefaultParagraphFont"/>
    <w:rsid w:val="00216163"/>
  </w:style>
  <w:style w:type="table" w:styleId="TableGrid">
    <w:name w:val="Table Grid"/>
    <w:basedOn w:val="Table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05C45"/>
    <w:rPr>
      <w:b/>
      <w:bCs/>
    </w:rPr>
  </w:style>
  <w:style w:type="character" w:customStyle="1" w:styleId="normaltextrun">
    <w:name w:val="normaltextrun"/>
    <w:basedOn w:val="DefaultParagraphFont"/>
    <w:rsid w:val="006A02B1"/>
  </w:style>
  <w:style w:type="paragraph" w:styleId="HTMLPreformatted">
    <w:name w:val="HTML Preformatted"/>
    <w:basedOn w:val="Normal"/>
    <w:link w:val="HTMLPreformattedCh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A3364"/>
    <w:rPr>
      <w:rFonts w:ascii="Courier New" w:eastAsia="Times New Roman" w:hAnsi="Courier New" w:cs="Courier New"/>
      <w:sz w:val="20"/>
      <w:szCs w:val="20"/>
      <w:lang w:eastAsia="fr-FR"/>
    </w:rPr>
  </w:style>
  <w:style w:type="character" w:customStyle="1" w:styleId="y2iqfc">
    <w:name w:val="y2iqfc"/>
    <w:basedOn w:val="DefaultParagraphFont"/>
    <w:rsid w:val="00BA3364"/>
  </w:style>
  <w:style w:type="character" w:customStyle="1" w:styleId="lang-en">
    <w:name w:val="lang-en"/>
    <w:basedOn w:val="DefaultParagraphFont"/>
    <w:rsid w:val="00674276"/>
  </w:style>
  <w:style w:type="character" w:customStyle="1" w:styleId="Heading3Char">
    <w:name w:val="Heading 3 Char"/>
    <w:basedOn w:val="DefaultParagraphFont"/>
    <w:link w:val="Heading3"/>
    <w:uiPriority w:val="9"/>
    <w:semiHidden/>
    <w:rsid w:val="004837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323169009">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s.isty-info.uvsq.fr/index.php?page=les-rapports_c"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inuxhint.com/monitor-python-applications-prometheu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uppa.univ-pau.fr/fr/index.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hint.com/monitor-python-applications-promethe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uppa.univ-pau.fr/fr/organisation/presentation.html" TargetMode="External"/><Relationship Id="rId23" Type="http://schemas.openxmlformats.org/officeDocument/2006/relationships/fontTable" Target="fontTable.xml"/><Relationship Id="rId10" Type="http://schemas.openxmlformats.org/officeDocument/2006/relationships/hyperlink" Target="https://linuxhint.com/monitor-python-applications-promethe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nuxhint.com/monitor-python-applications-prometheus/" TargetMode="External"/><Relationship Id="rId22" Type="http://schemas.openxmlformats.org/officeDocument/2006/relationships/hyperlink" Target="https://liuppa.univ-pau.fr/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352C9-A780-4B12-890A-54E2D597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18</Pages>
  <Words>4817</Words>
  <Characters>27457</Characters>
  <Application>Microsoft Office Word</Application>
  <DocSecurity>0</DocSecurity>
  <Lines>228</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skhiari001</cp:lastModifiedBy>
  <cp:revision>34</cp:revision>
  <dcterms:created xsi:type="dcterms:W3CDTF">2022-05-18T11:16:00Z</dcterms:created>
  <dcterms:modified xsi:type="dcterms:W3CDTF">2022-06-17T16:08:00Z</dcterms:modified>
</cp:coreProperties>
</file>