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468 règles de gestion · 16 domaines · 355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2026-10-05T15:10:34.496Z</dcterms:created>
  <dcterms:modified xsi:type="dcterms:W3CDTF">2026-10-05T15:10:34.496Z</dcterms:modified>
</cp:coreProperties>
</file>

<file path=docProps/custom.xml><?xml version="1.0" encoding="utf-8"?>
<Properties xmlns="http://schemas.openxmlformats.org/officeDocument/2006/custom-properties" xmlns:vt="http://schemas.openxmlformats.org/officeDocument/2006/docPropsVTypes"/>
</file>