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454 règles de gestion · 16 domaines · 325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état, etc.) est calculée pour le mois demandé (mois
courant par
défaut), mise en cache </w:t>
            </w:r>
            <w:r>
              <w:rPr>
                <w:b/>
                <w:bCs/>
              </w:rPr>
              <w:t xml:space="preserve">par centre et par mois</w:t>
            </w:r>
            <w:r>
              <w:t xml:space="preserve"> (3 min) ; ses détails de même.</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courant),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(patients distincts ayant au moins une séance réalisée
dans la période)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2026-10-04T16:44:45.755Z</dcterms:created>
  <dcterms:modified xsi:type="dcterms:W3CDTF">2026-10-04T16:44:45.755Z</dcterms:modified>
</cp:coreProperties>
</file>

<file path=docProps/custom.xml><?xml version="1.0" encoding="utf-8"?>
<Properties xmlns="http://schemas.openxmlformats.org/officeDocument/2006/custom-properties" xmlns:vt="http://schemas.openxmlformats.org/officeDocument/2006/docPropsVTypes"/>
</file>