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56"/>
          <w:szCs w:val="56"/>
        </w:rPr>
        <w:t xml:space="preserve">HemoDialyse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52"/>
          <w:szCs w:val="52"/>
        </w:rPr>
        <w:t xml:space="preserve">Toute la gestion de votre centre d'hémodialyse.</w:t>
      </w:r>
    </w:p>
    <w:p>
      <w:pPr>
        <w:spacing w:after="300"/>
      </w:pPr>
      <w:r>
        <w:rPr>
          <w:rFonts w:ascii="Georgia" w:cs="Georgia" w:eastAsia="Georgia" w:hAnsi="Georgia"/>
          <w:color w:val="B87A00"/>
          <w:sz w:val="40"/>
          <w:szCs w:val="40"/>
        </w:rPr>
        <w:t xml:space="preserve">Et un système qui surveille, propose et aide à décider.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Du premier accueil du patient au tableau de bord de la direction : une seule plateforme, des règles de gestion appliquées sans exception.</w:t>
      </w:r>
    </w:p>
    <w:p>
      <w:pPr>
        <w:spacing w:after="100"/>
      </w:pPr>
      <w:r>
        <w:rPr>
          <w:color w:val="5A6A74"/>
          <w:sz w:val="20"/>
          <w:szCs w:val="20"/>
        </w:rPr>
        <w:t xml:space="preserve">Plaquette commerciale · version 1.0</w:t>
      </w:r>
    </w:p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COUVERTURE FONCTIONNELLE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Toute la gestion du centre, du premier accueil à la direction de société.</w:t>
      </w:r>
    </w:p>
    <w:p>
      <w:pPr>
        <w:spacing w:after="100"/>
      </w:pPr>
      <w:r>
        <w:rPr>
          <w:color w:val="5A6A74"/>
          <w:sz w:val="24"/>
          <w:szCs w:val="24"/>
        </w:rPr>
        <w:t xml:space="preserve">Douze domaines métier dans un seul outil, sans ressaisie : ce qui est saisi une fois nourrit la planification, la facturation, la comptabilité et le pilotage.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5000"/>
      </w:tblGrid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Patients &amp; admissions</w:t>
            </w:r>
          </w:p>
          <w:p>
            <w:r>
              <w:rPr>
                <w:color w:val="5A6A74"/>
                <w:sz w:val="18"/>
                <w:szCs w:val="18"/>
              </w:rPr>
              <w:t xml:space="preserve">Dossier administratif, assurés, attestations de droits, prises en charge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Planification</w:t>
            </w:r>
          </w:p>
          <w:p>
            <w:r>
              <w:rPr>
                <w:color w:val="5A6A74"/>
                <w:sz w:val="18"/>
                <w:szCs w:val="18"/>
              </w:rPr>
              <w:t xml:space="preserve">Postes, salles, créneaux, isolement, capacité, propositions classées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Séances &amp; cahier de dialyse</w:t>
            </w:r>
          </w:p>
          <w:p>
            <w:r>
              <w:rPr>
                <w:color w:val="5A6A74"/>
                <w:sz w:val="18"/>
                <w:szCs w:val="18"/>
              </w:rPr>
              <w:t xml:space="preserve">Validation infirmière, signature médicale, consommables, volets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Absences des patients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Détection automatique, qualification, valorisation du manque à gagner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Personnel soignant</w:t>
            </w:r>
          </w:p>
          <w:p>
            <w:r>
              <w:rPr>
                <w:color w:val="5A6A74"/>
                <w:sz w:val="18"/>
                <w:szCs w:val="18"/>
              </w:rPr>
              <w:t xml:space="preserve">Roulement, présence, absences, remplaçants, charge de travail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Dossier médical</w:t>
            </w:r>
          </w:p>
          <w:p>
            <w:r>
              <w:rPr>
                <w:color w:val="5A6A74"/>
                <w:sz w:val="18"/>
                <w:szCs w:val="18"/>
              </w:rPr>
              <w:t xml:space="preserve">Antécédents, allergies, sérologies, examens, ordonnances, prescriptions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Anémie &amp; greffe</w:t>
            </w:r>
          </w:p>
          <w:p>
            <w:r>
              <w:rPr>
                <w:color w:val="5A6A74"/>
                <w:sz w:val="18"/>
                <w:szCs w:val="18"/>
              </w:rPr>
              <w:t xml:space="preserve">Observance EPO/fer, cibles KDIGO, bilan pré-greffe, donneurs vivants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Stock &amp; pharmacie</w:t>
            </w:r>
          </w:p>
          <w:p>
            <w:r>
              <w:rPr>
                <w:color w:val="5A6A74"/>
                <w:sz w:val="18"/>
                <w:szCs w:val="18"/>
              </w:rPr>
              <w:t xml:space="preserve">Lots, FEFO, PMP, inventaire, péremptions, groupes d'articles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GMAO</w:t>
            </w:r>
          </w:p>
          <w:p>
            <w:r>
              <w:rPr>
                <w:color w:val="5A6A74"/>
                <w:sz w:val="18"/>
                <w:szCs w:val="18"/>
              </w:rPr>
              <w:t xml:space="preserve">Parc, interventions, coûts, indisponibilité, aide à la réforme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Facturation &amp; règlements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Simulation, TVA, numérotation, soldes, trop-perçus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Comptabilité</w:t>
            </w:r>
          </w:p>
          <w:p>
            <w:r>
              <w:rPr>
                <w:color w:val="5A6A74"/>
                <w:sz w:val="18"/>
                <w:szCs w:val="18"/>
              </w:rPr>
              <w:t xml:space="preserve">Écritures équilibrées, clôture de période, export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Direction multi-centres</w:t>
            </w:r>
          </w:p>
          <w:p>
            <w:r>
              <w:rPr>
                <w:color w:val="5A6A74"/>
                <w:sz w:val="18"/>
                <w:szCs w:val="18"/>
              </w:rPr>
              <w:t xml:space="preserve">Tableaux de bord anonymes, alertes, capacité, rapports mensuels</w:t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AU-DELÀ DE L'INFORMATION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 système qui surveille, propose et vous aide à décider.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surveille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Séances prévues non réalisées détectées chaque nuit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Observance des traitements EPO / fer contrôlée chaque jour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Sous-effectif d'infirmiers signalé 14 jours à l'avance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Péremptions, ruptures et seuils de stock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Indisponibilité des générateurs, interventions et plans en retard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Licences et sécurité des accès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propose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meilleures places de dialyse, classées de 0 à 100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remplaçants d'infirmiers, classés et expliqués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réforme d'un équipement quand la maintenance dépasse 60 % du prix d'achat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simulation de facturation avant validation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cibles cliniques KDIGO face à chaque résultat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protège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placement incohérent est refusé avant d'être enregistré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patient devenu à risque infectieux est replacé en isolement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 stock est gelé pendant un inventaire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séances facturées ne peuvent plus être modifiées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direction ne voit jamais un patient : effectifs &lt; 5 masqués</w:t>
      </w:r>
    </w:p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PATIENTS &amp; PRISES EN CHARGE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administratif complet, un patient facturable ou non en un coup d'œil.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Assuré ou ayant droit, attestation de droits, prise en charge validée : le système sait si une séance peut être facturée avant qu'elle ait lieu.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 d'assurance unique par centre, ayants droit et historique d'affectation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non vacancier ne peut être pris en charge sans attestation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Statut « non facturable » visible dès la liste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Placement (salle, créneau, générateur, jours) contrôlé par la planification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" name="patients-liste" descr="patients-liste" title="patients-li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" name="patient-fiche" descr="patient-fiche" title="patient-fic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PLANIFICATION INTELLIGENTE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Qui dialyse où, quel jour, sur quel générateur — sans conflit.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planning réel de la semaine détecte les conflits ; l'aide au placement propose les meilleures places et explique son classement.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générateur sert un seul patient par jour et par créneau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Patients à risque infectieux : salle d'isolement uniquement, jamais mélangés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Générateur double, salle surchargée, jour fermé : détectés et signalés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Capacité théorique du centre calculée (secours 1 pour 8, séries, patients par poste)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3" name="planning-semaine" descr="planning-semaine" title="planning-sema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4" name="planning-salles" descr="planning-salles" title="planning-sal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ABSENCES DES PATIENTS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absence est détectée, qualifiée et valorisée.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contrôle nocturne repère les séances prévues non réalisées. Le manque à gagner est calculé au forfait de la prise en charge, avec la TVA du jour.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Motifs, justification, rattrapage ou annulation avec commentaire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 quand une absence attend sa qualification depuis plus de 3 jours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Clôture automatique quand la période est facturée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Vue direction : taux d'absentéisme et part du chiffre d'affaires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0"/>
      </w:tblGrid>
      <w:tr>
        <w:tc>
          <w:tcPr>
            <w:tcW w:type="dxa" w:w="15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667500" cy="3143250"/>
                  <wp:effectExtent t="0" r="0" b="0" l="0"/>
                  <wp:docPr id="5" name="absences-patients" descr="absences-patients" title="absences-pati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SÉANCES &amp; CAHIER DE 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Des séances saisies en quelques gestes, tracées jusqu'à la facture.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Création par scan du QR du patient, validation infirmière, signature médicale, consommables sortis du stock au plus proche de la péremption.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paramédical : poids, tension, débit, ultrafiltration, incidents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médical accessible seulement après validation infirmière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Consommables sortis automatiquement (FEFO) et valorisés au PMP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Avertissement si le générateur du patient est indisponible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6" name="cahier-dialyse" descr="cahier-dialyse" title="cahier-dialy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7" name="seances" descr="seances" title="sea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PERSONNEL SOIGNANT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La bonne équipe, au bon créneau, avant que le problème n'arrive.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ratio de sécurité fixe l'effectif requis ; chaque case du planning est couverte ou en sous-effectif.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Roulement, absences, remplaçants et salle d'isolement réservée aux infirmiers habilités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Remplaçants proposés et classés (salle connue, charge, jour libre)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Notification quotidienne de l'administration en cas de sous-effectif prévisible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Chaque infirmier consulte « son planning » et déclare ses absences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8" name="infirmiers-presence" descr="infirmiers-presence" title="infirmiers-pres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9" name="infirmiers-charge" descr="infirmiers-charge" title="infirmiers-char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DOSSIER MÉDICAL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clinique structuré, codé et partout accessible.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Antécédents CIM-10, allergies, sérologies, examens et biologie LOINC, ordonnances signées : chaque donnée est contrôlée à la saisie.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Sérologie positive : conduite à tenir obligatoire et replacement automatique en isolement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Ordonnance signée = contenu verrouillé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Machine à états des demandes d'examen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Export interopérable FHIR R4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0" name="dossier-medical-synthese" descr="dossier-medical-synthese" title="dossier-medical-synthe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1" name="dossier-medical-serologies" descr="dossier-medical-serologies" title="dossier-medical-serolog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ANÉMIE &amp; GREFFE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Le traitement de l'anémie sans faille, la greffe préparée dès la dialyse.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Chaque résultat est comparé aux cibles KDIGO ; l'observance des traitements est vérifiée tous les jours ; le bilan pré-greffe suit un parcours encadré.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Cibles KDIGO : hémoglobine, ferritine, CST, Kt/V, phosphore, calcium, PTH, albumine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Retard d'observance constaté ou rappel d'échéance, alerte au médecin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Risque immunologique (PRA), DFG CKD-EPI,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Checklist de 23 étapes, décisions de RCP, donneurs vivants, dossier PDF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2" name="dossier-medical-anemie" descr="dossier-medical-anemie" title="dossier-medical-anem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3" name="dossier-medical-greffe" descr="dossier-medical-greffe" title="dossier-medical-greff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STOCK &amp; PHARMACIE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Du lot au patient, de la réception à l'inventaire.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Prix moyen pondéré recalculé en cascade, sorties au plus proche de la péremption, inventaire qui gèle les mouvements.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Traçabilité complète d'un lot : fournisseur, séances, patients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de péremption, rupture et seuil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Inventaire avec feuille de comptage Excel et justification de chaque écart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Kits de consommables valorisés pour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4" name="stock-dashboard" descr="stock-dashboard" title="stock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5" name="stock-inventaires" descr="stock-inventaires" title="stock-inventai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GMAO — AIDE À LA DÉCISION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Savoir quand réparer, quand réformer, et ce que la panne vous coûte.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Coût de possession, indisponibilité et ratio de maintenance par équipement : le système recommande l'étude de la réforme.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Interventions préventives et curatives, pièces jointes, coûts par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Valorisation automatique du temps de l'intervenant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Réforme recommandée au-delà de 60 % du prix d'acquisition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affecté à un générateur en panne est signalé à l'équipe et à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6" name="gmao-fiche-equipement" descr="gmao-fiche-equipement" title="gmao-fiche-equip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7" name="gmao-dashboard" descr="gmao-dashboard" title="gmao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FACTURATION, RÈGLEMENTS, COMPTABILITÉ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 la séance validée à l'écriture comptable, sans ressaisie.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La simulation montre chaque facture avant validation ; les règlements et les écritures suivent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Numérotation configurable, TVA datée, regroupement par forfait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Séances exclues ou forfait ajusté avant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Soldes, restes à payer et trop-perçus, export Excel /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Écritures de ventes et de trésorerie équilibrées, clôture de période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8" name="facturation" descr="facturation" title="factu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9" name="reglement" descr="reglement" title="regl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DIRECTION DE SOCIÉTÉ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Tous les centres sur un écran, à jour à la seconde, sans jamais voir un patient.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Indicateurs consolidés par centre, comparaison à la période précédente, alertes et capacité théorique — anonymes par construction.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Finances, clinique KDIGO, stock, GMAO, absences, capacité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critiques et avertissements, historique des alertes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Instantanés mensuels figés et rapports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Mise à jour en temps réel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0" name="direction-dashboard" descr="direction-dashboard" title="direction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1" name="direction-capacite" descr="direction-capacite" title="direction-capaci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SÉCURITÉ &amp; CONFORMITÉ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accès contrôlé, chaque action tracée.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Cloisonnement strict par centre, double authentification, journal d'audit, licences signées.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Jetons en cookies HttpOnly, rotation et détection de réutilisation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Double authentification TOTP avec codes de secours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d'audit « qui a fait quoi », consultations du dossier médical comprises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Rôles et périmètres restreints (médecin, infirmier, direction, propriétaire)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2" name="admin-audit" descr="admin-audit" title="admin-aud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3" name="organisation-licences" descr="organisation-licences" title="organisation-lice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MULTI-CENTRES, MULTILINGUE, MOBILE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Sur tous vos sites, dans votre langue, sur tous vos écrans.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Français, arabe (de droite à gauche), kabyle et anglais ; interface responsive du téléphone au grand écran.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centre = un cloisonnement : aucune donnée ne traverse les centres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Sociétés, centres et comptes d'encadrement administrés par l'éditeur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Mode clair / sombre, accessibilité tactile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4" name="mobile-dashboard" descr="mobile-dashboard" title="mobile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5" name="mobile-planning" descr="mobile-planning" title="mobile-pla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MISE EN ROUTE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Opérationnel simplement : reprise de vos données et documents à votre image.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Reprise d'un logiciel existant par lots rejouables et annulables ; modèles de documents personnalisables en toute sécurité.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Import par fichiers avec vérification à blanc et compte rendu ligne à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Rapprochement au lieu de doublons, reprise annulable tant qu'elle n'a pas servi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Onze documents imprimables avec logo, en-tête et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Référentiels importables (forfaits, salles, caisses, transporteurs…)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6" name="admin-reprise" descr="admin-reprise" title="admin-repri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7" name="modeles-document" descr="modeles-document" title="modeles-doc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EN CHIFFRES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Une couverture que l'on peut vérifier, règle par règle.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454  </w:t>
      </w:r>
      <w:r>
        <w:rPr>
          <w:sz w:val="24"/>
          <w:szCs w:val="24"/>
        </w:rPr>
        <w:t xml:space="preserve">règles de gestion documentées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15  </w:t>
      </w:r>
      <w:r>
        <w:rPr>
          <w:sz w:val="24"/>
          <w:szCs w:val="24"/>
        </w:rPr>
        <w:t xml:space="preserve">domaines métier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  </w:t>
      </w:r>
      <w:r>
        <w:rPr>
          <w:sz w:val="24"/>
          <w:szCs w:val="24"/>
        </w:rPr>
        <w:t xml:space="preserve">langues : français, arabe, kabyle, anglais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8  </w:t>
      </w:r>
      <w:r>
        <w:rPr>
          <w:sz w:val="24"/>
          <w:szCs w:val="24"/>
        </w:rPr>
        <w:t xml:space="preserve">surveillances automatiques planifiées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11  </w:t>
      </w:r>
      <w:r>
        <w:rPr>
          <w:sz w:val="24"/>
          <w:szCs w:val="24"/>
        </w:rPr>
        <w:t xml:space="preserve">documents imprimables personnalisables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5  </w:t>
      </w:r>
      <w:r>
        <w:rPr>
          <w:sz w:val="24"/>
          <w:szCs w:val="24"/>
        </w:rPr>
        <w:t xml:space="preserve">bornes de sécurité : MFA, audit, licences, cloisonnement, anonymat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48"/>
          <w:szCs w:val="48"/>
        </w:rPr>
        <w:t xml:space="preserve">Voyons ensemble ce que HemoDialyse peut faire pour votre centre.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Démonstration sur vos propres cas d'usage — reprise de vos données comprise.</w:t>
      </w:r>
    </w:p>
    <w:sectPr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5d0edd461829d8ef68d0d2a42350e6afd9d891e.png"/><Relationship Id="rId8" Type="http://schemas.openxmlformats.org/officeDocument/2006/relationships/image" Target="media/127fad80e5771386af521f894c399ee8037ca09c.png"/><Relationship Id="rId9" Type="http://schemas.openxmlformats.org/officeDocument/2006/relationships/image" Target="media/dcf6df5fb1308f38069e875d9ee3b1c1f4c5e32b.png"/><Relationship Id="rId10" Type="http://schemas.openxmlformats.org/officeDocument/2006/relationships/image" Target="media/1e47971b159a87fc7815cfad7b796917992dc4b5.png"/><Relationship Id="rId11" Type="http://schemas.openxmlformats.org/officeDocument/2006/relationships/image" Target="media/0aed8290ea64d63b236acf68e87bc09379c9589c.png"/><Relationship Id="rId12" Type="http://schemas.openxmlformats.org/officeDocument/2006/relationships/image" Target="media/e1ed6ce3a783cf9763e4c089a496f49994f743bd.png"/><Relationship Id="rId13" Type="http://schemas.openxmlformats.org/officeDocument/2006/relationships/image" Target="media/226a90fff7a52c4bd8cb95373ac673f658be4155.png"/><Relationship Id="rId14" Type="http://schemas.openxmlformats.org/officeDocument/2006/relationships/image" Target="media/0767ea545a275be298858a009a6524dbd766149a.png"/><Relationship Id="rId15" Type="http://schemas.openxmlformats.org/officeDocument/2006/relationships/image" Target="media/05a18cacaaffe0f165a832ec7b9fb998dd064298.png"/><Relationship Id="rId16" Type="http://schemas.openxmlformats.org/officeDocument/2006/relationships/image" Target="media/5c869fcc696c28e6ddce6cbe73ddc06fe14a01b1.png"/><Relationship Id="rId17" Type="http://schemas.openxmlformats.org/officeDocument/2006/relationships/image" Target="media/d7ecf7621cc55df036c6f40509db8857ccb04b85.png"/><Relationship Id="rId18" Type="http://schemas.openxmlformats.org/officeDocument/2006/relationships/image" Target="media/17cfbf3720bcb0030fb62d57968069dd32c35489.png"/><Relationship Id="rId19" Type="http://schemas.openxmlformats.org/officeDocument/2006/relationships/image" Target="media/774c9062e7d8b7e06556d286ffcbee6bef70ceba.png"/><Relationship Id="rId20" Type="http://schemas.openxmlformats.org/officeDocument/2006/relationships/image" Target="media/7ac0284712d46823d5bab1b57273051e57c1d456.png"/><Relationship Id="rId21" Type="http://schemas.openxmlformats.org/officeDocument/2006/relationships/image" Target="media/c9478bef3657186de629c65bf22278431f13964b.png"/><Relationship Id="rId22" Type="http://schemas.openxmlformats.org/officeDocument/2006/relationships/image" Target="media/b498b22877a3981f2f72ac72478bf98df44328bc.png"/><Relationship Id="rId23" Type="http://schemas.openxmlformats.org/officeDocument/2006/relationships/image" Target="media/9512375ddd008ff62c3f0505e0b346d2f4a20f31.png"/><Relationship Id="rId24" Type="http://schemas.openxmlformats.org/officeDocument/2006/relationships/image" Target="media/96668959cac1eeb56a17eda1c84fcdbeaced9689.png"/><Relationship Id="rId25" Type="http://schemas.openxmlformats.org/officeDocument/2006/relationships/image" Target="media/2625774fab0d80ebf455ff3ac4a46554630e9675.png"/><Relationship Id="rId26" Type="http://schemas.openxmlformats.org/officeDocument/2006/relationships/image" Target="media/4bdc03032e4a59385100b84a7dea8cbff7b319cf.png"/><Relationship Id="rId27" Type="http://schemas.openxmlformats.org/officeDocument/2006/relationships/image" Target="media/96a6335111d9c6b3491e56bfd2f81028948a4a81.png"/><Relationship Id="rId28" Type="http://schemas.openxmlformats.org/officeDocument/2006/relationships/image" Target="media/7d40b1afbd24fd280ccc7430468da30c18e4efd8.png"/><Relationship Id="rId29" Type="http://schemas.openxmlformats.org/officeDocument/2006/relationships/image" Target="media/beb5efd19eb5c5e18d93fc39dcfd8fd4dd2680c1.png"/><Relationship Id="rId30" Type="http://schemas.openxmlformats.org/officeDocument/2006/relationships/image" Target="media/f3224307e9c9ac8b8247411bd6d70d6efcc77104.png"/><Relationship Id="rId31" Type="http://schemas.openxmlformats.org/officeDocument/2006/relationships/image" Target="media/7cd18a20455fdd27b201372a9a82eab325193bc2.png"/><Relationship Id="rId32" Type="http://schemas.openxmlformats.org/officeDocument/2006/relationships/image" Target="media/bac2c8440f44d4ca9992971266f7c78155ffdadb.png"/><Relationship Id="rId33" Type="http://schemas.openxmlformats.org/officeDocument/2006/relationships/image" Target="media/70fad9e95498bb6984e24b05710488e56897b37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— Plaquette commerciale</dc:title>
  <dc:creator>HemoDialyse</dc:creator>
  <cp:lastModifiedBy>Un-named</cp:lastModifiedBy>
  <cp:revision>1</cp:revision>
  <dcterms:created xsi:type="dcterms:W3CDTF">2026-10-04T16:44:51.648Z</dcterms:created>
  <dcterms:modified xsi:type="dcterms:W3CDTF">2026-10-04T16:44:51.650Z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