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530 règles de gestion · 16 domaines · 408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absents dans une proposition « semaine type ».</w:t>
            </w:r>
            <w:r>
              <w:t xml:space="preserve"> Un calcul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ou
</w:t>
            </w:r>
            <w:r>
              <w:rPr>
                <w:rFonts w:ascii="Consolas" w:cs="Consolas" w:eastAsia="Consolas" w:hAnsi="Consolas"/>
                <w:color w:val="0B4D47"/>
                <w:sz w:val="18"/>
                <w:szCs w:val="18"/>
              </w:rPr>
              <w:t xml:space="preserve">COMPLET</w:t>
            </w:r>
            <w:r>
              <w:t xml:space="preserve"> ignore les absences datées. Dans le planning proposé, un infirmier absent un jour donné n'est </w:t>
            </w:r>
            <w:r>
              <w:rPr>
                <w:b/>
                <w:bCs/>
              </w:rPr>
              <w:t xml:space="preserve">jamais
présenté comme présent</w:t>
            </w:r>
            <w:r>
              <w:t xml:space="preserve"> ce jour-là, dans aucune case : il n'est listé qu'en absent (barré), sa vacation reste
« à pourvoir » et le manque d'infirmier est signalé. L'écran le dit et propose </w:t>
            </w:r>
            <w:r>
              <w:rPr>
                <w:b/>
                <w:bCs/>
              </w:rPr>
              <w:t xml:space="preserve">« Chercher des remplaçants »</w:t>
            </w:r>
            <w:r>
              <w:t xml:space="preserve"> :
la couverture est préremplie sur la période de la proposition (8 semaines au plus) ; c'est elle qui propose les
remplaçants (RG-PLN-105). </w:t>
            </w:r>
            <w:r>
              <w:rPr>
                <w:i/>
                <w:iCs/>
              </w:rPr>
              <w:t xml:space="preserve">Sources :</w:t>
            </w:r>
            <w:r>
              <w:t xml:space="preserve"> </w:t>
            </w:r>
            <w:r>
              <w:rPr>
                <w:rFonts w:ascii="Consolas" w:cs="Consolas" w:eastAsia="Consolas" w:hAnsi="Consolas"/>
                <w:color w:val="0B4D47"/>
                <w:sz w:val="18"/>
                <w:szCs w:val="18"/>
              </w:rPr>
              <w:t xml:space="preserve">CalendrierPropositionService.infirmiers</w:t>
            </w:r>
            <w:r>
              <w:t xml:space="preserve">, </w:t>
            </w:r>
            <w:r>
              <w:rPr>
                <w:rFonts w:ascii="Consolas" w:cs="Consolas" w:eastAsia="Consolas" w:hAnsi="Consolas"/>
                <w:color w:val="0B4D47"/>
                <w:sz w:val="18"/>
                <w:szCs w:val="18"/>
              </w:rPr>
              <w:t xml:space="preserve">PlanningProposeComponent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
</w:t>
            </w:r>
            <w:r>
              <w:rPr>
                <w:b/>
                <w:bCs/>
              </w:rPr>
              <w:t xml:space="preserve">Un bilan est envoyé à l'administrateur à chaque exécution</w:t>
            </w:r>
            <w:r>
              <w:t xml:space="preserve"> (</w:t>
            </w:r>
            <w:r>
              <w:rPr>
                <w:rFonts w:ascii="Consolas" w:cs="Consolas" w:eastAsia="Consolas" w:hAnsi="Consolas"/>
                <w:color w:val="0B4D47"/>
                <w:sz w:val="18"/>
                <w:szCs w:val="18"/>
              </w:rPr>
              <w:t xml:space="preserve">REPLANIFICATION_NOCTURNE</w:t>
            </w:r>
            <w:r>
              <w:t xml:space="preserve">, enregistré au journal),
même quand rien n'est proposé : « propositions à examiner » (avec leur nombre), « aucun changement à proposer »,
« échec » (nombre de calculs qui n'ont pas abouti ; un calcul impossible à lancer est compté et les suivants sont
tout de même tentés) ou « reportée » (un calcul était déjà en cours). Sans ce bilan, une nuit sans proposition ne
laissait aucune trace visible. Une notification impossible à envoyer n'interrompt jamais l'enchaînement.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comptables de l'article</w:t>
            </w:r>
            <w:r>
              <w:t xml:space="preserve"> (facultatifs) : la fiche peut préciser un </w:t>
            </w:r>
            <w:r>
              <w:rPr>
                <w:b/>
                <w:bCs/>
              </w:rPr>
              <w:t xml:space="preserve">compte de stock</w:t>
            </w:r>
            <w:r>
              <w:t xml:space="preserve"> et
un </w:t>
            </w:r>
            <w:r>
              <w:rPr>
                <w:b/>
                <w:bCs/>
              </w:rPr>
              <w:t xml:space="preserve">compte de consommation</w:t>
            </w:r>
            <w:r>
              <w:t xml:space="preserve"> propres à l'article (1 à 20 lettres ou chiffres, sinon </w:t>
            </w:r>
            <w:r>
              <w:rPr>
                <w:rFonts w:ascii="Consolas" w:cs="Consolas" w:eastAsia="Consolas" w:hAnsi="Consolas"/>
                <w:color w:val="0B4D47"/>
                <w:sz w:val="18"/>
                <w:szCs w:val="18"/>
              </w:rPr>
              <w:t xml:space="preserve">ARTICLE_COMPTE_INVALIDE</w:t>
            </w:r>
            <w:r>
              <w:t xml:space="preserve">).
Laissés vides, ce sont les comptes du centre qui s'appliquent à la comptabilisation du stock (RG-CPT-011 à 014).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w:t>
            </w:r>
            <w:r>
              <w:t xml:space="preserve"> par facture, dans le journal que le centre a choisi pour les ventes (</w:t>
            </w:r>
            <w:r>
              <w:rPr>
                <w:rFonts w:ascii="Consolas" w:cs="Consolas" w:eastAsia="Consolas" w:hAnsi="Consolas"/>
                <w:color w:val="0B4D47"/>
                <w:sz w:val="18"/>
                <w:szCs w:val="18"/>
              </w:rPr>
              <w:t xml:space="preserve">VE</w:t>
            </w:r>
            <w:r>
              <w:t xml:space="preserve"> par
défaut, RG-CPT-010)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 </w:t>
            </w:r>
            <w:r>
              <w:rPr>
                <w:b/>
                <w:bCs/>
              </w:rPr>
              <w:t xml:space="preserve">quel que soit le journal</w:t>
            </w:r>
            <w:r>
              <w:t xml:space="preserve"> : changer le journal des ventes ne recrée jamais une écriture déjà 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choisi pour les règlements en banque (</w:t>
            </w:r>
            <w:r>
              <w:rPr>
                <w:rFonts w:ascii="Consolas" w:cs="Consolas" w:eastAsia="Consolas" w:hAnsi="Consolas"/>
                <w:color w:val="0B4D47"/>
                <w:sz w:val="18"/>
                <w:szCs w:val="18"/>
              </w:rPr>
              <w:t xml:space="preserve">BQ</w:t>
            </w:r>
            <w:r>
              <w:t xml:space="preserve"> par défaut, débit
  512) ou en caisse (</w:t>
            </w:r>
            <w:r>
              <w:rPr>
                <w:rFonts w:ascii="Consolas" w:cs="Consolas" w:eastAsia="Consolas" w:hAnsi="Consolas"/>
                <w:color w:val="0B4D47"/>
                <w:sz w:val="18"/>
                <w:szCs w:val="18"/>
              </w:rPr>
              <w:t xml:space="preserve">CA</w:t>
            </w:r>
            <w:r>
              <w:t xml:space="preserve"> par défaut,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w:t>
            </w:r>
            <w:r>
              <w:rPr>
                <w:b/>
                <w:bCs/>
              </w:rPr>
              <w:t xml:space="preserve">entièrement paramétrable</w:t>
            </w:r>
            <w:r>
              <w:t xml:space="preserve"> depuis l'écran
« Paramétrage comptable » (</w:t>
            </w:r>
            <w:r>
              <w:rPr>
                <w:rFonts w:ascii="Consolas" w:cs="Consolas" w:eastAsia="Consolas" w:hAnsi="Consolas"/>
                <w:color w:val="0B4D47"/>
                <w:sz w:val="18"/>
                <w:szCs w:val="18"/>
              </w:rPr>
              <w:t xml:space="preserve">ADMIN</w:t>
            </w:r>
            <w:r>
              <w:t xml:space="preserve">) : comptes ventes, client « patient qui paie lui-même », client « payeur sans
compte propre », banque, caisse — tous obligatoires ; valeurs par défaut :
706, 411100, 411500, 512, 530, 44571 (TVA collectée) ; comptes du stock
(RG-CPT-011). Le compte client d'un payeur se règle payeur par payeur (RG-CPT-019) : il n'existe plus de compte
figé par type de payeur (CNAS, CASNOS, mutuelle). Chaque compte se </w:t>
            </w:r>
            <w:r>
              <w:rPr>
                <w:b/>
                <w:bCs/>
              </w:rPr>
              <w:t xml:space="preserve">choisit dans le plan comptable du centre</w:t>
            </w:r>
            <w:r>
              <w:t xml:space="preserve">
(RG-CPT-018) ; un compte qui n'y figure pas, ou désactivé, est refusé (</w:t>
            </w:r>
            <w:r>
              <w:rPr>
                <w:rFonts w:ascii="Consolas" w:cs="Consolas" w:eastAsia="Consolas" w:hAnsi="Consolas"/>
                <w:color w:val="0B4D47"/>
                <w:sz w:val="18"/>
                <w:szCs w:val="18"/>
              </w:rPr>
              <w:t xml:space="preserve">COMPTE_INCONNU</w:t>
            </w:r>
            <w:r>
              <w:t xml:space="preserve">). Le paramétrage ne vaut que
pour les écritures générées
ensuite : les écritures déjà passées ne sont pas réimputées. </w:t>
            </w:r>
            <w:r>
              <w:rPr>
                <w:b/>
                <w:bCs/>
              </w:rPr>
              <w:t xml:space="preserve">Règles de TVA comptables</w:t>
            </w:r>
            <w:r>
              <w:t xml:space="preserve"> versionnées dans le temps
(type de prestation, taux ≥ 0, exonération, début de validité obligatoire). </w:t>
            </w:r>
            <w:r>
              <w:rPr>
                <w:i/>
                <w:iCs/>
              </w:rPr>
              <w:t xml:space="preserve">Source :</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/mapping</w:t>
            </w:r>
            <w:r>
              <w:t xml:space="preserve">) → </w:t>
            </w:r>
            <w:r>
              <w:rPr>
                <w:rFonts w:ascii="Consolas" w:cs="Consolas" w:eastAsia="Consolas" w:hAnsi="Consolas"/>
                <w:color w:val="0B4D47"/>
                <w:sz w:val="18"/>
                <w:szCs w:val="18"/>
              </w:rPr>
              <w:t xml:space="preserve">ComptabiliteUseCase</w:t>
            </w:r>
            <w:r>
              <w:t xml:space="preserve"> → </w:t>
            </w:r>
            <w:r>
              <w:rPr>
                <w:rFonts w:ascii="Consolas" w:cs="Consolas" w:eastAsia="Consolas" w:hAnsi="Consolas"/>
                <w:color w:val="0B4D47"/>
                <w:sz w:val="18"/>
                <w:szCs w:val="18"/>
              </w:rPr>
              <w:t xml:space="preserve">MappingComptablePort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et des journaux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paramétrage (comptes, journaux), règles TVA, clôture,
comptabilisation du stock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i/>
                <w:iCs/>
              </w:rPr>
              <w:t xml:space="preserve">(point d'attention levé)</w:t>
            </w:r>
            <w:r>
              <w:t xml:space="preserve"> Les créances ne sont plus toutes imputées au compte client « autre » :
chaque facture débite le compte de </w:t>
            </w:r>
            <w:r>
              <w:rPr>
                <w:b/>
                <w:bCs/>
              </w:rPr>
              <w:t xml:space="preserve">son payeur</w:t>
            </w:r>
            <w:r>
              <w:t xml:space="preserve"> (RG-CPT-019), le compte par défaut si le payeur n'en a pas, et le
compte « patients » si la facture n'a pas de payeur. Le </w:t>
            </w:r>
            <w:r>
              <w:rPr>
                <w:b/>
                <w:bCs/>
              </w:rPr>
              <w:t xml:space="preserve">règlement</w:t>
            </w:r>
            <w:r>
              <w:t xml:space="preserve"> crédite le compte que l'écriture de la facture
a débité, même si le compte du payeur a changé entre-temps (à défaut d'écriture de facture, le compte actuel du
payeur).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Journaux paramétrables par centre</w:t>
            </w:r>
            <w:r>
              <w:t xml:space="preserve"> : chaque centre définit librement ses journaux (code de 1 à 10
lettres majuscules ou chiffres, libellé de 100 caractères au plus, actif ou non). Tant qu'il n'a rien paramétré, il
dispose des journaux par défaut </w:t>
            </w:r>
            <w:r>
              <w:rPr>
                <w:rFonts w:ascii="Consolas" w:cs="Consolas" w:eastAsia="Consolas" w:hAnsi="Consolas"/>
                <w:color w:val="0B4D47"/>
                <w:sz w:val="18"/>
                <w:szCs w:val="18"/>
              </w:rPr>
              <w:t xml:space="preserve">VE</w:t>
            </w:r>
            <w:r>
              <w:t xml:space="preserve"> Ventes, </w:t>
            </w:r>
            <w:r>
              <w:rPr>
                <w:rFonts w:ascii="Consolas" w:cs="Consolas" w:eastAsia="Consolas" w:hAnsi="Consolas"/>
                <w:color w:val="0B4D47"/>
                <w:sz w:val="18"/>
                <w:szCs w:val="18"/>
              </w:rPr>
              <w:t xml:space="preserve">BQ</w:t>
            </w:r>
            <w:r>
              <w:t xml:space="preserve"> Banque, </w:t>
            </w:r>
            <w:r>
              <w:rPr>
                <w:rFonts w:ascii="Consolas" w:cs="Consolas" w:eastAsia="Consolas" w:hAnsi="Consolas"/>
                <w:color w:val="0B4D47"/>
                <w:sz w:val="18"/>
                <w:szCs w:val="18"/>
              </w:rPr>
              <w:t xml:space="preserve">CA</w:t>
            </w:r>
            <w:r>
              <w:t xml:space="preserve"> Caisse, </w:t>
            </w:r>
            <w:r>
              <w:rPr>
                <w:rFonts w:ascii="Consolas" w:cs="Consolas" w:eastAsia="Consolas" w:hAnsi="Consolas"/>
                <w:color w:val="0B4D47"/>
                <w:sz w:val="18"/>
                <w:szCs w:val="18"/>
              </w:rPr>
              <w:t xml:space="preserve">AC</w:t>
            </w:r>
            <w:r>
              <w:t xml:space="preserve"> Achats, </w:t>
            </w:r>
            <w:r>
              <w:rPr>
                <w:rFonts w:ascii="Consolas" w:cs="Consolas" w:eastAsia="Consolas" w:hAnsi="Consolas"/>
                <w:color w:val="0B4D47"/>
                <w:sz w:val="18"/>
                <w:szCs w:val="18"/>
              </w:rPr>
              <w:t xml:space="preserve">ST</w:t>
            </w:r>
            <w:r>
              <w:t xml:space="preserve"> Stocks ; ils sont
enregistrés comme les siens à sa première modification. Un journal </w:t>
            </w:r>
            <w:r>
              <w:rPr>
                <w:b/>
                <w:bCs/>
              </w:rPr>
              <w:t xml:space="preserve">choisi pour une opération</w:t>
            </w:r>
            <w:r>
              <w:t xml:space="preserve"> ne peut être ni
désactivé ni supprimé (</w:t>
            </w:r>
            <w:r>
              <w:rPr>
                <w:rFonts w:ascii="Consolas" w:cs="Consolas" w:eastAsia="Consolas" w:hAnsi="Consolas"/>
                <w:color w:val="0B4D47"/>
                <w:sz w:val="18"/>
                <w:szCs w:val="18"/>
              </w:rPr>
              <w:t xml:space="preserve">JOURNAL_UTILISE</w:t>
            </w:r>
            <w:r>
              <w:t xml:space="preserve">) ; un journal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JOURNAL_AVEC_ECRITURES</w:t>
            </w:r>
            <w:r>
              <w:t xml:space="preserve">) ; supprimer un journal inconnu est refusé (</w:t>
            </w:r>
            <w:r>
              <w:rPr>
                <w:rFonts w:ascii="Consolas" w:cs="Consolas" w:eastAsia="Consolas" w:hAnsi="Consolas"/>
                <w:color w:val="0B4D47"/>
                <w:sz w:val="18"/>
                <w:szCs w:val="18"/>
              </w:rPr>
              <w:t xml:space="preserve">JOURNAL_INTROUVABLE</w:t>
            </w:r>
            <w:r>
              <w:t xml:space="preserve">). La liste est
paginée. </w:t>
            </w:r>
            <w:r>
              <w:rPr>
                <w:i/>
                <w:iCs/>
              </w:rPr>
              <w:t xml:space="preserve">Source :</w:t>
            </w:r>
            <w:r>
              <w:t xml:space="preserve"> </w:t>
            </w:r>
            <w:r>
              <w:rPr>
                <w:rFonts w:ascii="Consolas" w:cs="Consolas" w:eastAsia="Consolas" w:hAnsi="Consolas"/>
                <w:color w:val="0B4D47"/>
                <w:sz w:val="18"/>
                <w:szCs w:val="18"/>
              </w:rPr>
              <w:t xml:space="preserve">JournauxService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/journaux</w:t>
            </w:r>
            <w:r>
              <w:t xml:space="preserve">) → </w:t>
            </w:r>
            <w:r>
              <w:rPr>
                <w:rFonts w:ascii="Consolas" w:cs="Consolas" w:eastAsia="Consolas" w:hAnsi="Consolas"/>
                <w:color w:val="0B4D47"/>
                <w:sz w:val="18"/>
                <w:szCs w:val="18"/>
              </w:rPr>
              <w:t xml:space="preserve">JournauxUseCase</w:t>
            </w:r>
            <w:r>
              <w:t xml:space="preserve"> → </w:t>
            </w:r>
            <w:r>
              <w:rPr>
                <w:rFonts w:ascii="Consolas" w:cs="Consolas" w:eastAsia="Consolas" w:hAnsi="Consolas"/>
                <w:color w:val="0B4D47"/>
                <w:sz w:val="18"/>
                <w:szCs w:val="18"/>
              </w:rPr>
              <w:t xml:space="preserve">JournalRepositoryPort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de chaque opération</w:t>
            </w:r>
            <w:r>
              <w:t xml:space="preserve"> : le centre choisit le journal des ventes, des règlements en banque,
des règlements en caisse, des réceptions de stock, des sorties de stock et des écarts d'inventaire (par défaut </w:t>
            </w:r>
            <w:r>
              <w:rPr>
                <w:rFonts w:ascii="Consolas" w:cs="Consolas" w:eastAsia="Consolas" w:hAnsi="Consolas"/>
                <w:color w:val="0B4D47"/>
                <w:sz w:val="18"/>
                <w:szCs w:val="18"/>
              </w:rPr>
              <w:t xml:space="preserve">VE</w:t>
            </w:r>
            <w:r>
              <w:t xml:space="preserve">,
</w:t>
            </w:r>
            <w:r>
              <w:rPr>
                <w:rFonts w:ascii="Consolas" w:cs="Consolas" w:eastAsia="Consolas" w:hAnsi="Consolas"/>
                <w:color w:val="0B4D47"/>
                <w:sz w:val="18"/>
                <w:szCs w:val="18"/>
              </w:rPr>
              <w:t xml:space="preserve">BQ</w:t>
            </w:r>
            <w:r>
              <w:t xml:space="preserve">, </w:t>
            </w:r>
            <w:r>
              <w:rPr>
                <w:rFonts w:ascii="Consolas" w:cs="Consolas" w:eastAsia="Consolas" w:hAnsi="Consolas"/>
                <w:color w:val="0B4D47"/>
                <w:sz w:val="18"/>
                <w:szCs w:val="18"/>
              </w:rPr>
              <w:t xml:space="preserve">CA</w:t>
            </w:r>
            <w:r>
              <w:t xml:space="preserve">, </w:t>
            </w:r>
            <w:r>
              <w:rPr>
                <w:rFonts w:ascii="Consolas" w:cs="Consolas" w:eastAsia="Consolas" w:hAnsi="Consolas"/>
                <w:color w:val="0B4D47"/>
                <w:sz w:val="18"/>
                <w:szCs w:val="18"/>
              </w:rPr>
              <w:t xml:space="preserve">AC</w:t>
            </w:r>
            <w:r>
              <w:t xml:space="preserve">, </w:t>
            </w:r>
            <w:r>
              <w:rPr>
                <w:rFonts w:ascii="Consolas" w:cs="Consolas" w:eastAsia="Consolas" w:hAnsi="Consolas"/>
                <w:color w:val="0B4D47"/>
                <w:sz w:val="18"/>
                <w:szCs w:val="18"/>
              </w:rPr>
              <w:t xml:space="preserve">ST</w:t>
            </w:r>
            <w:r>
              <w:t xml:space="preserve">, </w:t>
            </w:r>
            <w:r>
              <w:rPr>
                <w:rFonts w:ascii="Consolas" w:cs="Consolas" w:eastAsia="Consolas" w:hAnsi="Consolas"/>
                <w:color w:val="0B4D47"/>
                <w:sz w:val="18"/>
                <w:szCs w:val="18"/>
              </w:rPr>
              <w:t xml:space="preserve">ST</w:t>
            </w:r>
            <w:r>
              <w:t xml:space="preserve">). Seul un journal </w:t>
            </w:r>
            <w:r>
              <w:rPr>
                <w:b/>
                <w:bCs/>
              </w:rPr>
              <w:t xml:space="preserve">existant et actif</w:t>
            </w:r>
            <w:r>
              <w:t xml:space="preserve"> peut être choisi (</w:t>
            </w:r>
            <w:r>
              <w:rPr>
                <w:rFonts w:ascii="Consolas" w:cs="Consolas" w:eastAsia="Consolas" w:hAnsi="Consolas"/>
                <w:color w:val="0B4D47"/>
                <w:sz w:val="18"/>
                <w:szCs w:val="18"/>
              </w:rPr>
              <w:t xml:space="preserve">JOURNAL_INCONNU</w:t>
            </w:r>
            <w:r>
              <w:t xml:space="preserve">). Le numéro
de pièce reprend le code du journal : </w:t>
            </w:r>
            <w:r>
              <w:rPr>
                <w:rFonts w:ascii="Consolas" w:cs="Consolas" w:eastAsia="Consolas" w:hAnsi="Consolas"/>
                <w:color w:val="0B4D47"/>
                <w:sz w:val="18"/>
                <w:szCs w:val="18"/>
              </w:rPr>
              <w:t xml:space="preserve">&lt;JOURNAL&gt;-&lt;année&gt;-&lt;n° sur 6 chiffres&gt;</w:t>
            </w:r>
            <w:r>
              <w:t xml:space="preserve">, numéroté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du stock</w:t>
            </w:r>
            <w:r>
              <w:t xml:space="preserve"> (inventaire permanent), paramétrables par centre : stock (322 par défaut),
consommation (602), factures non parvenues (408), boni d'inventaire (757), mali d'inventaire (657). La </w:t>
            </w:r>
            <w:r>
              <w:rPr>
                <w:b/>
                <w:bCs/>
              </w:rPr>
              <w:t xml:space="preserve">fiche d'un
article</w:t>
            </w:r>
            <w:r>
              <w:t xml:space="preserve"> peut préciser son propre compte de stock et son propre compte de consommation (RG-STK-008) ; à défaut, ceux
du centre s'appliquent.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réception</w:t>
            </w:r>
            <w:r>
              <w:t xml:space="preserve"> : un bon de réception </w:t>
            </w:r>
            <w:r>
              <w:rPr>
                <w:b/>
                <w:bCs/>
              </w:rPr>
              <w:t xml:space="preserve">validé</w:t>
            </w:r>
            <w:r>
              <w:t xml:space="preserve"> donne une écriture, dans le journal des
réceptions, à la date de réception : débit du compte de stock (de l'article ou du centre), crédit des </w:t>
            </w:r>
            <w:r>
              <w:rPr>
                <w:b/>
                <w:bCs/>
              </w:rPr>
              <w:t xml:space="preserve">factures non
parvenues</w:t>
            </w:r>
            <w:r>
              <w:t xml:space="preserve">, pour la valeur </w:t>
            </w:r>
            <w:r>
              <w:rPr>
                <w:b/>
                <w:bCs/>
              </w:rPr>
              <w:t xml:space="preserve">hors taxe</w:t>
            </w:r>
            <w:r>
              <w:t xml:space="preserve"> quantité × prix unitaire. La TVA d'achat et le compte fournisseur se
traitent à la facture, </w:t>
            </w:r>
            <w:r>
              <w:rPr>
                <w:b/>
                <w:bCs/>
              </w:rPr>
              <w:t xml:space="preserve">hors application</w:t>
            </w:r>
            <w:r>
              <w:t xml:space="preserve">. Une écriture par bon, jamais doublée.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sorties</w:t>
            </w:r>
            <w:r>
              <w:t xml:space="preserve"> : les sorties de stock d'une journée (consommations de séance, sorties
manuelles) sont </w:t>
            </w:r>
            <w:r>
              <w:rPr>
                <w:b/>
                <w:bCs/>
              </w:rPr>
              <w:t xml:space="preserve">centralisées en une écriture par centre et par jour</w:t>
            </w:r>
            <w:r>
              <w:t xml:space="preserve">, dans le journal des sorties : débit du
compte de consommation, crédit du compte de stock, valorisés au </w:t>
            </w:r>
            <w:r>
              <w:rPr>
                <w:b/>
                <w:bCs/>
              </w:rPr>
              <w:t xml:space="preserve">prix moyen pondéré appliqué à la sortie</w:t>
            </w:r>
            <w:r>
              <w:t xml:space="preserve"> (à
défaut le PMP après mouvement, puis le PMP courant de l'article). Une ligne par compte.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écarts d'inventaire</w:t>
            </w:r>
            <w:r>
              <w:t xml:space="preserve"> : un inventaire </w:t>
            </w:r>
            <w:r>
              <w:rPr>
                <w:b/>
                <w:bCs/>
              </w:rPr>
              <w:t xml:space="preserve">clôturé</w:t>
            </w:r>
            <w:r>
              <w:t xml:space="preserve"> donne une écriture, dans le journal
des inventaires, à la date de l'inventaire : excédent (compté &gt; théorique) = débit stock, crédit boni ; manquant =
débit mali, crédit stock ; écarts valorisés au PMP de la ligne d'inventaire. Une ligne non comptée ne produit rien.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Comptabilisation du stock rejouable</w:t>
            </w:r>
            <w:r>
              <w:t xml:space="preserve"> : elle a lieu </w:t>
            </w:r>
            <w:r>
              <w:rPr>
                <w:b/>
                <w:bCs/>
              </w:rPr>
              <w:t xml:space="preserve">chaque nuit</w:t>
            </w:r>
            <w:r>
              <w:t xml:space="preserve"> sur les 35 derniers jours
(</w:t>
            </w:r>
            <w:r>
              <w:rPr>
                <w:rFonts w:ascii="Consolas" w:cs="Consolas" w:eastAsia="Consolas" w:hAnsi="Consolas"/>
                <w:color w:val="0B4D47"/>
                <w:sz w:val="18"/>
                <w:szCs w:val="18"/>
              </w:rPr>
              <w:t xml:space="preserve">ComptabiliteStockScheduler</w:t>
            </w:r>
            <w:r>
              <w:t xml:space="preserve">) et </w:t>
            </w:r>
            <w:r>
              <w:rPr>
                <w:b/>
                <w:bCs/>
              </w:rPr>
              <w:t xml:space="preserve">à la demande</w:t>
            </w:r>
            <w:r>
              <w:t xml:space="preserve"> de l'administrateur sur une période d'un an au plus. Seule la
</w:t>
            </w:r>
            <w:r>
              <w:rPr>
                <w:b/>
                <w:bCs/>
              </w:rPr>
              <w:t xml:space="preserve">différence</w:t>
            </w:r>
            <w:r>
              <w:t xml:space="preserve"> entre ce qui devrait être comptabilisé et ce qui l'est déjà est écrite : la rejouer ne crée aucun
doublon. Quand les sorties d'un jour changent après coup (mouvement saisi en retard, PMP recalculé), l'écriture du
jour est </w:t>
            </w:r>
            <w:r>
              <w:rPr>
                <w:b/>
                <w:bCs/>
              </w:rPr>
              <w:t xml:space="preserve">mise à jour</w:t>
            </w:r>
            <w:r>
              <w:t xml:space="preserve"> tant qu'elle n'est ni exportée ni dans une période clôturée (son numéro de pièce est
conservé) ; sinon la différence fait l'objet d'une </w:t>
            </w:r>
            <w:r>
              <w:rPr>
                <w:b/>
                <w:bCs/>
              </w:rPr>
              <w:t xml:space="preserve">écriture de complément</w:t>
            </w:r>
            <w:r>
              <w:t xml:space="preserve"> — datée du jour même, ou du jour du
traitement si la période d'origine est clôturée (au plus 50 compléments par journée). Une réception ou un inventaire
dont la période est </w:t>
            </w:r>
            <w:r>
              <w:rPr>
                <w:b/>
                <w:bCs/>
              </w:rPr>
              <w:t xml:space="preserve">clôturée</w:t>
            </w:r>
            <w:r>
              <w:t xml:space="preserve"> n'est pas comptabilisé : il est compté comme « ignoré » et signalé à l'écran. Le
stock d'un centre n'est jamais comptabilisé dans un autre. </w:t>
            </w:r>
            <w:r>
              <w:rPr>
                <w:i/>
                <w:iCs/>
              </w:rPr>
              <w:t xml:space="preserve">Source :</w:t>
            </w:r>
            <w:r>
              <w:t xml:space="preserve"> </w:t>
            </w:r>
            <w:r>
              <w:rPr>
                <w:rFonts w:ascii="Consolas" w:cs="Consolas" w:eastAsia="Consolas" w:hAnsi="Consolas"/>
                <w:color w:val="0B4D47"/>
                <w:sz w:val="18"/>
                <w:szCs w:val="18"/>
              </w:rPr>
              <w:t xml:space="preserve">ComptabiliteStockService</w:t>
            </w:r>
            <w:r>
              <w:t xml:space="preserve">,
</w:t>
            </w:r>
            <w:r>
              <w:rPr>
                <w:rFonts w:ascii="Consolas" w:cs="Consolas" w:eastAsia="Consolas" w:hAnsi="Consolas"/>
                <w:color w:val="0B4D47"/>
                <w:sz w:val="18"/>
                <w:szCs w:val="18"/>
              </w:rPr>
              <w:t xml:space="preserve">GenerateurEcritureStock</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/stock/synchroniser</w:t>
            </w:r>
            <w:r>
              <w:t xml:space="preserve">) → </w:t>
            </w:r>
            <w:r>
              <w:rPr>
                <w:rFonts w:ascii="Consolas" w:cs="Consolas" w:eastAsia="Consolas" w:hAnsi="Consolas"/>
                <w:color w:val="0B4D47"/>
                <w:sz w:val="18"/>
                <w:szCs w:val="18"/>
              </w:rPr>
              <w:t xml:space="preserve">ComptabiliteStockUseCase</w:t>
            </w:r>
            <w:r>
              <w:t xml:space="preserve"> →
</w:t>
            </w:r>
            <w:r>
              <w:rPr>
                <w:rFonts w:ascii="Consolas" w:cs="Consolas" w:eastAsia="Consolas" w:hAnsi="Consolas"/>
                <w:color w:val="0B4D47"/>
                <w:sz w:val="18"/>
                <w:szCs w:val="18"/>
              </w:rPr>
              <w:t xml:space="preserve">OperationsStockPort</w:t>
            </w:r>
            <w:r>
              <w:t xml:space="preserve"> (</w:t>
            </w:r>
            <w:r>
              <w:rPr>
                <w:rFonts w:ascii="Consolas" w:cs="Consolas" w:eastAsia="Consolas" w:hAnsi="Consolas"/>
                <w:color w:val="0B4D47"/>
                <w:sz w:val="18"/>
                <w:szCs w:val="18"/>
              </w:rPr>
              <w:t xml:space="preserve">OperationsStockJdbcAdapter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 par centre de la comptabilité</w:t>
            </w:r>
            <w:r>
              <w:t xml:space="preserve"> : toute requête comptable (écritures, export, clôture,
paramétrage, journaux, comptabilisation du stock, reconstruction) est confrontée au centre de la session ; demander
un autre centre est refusé (403). </w:t>
            </w:r>
            <w:r>
              <w:rPr>
                <w:i/>
                <w:iCs/>
              </w:rPr>
              <w:t xml:space="preserve">Source :</w:t>
            </w:r>
            <w:r>
              <w:t xml:space="preserve">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automatiquement : le compte des factures non parvenues se solde par
une pièce saisie (RG-CPT-021), à la comptabilisation de la facture du fournisseur.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comptable par centre</w:t>
            </w:r>
            <w:r>
              <w:t xml:space="preserve"> : chaque centre tient la liste de ses comptes (numéro de 1 à 20
lettres ou chiffres, libellé de 150 caractères au plus, actif ou non), paginée et recherchable par numéro ou
libellé. Tant qu'il n'a rien paramétré, il dispose d'un </w:t>
            </w:r>
            <w:r>
              <w:rPr>
                <w:b/>
                <w:bCs/>
              </w:rPr>
              <w:t xml:space="preserve">plan SCF de départ</w:t>
            </w:r>
            <w:r>
              <w:t xml:space="preserve"> (stock, fournisseurs, clients,
personnel, TVA, trésorerie, charges, produits), complété des comptes que son paramétrage utilise déjà ; ce plan est
enregistré comme le sien à sa première modification. Partout où un compte est demandé (paramétrage, payeur, modèle
de pièce), il </w:t>
            </w:r>
            <w:r>
              <w:rPr>
                <w:b/>
                <w:bCs/>
              </w:rPr>
              <w:t xml:space="preserve">se choisit dans ce plan</w:t>
            </w:r>
            <w:r>
              <w:t xml:space="preserve">. Un compte </w:t>
            </w:r>
            <w:r>
              <w:rPr>
                <w:b/>
                <w:bCs/>
              </w:rPr>
              <w:t xml:space="preserve">utilisé</w:t>
            </w:r>
            <w:r>
              <w:t xml:space="preserve"> par le paramétrage, un payeur ou un modèle de pièce
ne peut être ni désactivé ni supprimé (</w:t>
            </w:r>
            <w:r>
              <w:rPr>
                <w:rFonts w:ascii="Consolas" w:cs="Consolas" w:eastAsia="Consolas" w:hAnsi="Consolas"/>
                <w:color w:val="0B4D47"/>
                <w:sz w:val="18"/>
                <w:szCs w:val="18"/>
              </w:rPr>
              <w:t xml:space="preserve">COMPTE_UTILISE</w:t>
            </w:r>
            <w:r>
              <w:t xml:space="preserve">) ; un compte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COMPTE_AVEC_ECRITURES</w:t>
            </w:r>
            <w:r>
              <w:t xml:space="preserve">) ; supprimer un compte inconnu est refusé (</w:t>
            </w:r>
            <w:r>
              <w:rPr>
                <w:rFonts w:ascii="Consolas" w:cs="Consolas" w:eastAsia="Consolas" w:hAnsi="Consolas"/>
                <w:color w:val="0B4D47"/>
                <w:sz w:val="18"/>
                <w:szCs w:val="18"/>
              </w:rPr>
              <w:t xml:space="preserve">COMPTE_INTROUVABLE</w:t>
            </w:r>
            <w:r>
              <w:t xml:space="preserve">). Ajouter
un compte ne demande aucun développement. </w:t>
            </w:r>
            <w:r>
              <w:rPr>
                <w:i/>
                <w:iCs/>
              </w:rPr>
              <w:t xml:space="preserve">Source :</w:t>
            </w:r>
            <w:r>
              <w:t xml:space="preserve"> </w:t>
            </w:r>
            <w:r>
              <w:rPr>
                <w:rFonts w:ascii="Consolas" w:cs="Consolas" w:eastAsia="Consolas" w:hAnsi="Consolas"/>
                <w:color w:val="0B4D47"/>
                <w:sz w:val="18"/>
                <w:szCs w:val="18"/>
              </w:rPr>
              <w:t xml:space="preserve">PlanComptableService</w:t>
            </w:r>
            <w:r>
              <w:t xml:space="preserve">, </w:t>
            </w:r>
            <w:r>
              <w:rPr>
                <w:rFonts w:ascii="Consolas" w:cs="Consolas" w:eastAsia="Consolas" w:hAnsi="Consolas"/>
                <w:color w:val="0B4D47"/>
                <w:sz w:val="18"/>
                <w:szCs w:val="18"/>
              </w:rPr>
              <w:t xml:space="preserve">PlanComptableComponent</w:t>
            </w:r>
            <w:r>
              <w:t xml:space="preserve"> →
</w:t>
            </w:r>
            <w:r>
              <w:rPr>
                <w:rFonts w:ascii="Consolas" w:cs="Consolas" w:eastAsia="Consolas" w:hAnsi="Consolas"/>
                <w:color w:val="0B4D47"/>
                <w:sz w:val="18"/>
                <w:szCs w:val="18"/>
              </w:rPr>
              <w:t xml:space="preserve">PlanComptableStore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ComptabiliteParametrageRestController</w:t>
            </w:r>
            <w:r>
              <w:t xml:space="preserve"> (</w:t>
            </w:r>
            <w:r>
              <w:rPr>
                <w:rFonts w:ascii="Consolas" w:cs="Consolas" w:eastAsia="Consolas" w:hAnsi="Consolas"/>
                <w:color w:val="0B4D47"/>
                <w:sz w:val="18"/>
                <w:szCs w:val="18"/>
              </w:rPr>
              <w:t xml:space="preserve">/comptes</w:t>
            </w:r>
            <w:r>
              <w:t xml:space="preserve">) →
</w:t>
            </w:r>
            <w:r>
              <w:rPr>
                <w:rFonts w:ascii="Consolas" w:cs="Consolas" w:eastAsia="Consolas" w:hAnsi="Consolas"/>
                <w:color w:val="0B4D47"/>
                <w:sz w:val="18"/>
                <w:szCs w:val="18"/>
              </w:rPr>
              <w:t xml:space="preserve">PlanComptableUseCase</w:t>
            </w:r>
            <w:r>
              <w:t xml:space="preserve"> → </w:t>
            </w:r>
            <w:r>
              <w:rPr>
                <w:rFonts w:ascii="Consolas" w:cs="Consolas" w:eastAsia="Consolas" w:hAnsi="Consolas"/>
                <w:color w:val="0B4D47"/>
                <w:sz w:val="18"/>
                <w:szCs w:val="18"/>
              </w:rPr>
              <w:t xml:space="preserve">CompteRepositoryPort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 client de chaque payeur</w:t>
            </w:r>
            <w:r>
              <w:t xml:space="preserve"> : chaque payeur du référentiel (caisse, mutuelle, entreprise…)
peut porter son propre compte client, choisi dans le plan comptable (</w:t>
            </w:r>
            <w:r>
              <w:rPr>
                <w:rFonts w:ascii="Consolas" w:cs="Consolas" w:eastAsia="Consolas" w:hAnsi="Consolas"/>
                <w:color w:val="0B4D47"/>
                <w:sz w:val="18"/>
                <w:szCs w:val="18"/>
              </w:rPr>
              <w:t xml:space="preserve">COMPTE_INCONNU</w:t>
            </w:r>
            <w:r>
              <w:t xml:space="preserve"> sinon) ; ses factures y sont
débitées. Un payeur sans compte propre utilise le compte client par défaut du centre ; vider le compte d'un payeur
l'y ramène. Un payeur d'un autre centre est introuvable (</w:t>
            </w:r>
            <w:r>
              <w:rPr>
                <w:rFonts w:ascii="Consolas" w:cs="Consolas" w:eastAsia="Consolas" w:hAnsi="Consolas"/>
                <w:color w:val="0B4D47"/>
                <w:sz w:val="18"/>
                <w:szCs w:val="18"/>
              </w:rPr>
              <w:t xml:space="preserve">PAYEUR_INTROUVABLE</w:t>
            </w:r>
            <w:r>
              <w:t xml:space="preserve">). </w:t>
            </w:r>
            <w:r>
              <w:rPr>
                <w:b/>
                <w:bCs/>
              </w:rPr>
              <w:t xml:space="preserve">Un nouveau client ne demande aucun
développement</w:t>
            </w:r>
            <w:r>
              <w:t xml:space="preserve"> : on crée le payeur dans les référentiels, on ajoute son compte au plan, on le lui affecte. La liste
des payeurs est paginée et recherchable. </w:t>
            </w:r>
            <w:r>
              <w:rPr>
                <w:i/>
                <w:iCs/>
              </w:rPr>
              <w:t xml:space="preserve">Source :</w:t>
            </w:r>
            <w:r>
              <w:t xml:space="preserve"> </w:t>
            </w:r>
            <w:r>
              <w:rPr>
                <w:rFonts w:ascii="Consolas" w:cs="Consolas" w:eastAsia="Consolas" w:hAnsi="Consolas"/>
                <w:color w:val="0B4D47"/>
                <w:sz w:val="18"/>
                <w:szCs w:val="18"/>
              </w:rPr>
              <w:t xml:space="preserve">ComptesPayeursService</w:t>
            </w:r>
            <w:r>
              <w:t xml:space="preserve">, </w:t>
            </w:r>
            <w:r>
              <w:rPr>
                <w:rFonts w:ascii="Consolas" w:cs="Consolas" w:eastAsia="Consolas" w:hAnsi="Consolas"/>
                <w:color w:val="0B4D47"/>
                <w:sz w:val="18"/>
                <w:szCs w:val="18"/>
              </w:rPr>
              <w:t xml:space="preserve">PlanComptableComponent</w:t>
            </w:r>
            <w:r>
              <w:t xml:space="preserve"> →
</w:t>
            </w:r>
            <w:r>
              <w:rPr>
                <w:rFonts w:ascii="Consolas" w:cs="Consolas" w:eastAsia="Consolas" w:hAnsi="Consolas"/>
                <w:color w:val="0B4D47"/>
                <w:sz w:val="18"/>
                <w:szCs w:val="18"/>
              </w:rPr>
              <w:t xml:space="preserve">PlanComptableStore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ComptabiliteParametrageRestController</w:t>
            </w:r>
            <w:r>
              <w:t xml:space="preserve"> (</w:t>
            </w:r>
            <w:r>
              <w:rPr>
                <w:rFonts w:ascii="Consolas" w:cs="Consolas" w:eastAsia="Consolas" w:hAnsi="Consolas"/>
                <w:color w:val="0B4D47"/>
                <w:sz w:val="18"/>
                <w:szCs w:val="18"/>
              </w:rPr>
              <w:t xml:space="preserve">/payeurs</w:t>
            </w:r>
            <w:r>
              <w:t xml:space="preserve">) →
</w:t>
            </w:r>
            <w:r>
              <w:rPr>
                <w:rFonts w:ascii="Consolas" w:cs="Consolas" w:eastAsia="Consolas" w:hAnsi="Consolas"/>
                <w:color w:val="0B4D47"/>
                <w:sz w:val="18"/>
                <w:szCs w:val="18"/>
              </w:rPr>
              <w:t xml:space="preserve">ComptesPayeursUseCase</w:t>
            </w:r>
            <w:r>
              <w:t xml:space="preserve"> → </w:t>
            </w:r>
            <w:r>
              <w:rPr>
                <w:rFonts w:ascii="Consolas" w:cs="Consolas" w:eastAsia="Consolas" w:hAnsi="Consolas"/>
                <w:color w:val="0B4D47"/>
                <w:sz w:val="18"/>
                <w:szCs w:val="18"/>
              </w:rPr>
              <w:t xml:space="preserve">PayeursPort</w:t>
            </w:r>
            <w:r>
              <w:t xml:space="preserve">, </w:t>
            </w:r>
            <w:r>
              <w:rPr>
                <w:rFonts w:ascii="Consolas" w:cs="Consolas" w:eastAsia="Consolas" w:hAnsi="Consolas"/>
                <w:color w:val="0B4D47"/>
                <w:sz w:val="18"/>
                <w:szCs w:val="18"/>
              </w:rPr>
              <w:t xml:space="preserve">ComptePayeurRepositoryPort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Modèles de pièces</w:t>
            </w:r>
            <w:r>
              <w:t xml:space="preserve"> : un centre définit ses propres types de pièces (loyer, salaires, facture
fournisseur, opération diverse…). Un modèle porte un code unique dans le centre (1 à 20 lettres majuscules,
chiffres, tirets ; </w:t>
            </w:r>
            <w:r>
              <w:rPr>
                <w:rFonts w:ascii="Consolas" w:cs="Consolas" w:eastAsia="Consolas" w:hAnsi="Consolas"/>
                <w:color w:val="0B4D47"/>
                <w:sz w:val="18"/>
                <w:szCs w:val="18"/>
              </w:rPr>
              <w:t xml:space="preserve">MODELE_CODE_EXISTANT</w:t>
            </w:r>
            <w:r>
              <w:t xml:space="preserve">), un libellé, un </w:t>
            </w:r>
            <w:r>
              <w:rPr>
                <w:b/>
                <w:bCs/>
              </w:rPr>
              <w:t xml:space="preserve">journal actif</w:t>
            </w:r>
            <w:r>
              <w:t xml:space="preserve"> (</w:t>
            </w:r>
            <w:r>
              <w:rPr>
                <w:rFonts w:ascii="Consolas" w:cs="Consolas" w:eastAsia="Consolas" w:hAnsi="Consolas"/>
                <w:color w:val="0B4D47"/>
                <w:sz w:val="18"/>
                <w:szCs w:val="18"/>
              </w:rPr>
              <w:t xml:space="preserve">JOURNAL_INCONNU</w:t>
            </w:r>
            <w:r>
              <w:t xml:space="preserve"> sinon) et de 2 à 20
</w:t>
            </w:r>
            <w:r>
              <w:rPr>
                <w:b/>
                <w:bCs/>
              </w:rPr>
              <w:t xml:space="preserve">lignes</w:t>
            </w:r>
            <w:r>
              <w:t xml:space="preserve"> — un sens (débit ou crédit), un compte du plan et un libellé facultatif chacune — dont au moins une au
débit et une au crédit (</w:t>
            </w:r>
            <w:r>
              <w:rPr>
                <w:rFonts w:ascii="Consolas" w:cs="Consolas" w:eastAsia="Consolas" w:hAnsi="Consolas"/>
                <w:color w:val="0B4D47"/>
                <w:sz w:val="18"/>
                <w:szCs w:val="18"/>
              </w:rPr>
              <w:t xml:space="preserve">MODELE_LIGNES_INVALIDES</w:t>
            </w:r>
            <w:r>
              <w:t xml:space="preserve">). Un modèle désactivé ne sert plus à saisir (</w:t>
            </w:r>
            <w:r>
              <w:rPr>
                <w:rFonts w:ascii="Consolas" w:cs="Consolas" w:eastAsia="Consolas" w:hAnsi="Consolas"/>
                <w:color w:val="0B4D47"/>
                <w:sz w:val="18"/>
                <w:szCs w:val="18"/>
              </w:rPr>
              <w:t xml:space="preserve">MODELE_INACTIF</w:t>
            </w:r>
            <w:r>
              <w:t xml:space="preserve">) ;
le supprimer conserve les pièces déjà saisies ; un modèle inconnu est refusé (</w:t>
            </w:r>
            <w:r>
              <w:rPr>
                <w:rFonts w:ascii="Consolas" w:cs="Consolas" w:eastAsia="Consolas" w:hAnsi="Consolas"/>
                <w:color w:val="0B4D47"/>
                <w:sz w:val="18"/>
                <w:szCs w:val="18"/>
              </w:rPr>
              <w:t xml:space="preserve">MODELE_INTROUVABLE</w:t>
            </w:r>
            <w:r>
              <w:t xml:space="preserve">). Le journal d'un
modèle ne peut être ni désactivé ni supprimé (</w:t>
            </w:r>
            <w:r>
              <w:rPr>
                <w:rFonts w:ascii="Consolas" w:cs="Consolas" w:eastAsia="Consolas" w:hAnsi="Consolas"/>
                <w:color w:val="0B4D47"/>
                <w:sz w:val="18"/>
                <w:szCs w:val="18"/>
              </w:rPr>
              <w:t xml:space="preserve">JOURNAL_UTILISE</w:t>
            </w:r>
            <w:r>
              <w:t xml:space="preserve">). </w:t>
            </w:r>
            <w:r>
              <w:rPr>
                <w:b/>
                <w:bCs/>
              </w:rPr>
              <w:t xml:space="preserve">Un nouveau type de pièce ne demande aucun
développement.</w:t>
            </w:r>
            <w:r>
              <w:t xml:space="preserve"> Liste paginée ; gestion réservée à </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ModelePiece</w:t>
            </w:r>
            <w:r>
              <w:t xml:space="preserve">, </w:t>
            </w:r>
            <w:r>
              <w:rPr>
                <w:rFonts w:ascii="Consolas" w:cs="Consolas" w:eastAsia="Consolas" w:hAnsi="Consolas"/>
                <w:color w:val="0B4D47"/>
                <w:sz w:val="18"/>
                <w:szCs w:val="18"/>
              </w:rPr>
              <w:t xml:space="preserve">PiecesComptablesService</w:t>
            </w:r>
            <w:r>
              <w:t xml:space="preserve">,
</w:t>
            </w:r>
            <w:r>
              <w:rPr>
                <w:rFonts w:ascii="Consolas" w:cs="Consolas" w:eastAsia="Consolas" w:hAnsi="Consolas"/>
                <w:color w:val="0B4D47"/>
                <w:sz w:val="18"/>
                <w:szCs w:val="18"/>
              </w:rPr>
              <w:t xml:space="preserve">ModelesPieceComponent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ComptabiliteParametrageRestController</w:t>
            </w:r>
            <w:r>
              <w:t xml:space="preserve"> (</w:t>
            </w:r>
            <w:r>
              <w:rPr>
                <w:rFonts w:ascii="Consolas" w:cs="Consolas" w:eastAsia="Consolas" w:hAnsi="Consolas"/>
                <w:color w:val="0B4D47"/>
                <w:sz w:val="18"/>
                <w:szCs w:val="18"/>
              </w:rPr>
              <w:t xml:space="preserve">/modeles</w:t>
            </w:r>
            <w:r>
              <w:t xml:space="preserve">) → </w:t>
            </w:r>
            <w:r>
              <w:rPr>
                <w:rFonts w:ascii="Consolas" w:cs="Consolas" w:eastAsia="Consolas" w:hAnsi="Consolas"/>
                <w:color w:val="0B4D47"/>
                <w:sz w:val="18"/>
                <w:szCs w:val="18"/>
              </w:rPr>
              <w:t xml:space="preserve">PiecesComptablesUseCase</w:t>
            </w:r>
            <w:r>
              <w:t xml:space="preserve"> → </w:t>
            </w:r>
            <w:r>
              <w:rPr>
                <w:rFonts w:ascii="Consolas" w:cs="Consolas" w:eastAsia="Consolas" w:hAnsi="Consolas"/>
                <w:color w:val="0B4D47"/>
                <w:sz w:val="18"/>
                <w:szCs w:val="18"/>
              </w:rPr>
              <w:t xml:space="preserve">ModelePieceRepositoryPort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Saisie d'une pièce</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on choisit un modèle actif, une date, un libellé
(à défaut celui du modèle) et </w:t>
            </w:r>
            <w:r>
              <w:rPr>
                <w:b/>
                <w:bCs/>
              </w:rPr>
              <w:t xml:space="preserve">un montant par ligne</w:t>
            </w:r>
            <w:r>
              <w:t xml:space="preserve"> ; une ligne à zéro n'est pas écrite. La pièce devient une
écriture </w:t>
            </w:r>
            <w:r>
              <w:rPr>
                <w:b/>
                <w:bCs/>
              </w:rPr>
              <w:t xml:space="preserve">validée</w:t>
            </w:r>
            <w:r>
              <w:t xml:space="preserve"> dans le journal du modèle, numérotée comme les autres (RG-CPT-010). Elle est refusée si un
montant est négatif, s'il n'y a pas un montant par ligne ou s'il reste moins de deux lignes
(</w:t>
            </w:r>
            <w:r>
              <w:rPr>
                <w:rFonts w:ascii="Consolas" w:cs="Consolas" w:eastAsia="Consolas" w:hAnsi="Consolas"/>
                <w:color w:val="0B4D47"/>
                <w:sz w:val="18"/>
                <w:szCs w:val="18"/>
              </w:rPr>
              <w:t xml:space="preserve">PIECE_MONTANTS_INVALIDES</w:t>
            </w:r>
            <w:r>
              <w:t xml:space="preserve">), si elle n'est pas équilibrée (</w:t>
            </w:r>
            <w:r>
              <w:rPr>
                <w:rFonts w:ascii="Consolas" w:cs="Consolas" w:eastAsia="Consolas" w:hAnsi="Consolas"/>
                <w:color w:val="0B4D47"/>
                <w:sz w:val="18"/>
                <w:szCs w:val="18"/>
              </w:rPr>
              <w:t xml:space="preserve">ECRITURE_DESEQUILIBREE</w:t>
            </w:r>
            <w:r>
              <w:t xml:space="preserve">), si sa période est clôturée
(</w:t>
            </w:r>
            <w:r>
              <w:rPr>
                <w:rFonts w:ascii="Consolas" w:cs="Consolas" w:eastAsia="Consolas" w:hAnsi="Consolas"/>
                <w:color w:val="0B4D47"/>
                <w:sz w:val="18"/>
                <w:szCs w:val="18"/>
              </w:rPr>
              <w:t xml:space="preserve">PERIODE_CLOTUREE</w:t>
            </w:r>
            <w:r>
              <w:t xml:space="preserve">) ou si un de ses comptes a quitté le plan (</w:t>
            </w:r>
            <w:r>
              <w:rPr>
                <w:rFonts w:ascii="Consolas" w:cs="Consolas" w:eastAsia="Consolas" w:hAnsi="Consolas"/>
                <w:color w:val="0B4D47"/>
                <w:sz w:val="18"/>
                <w:szCs w:val="18"/>
              </w:rPr>
              <w:t xml:space="preserve">COMPTE_INCONNU</w:t>
            </w:r>
            <w:r>
              <w:t xml:space="preserve">). </w:t>
            </w:r>
            <w:r>
              <w:rPr>
                <w:i/>
                <w:iCs/>
              </w:rPr>
              <w:t xml:space="preserve">Source :</w:t>
            </w:r>
            <w:r>
              <w:t xml:space="preserve">
</w:t>
            </w:r>
            <w:r>
              <w:rPr>
                <w:rFonts w:ascii="Consolas" w:cs="Consolas" w:eastAsia="Consolas" w:hAnsi="Consolas"/>
                <w:color w:val="0B4D47"/>
                <w:sz w:val="18"/>
                <w:szCs w:val="18"/>
              </w:rPr>
              <w:t xml:space="preserve">PiecesComptablesService.saisir</w:t>
            </w:r>
            <w:r>
              <w:t xml:space="preserve">, </w:t>
            </w:r>
            <w:r>
              <w:rPr>
                <w:rFonts w:ascii="Consolas" w:cs="Consolas" w:eastAsia="Consolas" w:hAnsi="Consolas"/>
                <w:color w:val="0B4D47"/>
                <w:sz w:val="18"/>
                <w:szCs w:val="18"/>
              </w:rPr>
              <w:t xml:space="preserve">SaisiePieceComponent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ComptabiliteParametrageRestController</w:t>
            </w:r>
            <w:r>
              <w:t xml:space="preserve"> (</w:t>
            </w:r>
            <w:r>
              <w:rPr>
                <w:rFonts w:ascii="Consolas" w:cs="Consolas" w:eastAsia="Consolas" w:hAnsi="Consolas"/>
                <w:color w:val="0B4D47"/>
                <w:sz w:val="18"/>
                <w:szCs w:val="18"/>
              </w:rPr>
              <w:t xml:space="preserve">/pieces</w:t>
            </w:r>
            <w:r>
              <w:t xml:space="preserve">) → </w:t>
            </w:r>
            <w:r>
              <w:rPr>
                <w:rFonts w:ascii="Consolas" w:cs="Consolas" w:eastAsia="Consolas" w:hAnsi="Consolas"/>
                <w:color w:val="0B4D47"/>
                <w:sz w:val="18"/>
                <w:szCs w:val="18"/>
              </w:rPr>
              <w:t xml:space="preserve">PiecesComptablesUseCase</w:t>
            </w:r>
            <w:r>
              <w:t xml:space="preserve"> → </w:t>
            </w:r>
            <w:r>
              <w:rPr>
                <w:rFonts w:ascii="Consolas" w:cs="Consolas" w:eastAsia="Consolas" w:hAnsi="Consolas"/>
                <w:color w:val="0B4D47"/>
                <w:sz w:val="18"/>
                <w:szCs w:val="18"/>
              </w:rPr>
              <w:t xml:space="preserve">EcritureComptableRepositoryPort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Extourne d'une pièce saisie</w:t>
            </w:r>
            <w:r>
              <w:t xml:space="preserve"> (</w:t>
            </w:r>
            <w:r>
              <w:rPr>
                <w:rFonts w:ascii="Consolas" w:cs="Consolas" w:eastAsia="Consolas" w:hAnsi="Consolas"/>
                <w:color w:val="0B4D47"/>
                <w:sz w:val="18"/>
                <w:szCs w:val="18"/>
              </w:rPr>
              <w:t xml:space="preserve">ADMIN</w:t>
            </w:r>
            <w:r>
              <w:t xml:space="preserve">) : une écriture ne se supprime jamais ; une pièce saisie
par erreur s'annule par une </w:t>
            </w:r>
            <w:r>
              <w:rPr>
                <w:b/>
                <w:bCs/>
              </w:rPr>
              <w:t xml:space="preserve">écriture inverse</w:t>
            </w:r>
            <w:r>
              <w:t xml:space="preserve"> (débits et crédits échangés), datée du jour, dans le même journal,
libellée « Extourne &lt;n° de pièce&gt; ». Une pièce ne s'extourne </w:t>
            </w:r>
            <w:r>
              <w:rPr>
                <w:b/>
                <w:bCs/>
              </w:rPr>
              <w:t xml:space="preserve">qu'une fois</w:t>
            </w:r>
            <w:r>
              <w:t xml:space="preserve"> et une extourne ne s'extourne pas
(</w:t>
            </w:r>
            <w:r>
              <w:rPr>
                <w:rFonts w:ascii="Consolas" w:cs="Consolas" w:eastAsia="Consolas" w:hAnsi="Consolas"/>
                <w:color w:val="0B4D47"/>
                <w:sz w:val="18"/>
                <w:szCs w:val="18"/>
              </w:rPr>
              <w:t xml:space="preserve">PIECE_DEJA_EXTOURNEE</w:t>
            </w:r>
            <w:r>
              <w:t xml:space="preserve">) ; une écriture générée par le système (vente, règlement, stock) ne s'extourne pas à la
main (</w:t>
            </w:r>
            <w:r>
              <w:rPr>
                <w:rFonts w:ascii="Consolas" w:cs="Consolas" w:eastAsia="Consolas" w:hAnsi="Consolas"/>
                <w:color w:val="0B4D47"/>
                <w:sz w:val="18"/>
                <w:szCs w:val="18"/>
              </w:rPr>
              <w:t xml:space="preserve">PIECE_NON_SAISIE</w:t>
            </w:r>
            <w:r>
              <w:t xml:space="preserve">) ; la période du jour doit être ouverte (</w:t>
            </w:r>
            <w:r>
              <w:rPr>
                <w:rFonts w:ascii="Consolas" w:cs="Consolas" w:eastAsia="Consolas" w:hAnsi="Consolas"/>
                <w:color w:val="0B4D47"/>
                <w:sz w:val="18"/>
                <w:szCs w:val="18"/>
              </w:rPr>
              <w:t xml:space="preserve">PERIODE_CLOTUREE</w:t>
            </w:r>
            <w:r>
              <w:t xml:space="preserve">). </w:t>
            </w:r>
            <w:r>
              <w:rPr>
                <w:i/>
                <w:iCs/>
              </w:rPr>
              <w:t xml:space="preserve">Source :</w:t>
            </w:r>
            <w:r>
              <w:t xml:space="preserve">
</w:t>
            </w:r>
            <w:r>
              <w:rPr>
                <w:rFonts w:ascii="Consolas" w:cs="Consolas" w:eastAsia="Consolas" w:hAnsi="Consolas"/>
                <w:color w:val="0B4D47"/>
                <w:sz w:val="18"/>
                <w:szCs w:val="18"/>
              </w:rPr>
              <w:t xml:space="preserve">PiecesComptablesService.extourner</w:t>
            </w:r>
            <w:r>
              <w:t xml:space="preserve">, </w:t>
            </w:r>
            <w:r>
              <w:rPr>
                <w:rFonts w:ascii="Consolas" w:cs="Consolas" w:eastAsia="Consolas" w:hAnsi="Consolas"/>
                <w:color w:val="0B4D47"/>
                <w:sz w:val="18"/>
                <w:szCs w:val="18"/>
              </w:rPr>
              <w:t xml:space="preserve">ComptabiliteDashboardComponent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ComptabiliteParametrageRestController</w:t>
            </w:r>
            <w:r>
              <w:t xml:space="preserve"> (</w:t>
            </w:r>
            <w:r>
              <w:rPr>
                <w:rFonts w:ascii="Consolas" w:cs="Consolas" w:eastAsia="Consolas" w:hAnsi="Consolas"/>
                <w:color w:val="0B4D47"/>
                <w:sz w:val="18"/>
                <w:szCs w:val="18"/>
              </w:rPr>
              <w:t xml:space="preserve">/pieces/{id}/extourne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RG-CPT-023</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comptes propres à un article (RG-STK-008) se saisissent encore librement
sur la fiche article : ils ne sont pas contrôlés contre le plan comptable du centre.</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w:t>
            </w:r>
            <w:r>
              <w:rPr>
                <w:rFonts w:ascii="Consolas" w:cs="Consolas" w:eastAsia="Consolas" w:hAnsi="Consolas"/>
                <w:color w:val="0B4D47"/>
                <w:sz w:val="18"/>
                <w:szCs w:val="18"/>
              </w:rPr>
              <w:t xml:space="preserve">REPLANIFICATION_NOCTURNE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chaque alerte porte une action
qui mène à l'écran où la traiter (RG-NOT-007).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Chaque notification a un libellé, un message et une action.</w:t>
            </w:r>
            <w:r>
              <w:t xml:space="preserve"> Dans la cloche, une notification
n'affiche jamais un code technique : elle porte un </w:t>
            </w:r>
            <w:r>
              <w:rPr>
                <w:b/>
                <w:bCs/>
              </w:rPr>
              <w:t xml:space="preserve">libellé court</w:t>
            </w:r>
            <w:r>
              <w:t xml:space="preserve"> (« Absence d'un infirmier à remplacer »,
« Générateur indisponible »…), un </w:t>
            </w:r>
            <w:r>
              <w:rPr>
                <w:b/>
                <w:bCs/>
              </w:rPr>
              <w:t xml:space="preserve">message</w:t>
            </w:r>
            <w:r>
              <w:t xml:space="preserve"> en phrase complète avec les dates au format jour/mois/année, la
mention </w:t>
            </w:r>
            <w:r>
              <w:rPr>
                <w:b/>
                <w:bCs/>
              </w:rPr>
              <w:t xml:space="preserve">« Action requise »</w:t>
            </w:r>
            <w:r>
              <w:t xml:space="preserve"> quand l'utilisateur a quelque chose à faire, et </w:t>
            </w:r>
            <w:r>
              <w:rPr>
                <w:b/>
                <w:bCs/>
              </w:rPr>
              <w:t xml:space="preserve">une action</w:t>
            </w:r>
            <w:r>
              <w:t xml:space="preserve"> — un bouton qui ouvre
l'écran où la traiter ou la consulter. Ouvrir l'action marque la notification comme lue. L'action dépend du
profil : elle ne mène jamais vers un écran fermé à l'utilisateur.</w:t>
            </w:r>
          </w:p>
        </w:tc>
      </w:tr>
    </w:tbl>
    <w:p>
      <w:pPr>
        <w:spacing w:after="60"/>
      </w:pPr>
    </w:p>
    <w:p>
      <w:pPr>
        <w:spacing w:after="80"/>
      </w:pPr>
      <w:r>
        <w:t xml:space="preserve">| Notification | Action (administrateur, secrétariat) | Médecin seul | Infirmier seul |
    |---|---|---|---|
  | Absence d'un infirmier, sous-effectif | </w:t>
      </w:r>
      <w:r>
        <w:rPr>
          <w:b/>
          <w:bCs/>
        </w:rPr>
        <w:t xml:space="preserve">Chercher des remplaçants</w:t>
      </w:r>
      <w:r>
        <w:t xml:space="preserve"> : optimisation « Couverture » sur toute la période de l'absence | planning de la semaine concernée | — |
  | Sur-effectif d'infirmiers | Revoir le roulement (optimisation « Roulement ») | — | — |
  | Générateur indisponible | Proposer des déplacements (optimisation « Maintenance ») | — | — |
  | Proposition de la replanification nocturne | Ouvrir la proposition | — | — |
  | Planning modifié, patient replacé en isolement | Voir le planning / le nouveau placement | planning du jour | — |
  | Isolement impossible | Replanifier le patient (optimisation « Patients ») | sérologies du patient | — |
  | Traitement de l'anémie en retard ou à terminer | suivi de l'anémie du patient | suivi de l'anémie du patient | — |
  | Saisie d'un infirmier | — | cahier de dialyse du patient ; suivi de l'anémie ; absences de patients, selon la saisie | — |
  | Absences de patients à qualifier | Qualifier les absences | Qualifier les absences | Qualifier les absences |
  | Séances à régulariser, séance à valider, séance créée / validée / volets / consommables | Ouvrir le poste infirmier | cahier de dialyse du patient | Ouvrir le poste infirmier |
  | Séance supprimée | historique des séances | planning du jour | historique des séances |
  | Nouveau patient, fiche modifiée | fiche du patient | fiche du patient (lecture) | — |
  | Prise en charge validée / clôturée / supprimée | liste des prises en charge | fiche du patient | — |
  | Attestation créée / supprimée | liste des attestations | fiche du patient | — |
  | Mouvement de stock, inventaire ouvert / clôturé / annulé | stock, inventaires | — | — |</w:t>
      </w:r>
    </w:p>
    <w:p>
      <w:pPr>
        <w:spacing w:after="80"/>
      </w:pPr>
      <w:r>
        <w:t xml:space="preserve">  « — » : la notification n'est pas destinée à ce profil ; si elle lui parvenait, l'action ouvrirait son écran
  d'accueil. Les évènements purement techniques (</w:t>
      </w:r>
      <w:r>
        <w:rPr>
          <w:rFonts w:ascii="Consolas" w:cs="Consolas" w:eastAsia="Consolas" w:hAnsi="Consolas"/>
          <w:color w:val="0B4D47"/>
          <w:sz w:val="18"/>
          <w:szCs w:val="18"/>
        </w:rPr>
        <w:t xml:space="preserve">PRESCRIPTION_CHANGED</w:t>
      </w:r>
      <w:r>
        <w:t xml:space="preserve">, </w:t>
      </w:r>
      <w:r>
        <w:rPr>
          <w:rFonts w:ascii="Consolas" w:cs="Consolas" w:eastAsia="Consolas" w:hAnsi="Consolas"/>
          <w:color w:val="0B4D47"/>
          <w:sz w:val="18"/>
          <w:szCs w:val="18"/>
        </w:rPr>
        <w:t xml:space="preserve">STOCK_RECALC_LOCKS_CHANGED</w:t>
      </w:r>
      <w:r>
        <w:t xml:space="preserve">) rafraîchissent
  les écrans sans apparaître dans la cloche. Sur un téléphone, l'action figure directement sous chaque notification.
  </w:t>
      </w:r>
      <w:r>
        <w:rPr>
          <w:i/>
          <w:iCs/>
        </w:rPr>
        <w:t xml:space="preserve">Source :</w:t>
      </w:r>
      <w:r>
        <w:t xml:space="preserve"> </w:t>
      </w:r>
      <w:r>
        <w:rPr>
          <w:rFonts w:ascii="Consolas" w:cs="Consolas" w:eastAsia="Consolas" w:hAnsi="Consolas"/>
          <w:color w:val="0B4D47"/>
          <w:sz w:val="18"/>
          <w:szCs w:val="18"/>
        </w:rPr>
        <w:t xml:space="preserve">notification-presentation.util.ts</w:t>
      </w:r>
      <w:r>
        <w:t xml:space="preserve"> (</w:t>
      </w:r>
      <w:r>
        <w:rPr>
          <w:rFonts w:ascii="Consolas" w:cs="Consolas" w:eastAsia="Consolas" w:hAnsi="Consolas"/>
          <w:color w:val="0B4D47"/>
          <w:sz w:val="18"/>
          <w:szCs w:val="18"/>
        </w:rPr>
        <w:t xml:space="preserve">presenterNotification</w:t>
      </w:r>
      <w:r>
        <w:t xml:space="preserve">), </w:t>
      </w:r>
      <w:r>
        <w:rPr>
          <w:rFonts w:ascii="Consolas" w:cs="Consolas" w:eastAsia="Consolas" w:hAnsi="Consolas"/>
          <w:color w:val="0B4D47"/>
          <w:sz w:val="18"/>
          <w:szCs w:val="18"/>
        </w:rPr>
        <w:t xml:space="preserve">NotificationBellComponent</w:t>
      </w:r>
      <w:r>
        <w:t xml:space="preserve"> →
  </w:t>
      </w:r>
      <w:r>
        <w:rPr>
          <w:rFonts w:ascii="Consolas" w:cs="Consolas" w:eastAsia="Consolas" w:hAnsi="Consolas"/>
          <w:color w:val="0B4D47"/>
          <w:sz w:val="18"/>
          <w:szCs w:val="18"/>
        </w:rPr>
        <w:t xml:space="preserve">NotificationBellStore</w:t>
      </w:r>
      <w:r>
        <w:t xml:space="preserve"> → </w:t>
      </w:r>
      <w:r>
        <w:rPr>
          <w:rFonts w:ascii="Consolas" w:cs="Consolas" w:eastAsia="Consolas" w:hAnsi="Consolas"/>
          <w:color w:val="0B4D47"/>
          <w:sz w:val="18"/>
          <w:szCs w:val="18"/>
        </w:rPr>
        <w:t xml:space="preserve">NotificationApiService</w:t>
      </w:r>
      <w:r>
        <w:t xml:space="preserve"> → </w:t>
      </w:r>
      <w:r>
        <w:rPr>
          <w:rFonts w:ascii="Consolas" w:cs="Consolas" w:eastAsia="Consolas" w:hAnsi="Consolas"/>
          <w:color w:val="0B4D47"/>
          <w:sz w:val="18"/>
          <w:szCs w:val="18"/>
        </w:rPr>
        <w:t xml:space="preserve">NotificationRestController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REPLANIFICATION_NOCTURNE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bilan de chaque replanification nocturne : propositions à examiner, rien à proposer, échec ou report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 et des journaux)</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ComptabiliteParametrageRestController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r>
              <w:rPr>
                <w:sz w:val="18"/>
                <w:szCs w:val="18"/>
              </w:rPr>
              <w:t xml:space="preserve"> (</w:t>
            </w:r>
            <w:r>
              <w:rPr>
                <w:rFonts w:ascii="Consolas" w:cs="Consolas" w:eastAsia="Consolas" w:hAnsi="Consolas"/>
                <w:color w:val="0B4D47"/>
                <w:sz w:val="18"/>
                <w:szCs w:val="18"/>
              </w:rPr>
              <w:t xml:space="preserve">/comptes</w:t>
            </w:r>
            <w:r>
              <w:rPr>
                <w:sz w:val="18"/>
                <w:szCs w:val="18"/>
              </w:rPr>
              <w:t xml:space="preserve">, </w:t>
            </w:r>
            <w:r>
              <w:rPr>
                <w:rFonts w:ascii="Consolas" w:cs="Consolas" w:eastAsia="Consolas" w:hAnsi="Consolas"/>
                <w:color w:val="0B4D47"/>
                <w:sz w:val="18"/>
                <w:szCs w:val="18"/>
              </w:rPr>
              <w:t xml:space="preserve">/payeurs</w:t>
            </w:r>
            <w:r>
              <w:rPr>
                <w:sz w:val="18"/>
                <w:szCs w:val="18"/>
              </w:rPr>
              <w:t xml:space="preserve">, </w:t>
            </w:r>
            <w:r>
              <w:rPr>
                <w:rFonts w:ascii="Consolas" w:cs="Consolas" w:eastAsia="Consolas" w:hAnsi="Consolas"/>
                <w:color w:val="0B4D47"/>
                <w:sz w:val="18"/>
                <w:szCs w:val="18"/>
              </w:rPr>
              <w:t xml:space="preserve">/modeles</w:t>
            </w:r>
            <w:r>
              <w:rPr>
                <w:sz w:val="18"/>
                <w:szCs w:val="18"/>
              </w:rPr>
              <w:t xml:space="preserve">, </w:t>
            </w:r>
            <w:r>
              <w:rPr>
                <w:rFonts w:ascii="Consolas" w:cs="Consolas" w:eastAsia="Consolas" w:hAnsi="Consolas"/>
                <w:color w:val="0B4D47"/>
                <w:sz w:val="18"/>
                <w:szCs w:val="18"/>
              </w:rPr>
              <w:t xml:space="preserve">/pieces</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 lecture du plan et des modèles, saisie de pièces)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RG-CPT-018 à 023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ComptabiliteStockScheduler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RG-CPT-015</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automatiquement : le compte des factures non parvenues se solde par
une pièce saisie (RG-CPT-021), à la comptabilisation de la facture du fournisseur.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RG-CPT-023</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comptes propres à un article (RG-STK-008) se saisissent encore librement
sur la fiche article : ils ne sont pas contrôlés contre le plan comptable du centre.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2026-10-09T15:49:05.275Z</dcterms:created>
  <dcterms:modified xsi:type="dcterms:W3CDTF">2026-10-09T15:49:05.275Z</dcterms:modified>
</cp:coreProperties>
</file>

<file path=docProps/custom.xml><?xml version="1.0" encoding="utf-8"?>
<Properties xmlns="http://schemas.openxmlformats.org/officeDocument/2006/custom-properties" xmlns:vt="http://schemas.openxmlformats.org/officeDocument/2006/docPropsVTypes"/>
</file>